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A69CBC" w14:textId="2EDFC513" w:rsidR="00B22331" w:rsidRPr="00C10F4A" w:rsidRDefault="00B22331" w:rsidP="00630D8C">
      <w:pPr>
        <w:jc w:val="center"/>
        <w:rPr>
          <w:rFonts w:ascii="宋体" w:eastAsia="宋体" w:hAnsi="宋体" w:cs="Times New Roman"/>
          <w:sz w:val="24"/>
        </w:rPr>
      </w:pPr>
      <w:bookmarkStart w:id="0" w:name="_Hlk162353440"/>
      <w:r w:rsidRPr="00C10F4A">
        <w:rPr>
          <w:rFonts w:ascii="宋体" w:eastAsia="宋体" w:hAnsi="宋体" w:cs="Times New Roman"/>
          <w:sz w:val="24"/>
        </w:rPr>
        <w:t>证券代码：603078                                    证券简称：江化微</w:t>
      </w:r>
    </w:p>
    <w:bookmarkEnd w:id="0"/>
    <w:p w14:paraId="46D79ECE" w14:textId="77777777" w:rsidR="00B22331" w:rsidRPr="0062621D" w:rsidRDefault="00B22331" w:rsidP="00630D8C">
      <w:pPr>
        <w:jc w:val="center"/>
        <w:rPr>
          <w:rFonts w:ascii="Times New Roman" w:hAnsi="Times New Roman" w:cs="Times New Roman"/>
          <w:sz w:val="24"/>
        </w:rPr>
      </w:pPr>
    </w:p>
    <w:p w14:paraId="332B93DC" w14:textId="77777777" w:rsidR="00CF591F" w:rsidRPr="0062621D" w:rsidRDefault="00B22331" w:rsidP="007643C9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proofErr w:type="gramStart"/>
      <w:r w:rsidRPr="0062621D">
        <w:rPr>
          <w:rFonts w:ascii="Times New Roman" w:hAnsi="Times New Roman" w:cs="Times New Roman"/>
          <w:b/>
          <w:bCs/>
          <w:sz w:val="32"/>
          <w:szCs w:val="28"/>
        </w:rPr>
        <w:t>江阴江化</w:t>
      </w:r>
      <w:proofErr w:type="gramEnd"/>
      <w:r w:rsidRPr="0062621D">
        <w:rPr>
          <w:rFonts w:ascii="Times New Roman" w:hAnsi="Times New Roman" w:cs="Times New Roman"/>
          <w:b/>
          <w:bCs/>
          <w:sz w:val="32"/>
          <w:szCs w:val="28"/>
        </w:rPr>
        <w:t>微电子材料股份有限公司</w:t>
      </w:r>
    </w:p>
    <w:p w14:paraId="58F41BC0" w14:textId="13C978CA" w:rsidR="00B22331" w:rsidRPr="0062621D" w:rsidRDefault="00B22331" w:rsidP="007643C9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62621D">
        <w:rPr>
          <w:rFonts w:ascii="Times New Roman" w:hAnsi="Times New Roman" w:cs="Times New Roman"/>
          <w:b/>
          <w:bCs/>
          <w:sz w:val="32"/>
          <w:szCs w:val="28"/>
        </w:rPr>
        <w:t>投资者关系活动记录表</w:t>
      </w:r>
    </w:p>
    <w:p w14:paraId="27D98991" w14:textId="1DC8C3BE" w:rsidR="00B22331" w:rsidRPr="0062621D" w:rsidRDefault="00B22331" w:rsidP="00CF591F">
      <w:pPr>
        <w:spacing w:line="360" w:lineRule="auto"/>
        <w:ind w:firstLineChars="2450" w:firstLine="5880"/>
        <w:jc w:val="right"/>
        <w:rPr>
          <w:rFonts w:ascii="Times New Roman" w:hAnsi="Times New Roman" w:cs="Times New Roman"/>
          <w:bCs/>
          <w:sz w:val="24"/>
          <w:szCs w:val="28"/>
        </w:rPr>
      </w:pPr>
      <w:r w:rsidRPr="0062621D">
        <w:rPr>
          <w:rFonts w:ascii="Times New Roman" w:hAnsi="Times New Roman" w:cs="Times New Roman"/>
          <w:bCs/>
          <w:sz w:val="24"/>
          <w:szCs w:val="28"/>
        </w:rPr>
        <w:t>编号：</w:t>
      </w:r>
      <w:r w:rsidRPr="0062621D">
        <w:rPr>
          <w:rFonts w:ascii="Times New Roman" w:hAnsi="Times New Roman" w:cs="Times New Roman"/>
          <w:bCs/>
          <w:sz w:val="24"/>
          <w:szCs w:val="28"/>
        </w:rPr>
        <w:t>2024-001</w:t>
      </w:r>
    </w:p>
    <w:tbl>
      <w:tblPr>
        <w:tblW w:w="89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7523"/>
      </w:tblGrid>
      <w:tr w:rsidR="00A61602" w:rsidRPr="0062621D" w14:paraId="65B8D7C5" w14:textId="77777777" w:rsidTr="0062621D">
        <w:trPr>
          <w:trHeight w:val="1794"/>
          <w:jc w:val="center"/>
        </w:trPr>
        <w:tc>
          <w:tcPr>
            <w:tcW w:w="1413" w:type="dxa"/>
            <w:vAlign w:val="center"/>
          </w:tcPr>
          <w:p w14:paraId="26A8A339" w14:textId="77777777" w:rsidR="00A61602" w:rsidRPr="0062621D" w:rsidRDefault="00000000" w:rsidP="0062621D">
            <w:pPr>
              <w:pStyle w:val="TableParagraph"/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</w:pPr>
            <w:r w:rsidRPr="0062621D"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  <w:t>投资者关系活动类别</w:t>
            </w:r>
          </w:p>
        </w:tc>
        <w:tc>
          <w:tcPr>
            <w:tcW w:w="7523" w:type="dxa"/>
            <w:vAlign w:val="center"/>
          </w:tcPr>
          <w:p w14:paraId="13C67AD5" w14:textId="0926ADBE" w:rsidR="00A61602" w:rsidRPr="0062621D" w:rsidRDefault="00000000" w:rsidP="00DF3B37">
            <w:pPr>
              <w:pStyle w:val="TableParagraph"/>
              <w:tabs>
                <w:tab w:val="left" w:pos="2418"/>
              </w:tabs>
              <w:rPr>
                <w:rFonts w:ascii="Times New Roman" w:eastAsia="宋体" w:hAnsi="Times New Roman" w:cs="Times New Roman"/>
                <w:sz w:val="21"/>
                <w:szCs w:val="21"/>
              </w:rPr>
            </w:pPr>
            <w:sdt>
              <w:sdtPr>
                <w:rPr>
                  <w:rFonts w:ascii="Times New Roman" w:eastAsia="宋体" w:hAnsi="Times New Roman" w:cs="Times New Roman"/>
                  <w:sz w:val="21"/>
                  <w:szCs w:val="21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22331" w:rsidRPr="0062621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62621D">
              <w:rPr>
                <w:rFonts w:ascii="Times New Roman" w:eastAsia="宋体" w:hAnsi="Times New Roman" w:cs="Times New Roman"/>
                <w:sz w:val="21"/>
                <w:szCs w:val="21"/>
              </w:rPr>
              <w:t>特</w:t>
            </w:r>
            <w:r w:rsidRPr="0062621D">
              <w:rPr>
                <w:rFonts w:ascii="Times New Roman" w:eastAsia="宋体" w:hAnsi="Times New Roman" w:cs="Times New Roman"/>
                <w:spacing w:val="-3"/>
                <w:sz w:val="21"/>
                <w:szCs w:val="21"/>
              </w:rPr>
              <w:t>定</w:t>
            </w:r>
            <w:r w:rsidRPr="0062621D">
              <w:rPr>
                <w:rFonts w:ascii="Times New Roman" w:eastAsia="宋体" w:hAnsi="Times New Roman" w:cs="Times New Roman"/>
                <w:sz w:val="21"/>
                <w:szCs w:val="21"/>
              </w:rPr>
              <w:t>对</w:t>
            </w:r>
            <w:r w:rsidRPr="0062621D">
              <w:rPr>
                <w:rFonts w:ascii="Times New Roman" w:eastAsia="宋体" w:hAnsi="Times New Roman" w:cs="Times New Roman"/>
                <w:spacing w:val="-3"/>
                <w:sz w:val="21"/>
                <w:szCs w:val="21"/>
              </w:rPr>
              <w:t>象</w:t>
            </w:r>
            <w:r w:rsidRPr="0062621D">
              <w:rPr>
                <w:rFonts w:ascii="Times New Roman" w:eastAsia="宋体" w:hAnsi="Times New Roman" w:cs="Times New Roman"/>
                <w:sz w:val="21"/>
                <w:szCs w:val="21"/>
              </w:rPr>
              <w:t>调研</w:t>
            </w:r>
            <w:r w:rsidRPr="0062621D">
              <w:rPr>
                <w:rFonts w:ascii="Times New Roman" w:eastAsia="宋体" w:hAnsi="Times New Roman" w:cs="Times New Roman"/>
                <w:sz w:val="21"/>
                <w:szCs w:val="21"/>
              </w:rPr>
              <w:tab/>
            </w:r>
            <w:sdt>
              <w:sdtPr>
                <w:rPr>
                  <w:rFonts w:ascii="Times New Roman" w:eastAsia="宋体" w:hAnsi="Times New Roman" w:cs="Times New Roman"/>
                  <w:sz w:val="21"/>
                  <w:szCs w:val="21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62621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62621D">
              <w:rPr>
                <w:rFonts w:ascii="Times New Roman" w:eastAsia="宋体" w:hAnsi="Times New Roman" w:cs="Times New Roman"/>
                <w:sz w:val="21"/>
                <w:szCs w:val="21"/>
              </w:rPr>
              <w:t>分</w:t>
            </w:r>
            <w:r w:rsidRPr="0062621D">
              <w:rPr>
                <w:rFonts w:ascii="Times New Roman" w:eastAsia="宋体" w:hAnsi="Times New Roman" w:cs="Times New Roman"/>
                <w:spacing w:val="-3"/>
                <w:sz w:val="21"/>
                <w:szCs w:val="21"/>
              </w:rPr>
              <w:t>析</w:t>
            </w:r>
            <w:r w:rsidRPr="0062621D">
              <w:rPr>
                <w:rFonts w:ascii="Times New Roman" w:eastAsia="宋体" w:hAnsi="Times New Roman" w:cs="Times New Roman"/>
                <w:sz w:val="21"/>
                <w:szCs w:val="21"/>
              </w:rPr>
              <w:t>师</w:t>
            </w:r>
            <w:r w:rsidRPr="0062621D">
              <w:rPr>
                <w:rFonts w:ascii="Times New Roman" w:eastAsia="宋体" w:hAnsi="Times New Roman" w:cs="Times New Roman"/>
                <w:spacing w:val="-3"/>
                <w:sz w:val="21"/>
                <w:szCs w:val="21"/>
              </w:rPr>
              <w:t>会</w:t>
            </w:r>
            <w:r w:rsidRPr="0062621D">
              <w:rPr>
                <w:rFonts w:ascii="Times New Roman" w:eastAsia="宋体" w:hAnsi="Times New Roman" w:cs="Times New Roman"/>
                <w:sz w:val="21"/>
                <w:szCs w:val="21"/>
              </w:rPr>
              <w:t>议</w:t>
            </w:r>
          </w:p>
          <w:p w14:paraId="2EA7D444" w14:textId="1ABB6DB4" w:rsidR="00A61602" w:rsidRPr="0062621D" w:rsidRDefault="00000000" w:rsidP="00DF3B37">
            <w:pPr>
              <w:pStyle w:val="TableParagraph"/>
              <w:tabs>
                <w:tab w:val="left" w:pos="2418"/>
              </w:tabs>
              <w:rPr>
                <w:rFonts w:ascii="Times New Roman" w:eastAsia="宋体" w:hAnsi="Times New Roman" w:cs="Times New Roman"/>
                <w:sz w:val="21"/>
                <w:szCs w:val="21"/>
              </w:rPr>
            </w:pPr>
            <w:sdt>
              <w:sdtPr>
                <w:rPr>
                  <w:rFonts w:ascii="Times New Roman" w:eastAsia="宋体" w:hAnsi="Times New Roman" w:cs="Times New Roman"/>
                  <w:sz w:val="21"/>
                  <w:szCs w:val="21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62621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62621D">
              <w:rPr>
                <w:rFonts w:ascii="Times New Roman" w:eastAsia="宋体" w:hAnsi="Times New Roman" w:cs="Times New Roman"/>
                <w:sz w:val="21"/>
                <w:szCs w:val="21"/>
              </w:rPr>
              <w:t>媒</w:t>
            </w:r>
            <w:r w:rsidRPr="0062621D">
              <w:rPr>
                <w:rFonts w:ascii="Times New Roman" w:eastAsia="宋体" w:hAnsi="Times New Roman" w:cs="Times New Roman"/>
                <w:spacing w:val="-3"/>
                <w:sz w:val="21"/>
                <w:szCs w:val="21"/>
              </w:rPr>
              <w:t>体</w:t>
            </w:r>
            <w:r w:rsidRPr="0062621D">
              <w:rPr>
                <w:rFonts w:ascii="Times New Roman" w:eastAsia="宋体" w:hAnsi="Times New Roman" w:cs="Times New Roman"/>
                <w:sz w:val="21"/>
                <w:szCs w:val="21"/>
              </w:rPr>
              <w:t>采访</w:t>
            </w:r>
            <w:r w:rsidRPr="0062621D">
              <w:rPr>
                <w:rFonts w:ascii="Times New Roman" w:eastAsia="宋体" w:hAnsi="Times New Roman" w:cs="Times New Roman"/>
                <w:sz w:val="21"/>
                <w:szCs w:val="21"/>
              </w:rPr>
              <w:tab/>
            </w:r>
            <w:sdt>
              <w:sdtPr>
                <w:rPr>
                  <w:rFonts w:ascii="Times New Roman" w:eastAsia="宋体" w:hAnsi="Times New Roman" w:cs="Times New Roman"/>
                  <w:sz w:val="21"/>
                  <w:szCs w:val="21"/>
                </w:rPr>
                <w:id w:val="-6665890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 w:rsidR="00B22331" w:rsidRPr="0062621D">
                  <w:rPr>
                    <w:rFonts w:ascii="Times New Roman" w:eastAsia="宋体" w:hAnsi="Times New Roman" w:cs="Times New Roman"/>
                    <w:sz w:val="21"/>
                    <w:szCs w:val="21"/>
                  </w:rPr>
                  <w:sym w:font="Wingdings 2" w:char="F052"/>
                </w:r>
              </w:sdtContent>
            </w:sdt>
            <w:r w:rsidRPr="0062621D">
              <w:rPr>
                <w:rFonts w:ascii="Times New Roman" w:eastAsia="宋体" w:hAnsi="Times New Roman" w:cs="Times New Roman"/>
                <w:sz w:val="21"/>
                <w:szCs w:val="21"/>
              </w:rPr>
              <w:t>业</w:t>
            </w:r>
            <w:r w:rsidRPr="0062621D">
              <w:rPr>
                <w:rFonts w:ascii="Times New Roman" w:eastAsia="宋体" w:hAnsi="Times New Roman" w:cs="Times New Roman"/>
                <w:spacing w:val="-3"/>
                <w:sz w:val="21"/>
                <w:szCs w:val="21"/>
              </w:rPr>
              <w:t>绩</w:t>
            </w:r>
            <w:r w:rsidRPr="0062621D">
              <w:rPr>
                <w:rFonts w:ascii="Times New Roman" w:eastAsia="宋体" w:hAnsi="Times New Roman" w:cs="Times New Roman"/>
                <w:sz w:val="21"/>
                <w:szCs w:val="21"/>
              </w:rPr>
              <w:t>说</w:t>
            </w:r>
            <w:r w:rsidRPr="0062621D">
              <w:rPr>
                <w:rFonts w:ascii="Times New Roman" w:eastAsia="宋体" w:hAnsi="Times New Roman" w:cs="Times New Roman"/>
                <w:spacing w:val="-3"/>
                <w:sz w:val="21"/>
                <w:szCs w:val="21"/>
              </w:rPr>
              <w:t>明</w:t>
            </w:r>
            <w:r w:rsidRPr="0062621D">
              <w:rPr>
                <w:rFonts w:ascii="Times New Roman" w:eastAsia="宋体" w:hAnsi="Times New Roman" w:cs="Times New Roman"/>
                <w:sz w:val="21"/>
                <w:szCs w:val="21"/>
              </w:rPr>
              <w:t>会</w:t>
            </w:r>
          </w:p>
          <w:p w14:paraId="12658642" w14:textId="77777777" w:rsidR="00A61602" w:rsidRPr="0062621D" w:rsidRDefault="00000000" w:rsidP="00DF3B37">
            <w:pPr>
              <w:pStyle w:val="TableParagraph"/>
              <w:tabs>
                <w:tab w:val="left" w:pos="2418"/>
              </w:tabs>
              <w:rPr>
                <w:rFonts w:ascii="Times New Roman" w:eastAsia="宋体" w:hAnsi="Times New Roman" w:cs="Times New Roman"/>
                <w:sz w:val="21"/>
                <w:szCs w:val="21"/>
              </w:rPr>
            </w:pPr>
            <w:sdt>
              <w:sdtPr>
                <w:rPr>
                  <w:rFonts w:ascii="Times New Roman" w:eastAsia="宋体" w:hAnsi="Times New Roman" w:cs="Times New Roman"/>
                  <w:sz w:val="21"/>
                  <w:szCs w:val="21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62621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62621D">
              <w:rPr>
                <w:rFonts w:ascii="Times New Roman" w:eastAsia="宋体" w:hAnsi="Times New Roman" w:cs="Times New Roman"/>
                <w:sz w:val="21"/>
                <w:szCs w:val="21"/>
              </w:rPr>
              <w:t>新</w:t>
            </w:r>
            <w:r w:rsidRPr="0062621D">
              <w:rPr>
                <w:rFonts w:ascii="Times New Roman" w:eastAsia="宋体" w:hAnsi="Times New Roman" w:cs="Times New Roman"/>
                <w:spacing w:val="-3"/>
                <w:sz w:val="21"/>
                <w:szCs w:val="21"/>
              </w:rPr>
              <w:t>闻</w:t>
            </w:r>
            <w:r w:rsidRPr="0062621D">
              <w:rPr>
                <w:rFonts w:ascii="Times New Roman" w:eastAsia="宋体" w:hAnsi="Times New Roman" w:cs="Times New Roman"/>
                <w:sz w:val="21"/>
                <w:szCs w:val="21"/>
              </w:rPr>
              <w:t>发</w:t>
            </w:r>
            <w:r w:rsidRPr="0062621D">
              <w:rPr>
                <w:rFonts w:ascii="Times New Roman" w:eastAsia="宋体" w:hAnsi="Times New Roman" w:cs="Times New Roman"/>
                <w:spacing w:val="-3"/>
                <w:sz w:val="21"/>
                <w:szCs w:val="21"/>
              </w:rPr>
              <w:t>布</w:t>
            </w:r>
            <w:r w:rsidRPr="0062621D">
              <w:rPr>
                <w:rFonts w:ascii="Times New Roman" w:eastAsia="宋体" w:hAnsi="Times New Roman" w:cs="Times New Roman"/>
                <w:sz w:val="21"/>
                <w:szCs w:val="21"/>
              </w:rPr>
              <w:t>会</w:t>
            </w:r>
            <w:r w:rsidRPr="0062621D">
              <w:rPr>
                <w:rFonts w:ascii="Times New Roman" w:eastAsia="宋体" w:hAnsi="Times New Roman" w:cs="Times New Roman"/>
                <w:sz w:val="21"/>
                <w:szCs w:val="21"/>
              </w:rPr>
              <w:tab/>
            </w:r>
            <w:sdt>
              <w:sdtPr>
                <w:rPr>
                  <w:rFonts w:ascii="Times New Roman" w:eastAsia="宋体" w:hAnsi="Times New Roman" w:cs="Times New Roman"/>
                  <w:sz w:val="21"/>
                  <w:szCs w:val="21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62621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62621D">
              <w:rPr>
                <w:rFonts w:ascii="Times New Roman" w:eastAsia="宋体" w:hAnsi="Times New Roman" w:cs="Times New Roman"/>
                <w:sz w:val="21"/>
                <w:szCs w:val="21"/>
              </w:rPr>
              <w:t>路</w:t>
            </w:r>
            <w:r w:rsidRPr="0062621D">
              <w:rPr>
                <w:rFonts w:ascii="Times New Roman" w:eastAsia="宋体" w:hAnsi="Times New Roman" w:cs="Times New Roman"/>
                <w:spacing w:val="-3"/>
                <w:sz w:val="21"/>
                <w:szCs w:val="21"/>
              </w:rPr>
              <w:t>演</w:t>
            </w:r>
            <w:r w:rsidRPr="0062621D">
              <w:rPr>
                <w:rFonts w:ascii="Times New Roman" w:eastAsia="宋体" w:hAnsi="Times New Roman" w:cs="Times New Roman"/>
                <w:sz w:val="21"/>
                <w:szCs w:val="21"/>
              </w:rPr>
              <w:t>活动</w:t>
            </w:r>
          </w:p>
          <w:p w14:paraId="2E7DAC80" w14:textId="77777777" w:rsidR="00A61602" w:rsidRPr="0062621D" w:rsidRDefault="00000000" w:rsidP="00DF3B37">
            <w:pPr>
              <w:pStyle w:val="TableParagrap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sdt>
              <w:sdtPr>
                <w:rPr>
                  <w:rFonts w:ascii="Times New Roman" w:eastAsia="宋体" w:hAnsi="Times New Roman" w:cs="Times New Roman"/>
                  <w:sz w:val="21"/>
                  <w:szCs w:val="21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62621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62621D">
              <w:rPr>
                <w:rFonts w:ascii="Times New Roman" w:eastAsia="宋体" w:hAnsi="Times New Roman" w:cs="Times New Roman"/>
                <w:sz w:val="21"/>
                <w:szCs w:val="21"/>
              </w:rPr>
              <w:t>现场参观</w:t>
            </w:r>
          </w:p>
          <w:p w14:paraId="52641CFC" w14:textId="4AA25D1B" w:rsidR="00A61602" w:rsidRPr="0062621D" w:rsidRDefault="00000000" w:rsidP="00DF3B37">
            <w:pPr>
              <w:pStyle w:val="TableParagraph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sdt>
              <w:sdtPr>
                <w:rPr>
                  <w:rFonts w:ascii="Times New Roman" w:eastAsia="宋体" w:hAnsi="Times New Roman" w:cs="Times New Roman"/>
                  <w:sz w:val="21"/>
                  <w:szCs w:val="21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22331" w:rsidRPr="0062621D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Pr="0062621D">
              <w:rPr>
                <w:rFonts w:ascii="Times New Roman" w:eastAsia="宋体" w:hAnsi="Times New Roman" w:cs="Times New Roman"/>
                <w:sz w:val="21"/>
                <w:szCs w:val="21"/>
              </w:rPr>
              <w:t>其他（</w:t>
            </w:r>
            <w:proofErr w:type="gramStart"/>
            <w:r w:rsidRPr="0062621D">
              <w:rPr>
                <w:rFonts w:ascii="Times New Roman" w:eastAsia="宋体" w:hAnsi="Times New Roman" w:cs="Times New Roman"/>
                <w:sz w:val="21"/>
                <w:szCs w:val="21"/>
                <w:u w:val="single"/>
              </w:rPr>
              <w:t>请文字</w:t>
            </w:r>
            <w:proofErr w:type="gramEnd"/>
            <w:r w:rsidRPr="0062621D">
              <w:rPr>
                <w:rFonts w:ascii="Times New Roman" w:eastAsia="宋体" w:hAnsi="Times New Roman" w:cs="Times New Roman"/>
                <w:sz w:val="21"/>
                <w:szCs w:val="21"/>
                <w:u w:val="single"/>
              </w:rPr>
              <w:t>说明其他活动内容）</w:t>
            </w:r>
          </w:p>
        </w:tc>
      </w:tr>
      <w:tr w:rsidR="00A61602" w:rsidRPr="0062621D" w14:paraId="1720C849" w14:textId="77777777" w:rsidTr="0062621D">
        <w:trPr>
          <w:trHeight w:val="545"/>
          <w:jc w:val="center"/>
        </w:trPr>
        <w:tc>
          <w:tcPr>
            <w:tcW w:w="1413" w:type="dxa"/>
            <w:vAlign w:val="center"/>
          </w:tcPr>
          <w:p w14:paraId="7F3A93CD" w14:textId="77777777" w:rsidR="00A61602" w:rsidRPr="0062621D" w:rsidRDefault="00000000" w:rsidP="0062621D">
            <w:pPr>
              <w:pStyle w:val="TableParagraph"/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</w:pPr>
            <w:r w:rsidRPr="0062621D"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  <w:t>参与单位名称及人员姓名</w:t>
            </w:r>
          </w:p>
        </w:tc>
        <w:tc>
          <w:tcPr>
            <w:tcW w:w="7523" w:type="dxa"/>
            <w:vAlign w:val="center"/>
          </w:tcPr>
          <w:p w14:paraId="15CA90C6" w14:textId="436C2915" w:rsidR="00A61602" w:rsidRPr="0062621D" w:rsidRDefault="00000000" w:rsidP="00DF3B37">
            <w:pPr>
              <w:widowControl/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</w:pP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线上参与公司</w:t>
            </w:r>
            <w:r w:rsidRPr="0062621D">
              <w:rPr>
                <w:rFonts w:ascii="Times New Roman" w:eastAsia="Helvetica" w:hAnsi="Times New Roman" w:cs="Times New Roman"/>
                <w:color w:val="333333"/>
                <w:sz w:val="21"/>
                <w:szCs w:val="21"/>
                <w:shd w:val="clear" w:color="auto" w:fill="FFFFFF"/>
              </w:rPr>
              <w:t>2023</w:t>
            </w:r>
            <w:r w:rsidRPr="0062621D">
              <w:rPr>
                <w:rFonts w:ascii="Times New Roman" w:eastAsia="宋体" w:hAnsi="Times New Roman" w:cs="Times New Roman"/>
                <w:color w:val="333333"/>
                <w:sz w:val="21"/>
                <w:szCs w:val="21"/>
                <w:shd w:val="clear" w:color="auto" w:fill="FFFFFF"/>
              </w:rPr>
              <w:t>年度业绩说明会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的投资者</w:t>
            </w:r>
          </w:p>
        </w:tc>
      </w:tr>
      <w:tr w:rsidR="00A61602" w:rsidRPr="0062621D" w14:paraId="0C89EBF4" w14:textId="77777777" w:rsidTr="0062621D">
        <w:trPr>
          <w:trHeight w:val="269"/>
          <w:jc w:val="center"/>
        </w:trPr>
        <w:tc>
          <w:tcPr>
            <w:tcW w:w="1413" w:type="dxa"/>
            <w:vAlign w:val="center"/>
          </w:tcPr>
          <w:p w14:paraId="5FB04F84" w14:textId="77777777" w:rsidR="00A61602" w:rsidRPr="0062621D" w:rsidRDefault="00000000" w:rsidP="0062621D">
            <w:pPr>
              <w:pStyle w:val="TableParagraph"/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</w:pPr>
            <w:r w:rsidRPr="0062621D"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7523" w:type="dxa"/>
            <w:vAlign w:val="center"/>
          </w:tcPr>
          <w:p w14:paraId="09E7613C" w14:textId="77777777" w:rsidR="00A61602" w:rsidRPr="0062621D" w:rsidRDefault="00000000" w:rsidP="00DF3B37">
            <w:pPr>
              <w:spacing w:line="36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</w:rPr>
              <w:t>2024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</w:rPr>
              <w:t>年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</w:rPr>
              <w:t>03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</w:rPr>
              <w:t>月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</w:rPr>
              <w:t>26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</w:rPr>
              <w:t>日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</w:rPr>
              <w:t xml:space="preserve"> 10:00-11:00</w:t>
            </w:r>
          </w:p>
        </w:tc>
      </w:tr>
      <w:tr w:rsidR="00A61602" w:rsidRPr="0062621D" w14:paraId="1C79DCAF" w14:textId="77777777" w:rsidTr="0062621D">
        <w:trPr>
          <w:trHeight w:val="261"/>
          <w:jc w:val="center"/>
        </w:trPr>
        <w:tc>
          <w:tcPr>
            <w:tcW w:w="1413" w:type="dxa"/>
            <w:vAlign w:val="center"/>
          </w:tcPr>
          <w:p w14:paraId="222DA91D" w14:textId="77777777" w:rsidR="00A61602" w:rsidRPr="0062621D" w:rsidRDefault="00000000" w:rsidP="0062621D">
            <w:pPr>
              <w:pStyle w:val="TableParagraph"/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</w:pPr>
            <w:r w:rsidRPr="0062621D">
              <w:rPr>
                <w:rFonts w:ascii="Times New Roman" w:eastAsiaTheme="minorEastAsia" w:hAnsi="Times New Roman" w:cs="Times New Roman"/>
                <w:b/>
                <w:bCs/>
                <w:sz w:val="21"/>
                <w:szCs w:val="21"/>
              </w:rPr>
              <w:t>地点</w:t>
            </w:r>
          </w:p>
        </w:tc>
        <w:tc>
          <w:tcPr>
            <w:tcW w:w="7523" w:type="dxa"/>
            <w:vAlign w:val="center"/>
          </w:tcPr>
          <w:p w14:paraId="4CBD7D39" w14:textId="0CFFB041" w:rsidR="00A61602" w:rsidRPr="0062621D" w:rsidRDefault="00B22331" w:rsidP="00DF3B37">
            <w:pPr>
              <w:pStyle w:val="TableParagraph"/>
              <w:spacing w:line="360" w:lineRule="auto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proofErr w:type="gramStart"/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</w:rPr>
              <w:t>上证路演</w:t>
            </w:r>
            <w:proofErr w:type="gramEnd"/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</w:rPr>
              <w:t>中心、价值在线网络互动</w:t>
            </w:r>
          </w:p>
        </w:tc>
      </w:tr>
      <w:tr w:rsidR="00A61602" w:rsidRPr="0062621D" w14:paraId="21BEE84C" w14:textId="77777777" w:rsidTr="0062621D">
        <w:trPr>
          <w:trHeight w:val="1131"/>
          <w:jc w:val="center"/>
        </w:trPr>
        <w:tc>
          <w:tcPr>
            <w:tcW w:w="1413" w:type="dxa"/>
            <w:vAlign w:val="center"/>
          </w:tcPr>
          <w:p w14:paraId="0A13EB69" w14:textId="77777777" w:rsidR="00A61602" w:rsidRPr="0062621D" w:rsidRDefault="00000000" w:rsidP="0062621D">
            <w:pPr>
              <w:pStyle w:val="TableParagraph"/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</w:pPr>
            <w:r w:rsidRPr="0062621D"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  <w:t>上市公司接待人员姓名</w:t>
            </w:r>
          </w:p>
        </w:tc>
        <w:tc>
          <w:tcPr>
            <w:tcW w:w="7523" w:type="dxa"/>
            <w:vAlign w:val="center"/>
          </w:tcPr>
          <w:p w14:paraId="393AD9B6" w14:textId="5C5925B1" w:rsidR="00A61602" w:rsidRPr="0062621D" w:rsidRDefault="00000000" w:rsidP="00DF3B37">
            <w:pPr>
              <w:pStyle w:val="TableParagraph"/>
              <w:spacing w:line="360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62621D">
              <w:rPr>
                <w:rFonts w:ascii="Times New Roman" w:eastAsia="宋体" w:hAnsi="Times New Roman" w:cs="Times New Roman"/>
                <w:sz w:val="21"/>
                <w:szCs w:val="21"/>
              </w:rPr>
              <w:t>董事长兼总经理</w:t>
            </w:r>
            <w:r w:rsidRPr="0062621D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</w:t>
            </w:r>
            <w:r w:rsidR="0062621D" w:rsidRPr="0062621D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</w:t>
            </w:r>
            <w:r w:rsidRPr="0062621D">
              <w:rPr>
                <w:rFonts w:ascii="Times New Roman" w:eastAsia="宋体" w:hAnsi="Times New Roman" w:cs="Times New Roman"/>
                <w:sz w:val="21"/>
                <w:szCs w:val="21"/>
              </w:rPr>
              <w:t>殷福华</w:t>
            </w:r>
            <w:r w:rsidRPr="0062621D">
              <w:rPr>
                <w:rFonts w:ascii="Times New Roman" w:eastAsia="宋体" w:hAnsi="Times New Roman" w:cs="Times New Roman"/>
                <w:sz w:val="21"/>
                <w:szCs w:val="21"/>
              </w:rPr>
              <w:br/>
            </w:r>
            <w:r w:rsidRPr="0062621D">
              <w:rPr>
                <w:rFonts w:ascii="Times New Roman" w:eastAsia="宋体" w:hAnsi="Times New Roman" w:cs="Times New Roman"/>
                <w:sz w:val="21"/>
                <w:szCs w:val="21"/>
              </w:rPr>
              <w:t>财务总监兼董事会秘书</w:t>
            </w:r>
            <w:r w:rsidRPr="0062621D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</w:t>
            </w:r>
            <w:r w:rsidR="0062621D" w:rsidRPr="0062621D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</w:t>
            </w:r>
            <w:r w:rsidRPr="0062621D">
              <w:rPr>
                <w:rFonts w:ascii="Times New Roman" w:eastAsia="宋体" w:hAnsi="Times New Roman" w:cs="Times New Roman"/>
                <w:sz w:val="21"/>
                <w:szCs w:val="21"/>
              </w:rPr>
              <w:t>费祝海</w:t>
            </w:r>
            <w:r w:rsidRPr="0062621D">
              <w:rPr>
                <w:rFonts w:ascii="Times New Roman" w:eastAsia="宋体" w:hAnsi="Times New Roman" w:cs="Times New Roman"/>
                <w:sz w:val="21"/>
                <w:szCs w:val="21"/>
              </w:rPr>
              <w:br/>
            </w:r>
            <w:r w:rsidRPr="0062621D">
              <w:rPr>
                <w:rFonts w:ascii="Times New Roman" w:eastAsia="宋体" w:hAnsi="Times New Roman" w:cs="Times New Roman"/>
                <w:sz w:val="21"/>
                <w:szCs w:val="21"/>
              </w:rPr>
              <w:t>独立董事</w:t>
            </w:r>
            <w:r w:rsidRPr="0062621D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</w:t>
            </w:r>
            <w:r w:rsidR="0062621D" w:rsidRPr="0062621D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</w:t>
            </w:r>
            <w:r w:rsidRPr="0062621D">
              <w:rPr>
                <w:rFonts w:ascii="Times New Roman" w:eastAsia="宋体" w:hAnsi="Times New Roman" w:cs="Times New Roman"/>
                <w:sz w:val="21"/>
                <w:szCs w:val="21"/>
              </w:rPr>
              <w:t>承军</w:t>
            </w:r>
          </w:p>
        </w:tc>
      </w:tr>
      <w:tr w:rsidR="00A61602" w:rsidRPr="0062621D" w14:paraId="5D162A11" w14:textId="77777777" w:rsidTr="0062621D">
        <w:trPr>
          <w:trHeight w:val="841"/>
          <w:jc w:val="center"/>
        </w:trPr>
        <w:tc>
          <w:tcPr>
            <w:tcW w:w="1413" w:type="dxa"/>
            <w:shd w:val="clear" w:color="auto" w:fill="auto"/>
            <w:vAlign w:val="center"/>
          </w:tcPr>
          <w:p w14:paraId="32BAB05C" w14:textId="77777777" w:rsidR="00A61602" w:rsidRPr="0062621D" w:rsidRDefault="00000000" w:rsidP="0062621D">
            <w:pPr>
              <w:pStyle w:val="TableParagraph"/>
              <w:spacing w:before="1"/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</w:pPr>
            <w:r w:rsidRPr="0062621D"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  <w:t>投资者关系活动主要内容介绍</w:t>
            </w:r>
          </w:p>
        </w:tc>
        <w:tc>
          <w:tcPr>
            <w:tcW w:w="7523" w:type="dxa"/>
            <w:shd w:val="clear" w:color="auto" w:fill="auto"/>
          </w:tcPr>
          <w:p w14:paraId="5141C3C5" w14:textId="041297F4" w:rsidR="00686932" w:rsidRPr="0062621D" w:rsidRDefault="00686932" w:rsidP="0062621D">
            <w:pPr>
              <w:pStyle w:val="TableParagraph"/>
              <w:spacing w:before="100" w:beforeAutospacing="1" w:line="360" w:lineRule="auto"/>
              <w:ind w:firstLineChars="200" w:firstLine="420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</w:pP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公司于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2024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年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3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月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</w:rPr>
              <w:t>26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日（星期二）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</w:rPr>
              <w:t>10:00-11:00</w:t>
            </w:r>
            <w:proofErr w:type="gramStart"/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在上证路演</w:t>
            </w:r>
            <w:proofErr w:type="gramEnd"/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中心（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http://roadshow.sseinfo.com/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）</w:t>
            </w:r>
            <w:r w:rsidR="004F6149"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及价值在线（</w:t>
            </w:r>
            <w:r w:rsidR="004F6149"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www.ir-online.cn</w:t>
            </w:r>
            <w:r w:rsidR="004F6149"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）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召开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2023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年度业绩说明会，本次</w:t>
            </w:r>
            <w:proofErr w:type="gramStart"/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活动线</w:t>
            </w:r>
            <w:proofErr w:type="gramEnd"/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上交流问答环节主要内容如下：</w:t>
            </w:r>
          </w:p>
          <w:p w14:paraId="6A8C5B30" w14:textId="77777777" w:rsidR="004F6149" w:rsidRPr="0062621D" w:rsidRDefault="00000000" w:rsidP="0062621D">
            <w:pPr>
              <w:pStyle w:val="Table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</w:pP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请问公司半导体业务进展？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G5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产品情况？</w:t>
            </w:r>
          </w:p>
          <w:p w14:paraId="3C8E9DFA" w14:textId="750174E3" w:rsidR="00686932" w:rsidRPr="0062621D" w:rsidRDefault="00000000" w:rsidP="0062621D">
            <w:pPr>
              <w:pStyle w:val="TableParagraph"/>
              <w:spacing w:line="360" w:lineRule="auto"/>
              <w:ind w:firstLineChars="200" w:firstLine="420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</w:pP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答</w:t>
            </w:r>
            <w:r w:rsidR="0062621D"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：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尊敬的投资者你好，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2023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年江化微实现销售收入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10.30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亿元，其中半导体实现销售收入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4.9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亿元，同比增加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5.6%</w:t>
            </w:r>
            <w:r w:rsidR="004F6149"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；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目前已大批量供应国内的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6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寸、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8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寸以及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12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英寸成熟制程。其中镇江公司已稳定产出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G5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等级的硫酸、氨水、盐酸，并在国内多个主流</w:t>
            </w:r>
            <w:proofErr w:type="gramStart"/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先进制程厂家</w:t>
            </w:r>
            <w:proofErr w:type="gramEnd"/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均送样测试，</w:t>
            </w:r>
            <w:r w:rsidR="00011DBA"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大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部分已通过测试。</w:t>
            </w:r>
          </w:p>
          <w:p w14:paraId="664BEAFA" w14:textId="77777777" w:rsidR="006600F8" w:rsidRPr="0062621D" w:rsidRDefault="006600F8" w:rsidP="0062621D">
            <w:pPr>
              <w:pStyle w:val="TableParagraph"/>
              <w:spacing w:line="360" w:lineRule="auto"/>
              <w:ind w:firstLineChars="200" w:firstLine="420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</w:pPr>
          </w:p>
          <w:p w14:paraId="18BD9466" w14:textId="3BF2D79C" w:rsidR="004F6149" w:rsidRPr="0062621D" w:rsidRDefault="00000000" w:rsidP="0062621D">
            <w:pPr>
              <w:pStyle w:val="TableParagraph"/>
              <w:numPr>
                <w:ilvl w:val="0"/>
                <w:numId w:val="1"/>
              </w:numPr>
              <w:spacing w:line="360" w:lineRule="auto"/>
              <w:ind w:left="0" w:firstLineChars="200" w:firstLine="420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</w:pP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公司第四季度利润下降比较多？是什么原因？会不会延续到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2024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年？</w:t>
            </w:r>
          </w:p>
          <w:p w14:paraId="1DDFA2C0" w14:textId="77777777" w:rsidR="0062621D" w:rsidRPr="0062621D" w:rsidRDefault="00000000" w:rsidP="0062621D">
            <w:pPr>
              <w:pStyle w:val="TableParagraph"/>
              <w:spacing w:line="360" w:lineRule="auto"/>
              <w:ind w:firstLineChars="200" w:firstLine="420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</w:pP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答</w:t>
            </w:r>
            <w:r w:rsidR="0062621D"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：</w:t>
            </w:r>
            <w:r w:rsidR="004315C4"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尊敬的投资者你好，公司第</w:t>
            </w:r>
            <w:r w:rsidR="004315C4"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4</w:t>
            </w:r>
            <w:r w:rsidR="004315C4"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季度</w:t>
            </w:r>
            <w:proofErr w:type="gramStart"/>
            <w:r w:rsidR="004315C4"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归母净利润</w:t>
            </w:r>
            <w:proofErr w:type="gramEnd"/>
            <w:r w:rsidR="004315C4"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673.04</w:t>
            </w:r>
            <w:r w:rsidR="004315C4"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万元，下降的主要原因是：</w:t>
            </w:r>
          </w:p>
          <w:p w14:paraId="10942F7E" w14:textId="77777777" w:rsidR="0062621D" w:rsidRPr="0062621D" w:rsidRDefault="004315C4" w:rsidP="0062621D">
            <w:pPr>
              <w:pStyle w:val="TableParagraph"/>
              <w:spacing w:line="360" w:lineRule="auto"/>
              <w:ind w:firstLineChars="200" w:firstLine="420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</w:pP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江化微镇江子公司可抵扣亏损形成的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“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递延所得税资产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”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在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2023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年末因所得税税率下降调</w:t>
            </w:r>
            <w:r w:rsidR="006600F8"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减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了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“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递延所得税资产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”</w:t>
            </w:r>
            <w:proofErr w:type="gramStart"/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帐面</w:t>
            </w:r>
            <w:proofErr w:type="gramEnd"/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价值，从而调增了所得税费用，详细如下：</w:t>
            </w:r>
          </w:p>
          <w:p w14:paraId="22C4C4E6" w14:textId="77777777" w:rsidR="0062621D" w:rsidRPr="0062621D" w:rsidRDefault="004315C4" w:rsidP="0062621D">
            <w:pPr>
              <w:pStyle w:val="TableParagraph"/>
              <w:spacing w:line="360" w:lineRule="auto"/>
              <w:ind w:firstLineChars="200" w:firstLine="420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</w:pP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1)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镇江江化微，截至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2023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年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12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月末，累计可抵扣亏损金额为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1.65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亿元，按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25%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的所得税税率来确认的递延所得税资产，同时调减所得税费用，此事项均在各相关季度财务报表中体现；</w:t>
            </w:r>
          </w:p>
          <w:p w14:paraId="1EA22559" w14:textId="1FEEAF38" w:rsidR="004315C4" w:rsidRPr="0062621D" w:rsidRDefault="004315C4" w:rsidP="0062621D">
            <w:pPr>
              <w:pStyle w:val="TableParagraph"/>
              <w:spacing w:line="360" w:lineRule="auto"/>
              <w:ind w:firstLineChars="200" w:firstLine="420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</w:pP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lastRenderedPageBreak/>
              <w:t>2)2024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年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1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月份，镇江江化微收到</w:t>
            </w:r>
            <w:r w:rsidR="006600F8"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相关部门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通知，取得高新技术证书，批准时间为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2023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年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12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月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27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日，所得税税率调整为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15%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，与原来的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25%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差异数为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10%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，</w:t>
            </w:r>
            <w:proofErr w:type="gramStart"/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导到前期</w:t>
            </w:r>
            <w:proofErr w:type="gramEnd"/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确定的递延所得税资产减少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1,654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万元，影响本期所得税费用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1,654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万元，导致亏损增加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1,654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万元。</w:t>
            </w:r>
          </w:p>
          <w:p w14:paraId="4D7F96AE" w14:textId="466E9A6E" w:rsidR="004315C4" w:rsidRPr="0062621D" w:rsidRDefault="004315C4" w:rsidP="0062621D">
            <w:pPr>
              <w:pStyle w:val="TableParagraph"/>
              <w:spacing w:line="360" w:lineRule="auto"/>
              <w:ind w:firstLineChars="200" w:firstLine="420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</w:pP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如果剔除</w:t>
            </w:r>
            <w:r w:rsidR="007F5395">
              <w:rPr>
                <w:rFonts w:ascii="Times New Roman" w:eastAsiaTheme="minorEastAsia" w:hAnsi="Times New Roman" w:cs="Times New Roman" w:hint="eastAsia"/>
                <w:sz w:val="21"/>
                <w:szCs w:val="21"/>
                <w:lang w:val="en-US"/>
              </w:rPr>
              <w:t>上述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原因，公司第四季度净利润为正常季</w:t>
            </w:r>
            <w:r w:rsidR="006600F8"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度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波动，没有大幅变动。</w:t>
            </w:r>
          </w:p>
          <w:p w14:paraId="026B861B" w14:textId="11F9264F" w:rsidR="004315C4" w:rsidRPr="0062621D" w:rsidRDefault="004315C4" w:rsidP="0062621D">
            <w:pPr>
              <w:pStyle w:val="TableParagraph"/>
              <w:spacing w:line="360" w:lineRule="auto"/>
              <w:ind w:firstLineChars="200" w:firstLine="420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</w:pP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上述</w:t>
            </w:r>
            <w:r w:rsidR="006600F8"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只是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财务政策的变化，不会</w:t>
            </w:r>
            <w:r w:rsidR="006600F8"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递</w:t>
            </w:r>
            <w:proofErr w:type="gramStart"/>
            <w:r w:rsidR="006600F8"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延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影响</w:t>
            </w:r>
            <w:proofErr w:type="gramEnd"/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到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2024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年的</w:t>
            </w:r>
            <w:r w:rsidR="006600F8"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财务报表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。</w:t>
            </w:r>
          </w:p>
          <w:p w14:paraId="78BF83AA" w14:textId="77777777" w:rsidR="006600F8" w:rsidRPr="0062621D" w:rsidRDefault="006600F8" w:rsidP="0062621D">
            <w:pPr>
              <w:pStyle w:val="TableParagraph"/>
              <w:spacing w:line="360" w:lineRule="auto"/>
              <w:ind w:firstLineChars="200" w:firstLine="420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</w:pPr>
          </w:p>
          <w:p w14:paraId="3129D383" w14:textId="2E3CF97B" w:rsidR="00686932" w:rsidRPr="0062621D" w:rsidRDefault="00686932" w:rsidP="0062621D">
            <w:pPr>
              <w:pStyle w:val="TableParagraph"/>
              <w:spacing w:line="360" w:lineRule="auto"/>
              <w:ind w:firstLineChars="200" w:firstLine="420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</w:pP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3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、请公司领导简单介绍下，江化微目前三大基地运营情况如何？产能利用率怎么样？后期提升产能利用率有什么规划？</w:t>
            </w:r>
          </w:p>
          <w:p w14:paraId="6AF60BB0" w14:textId="48C1A7B5" w:rsidR="00011DBA" w:rsidRPr="0062621D" w:rsidRDefault="00000000" w:rsidP="0062621D">
            <w:pPr>
              <w:pStyle w:val="TableParagraph"/>
              <w:spacing w:line="360" w:lineRule="auto"/>
              <w:ind w:firstLineChars="200" w:firstLine="420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</w:pP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答</w:t>
            </w:r>
            <w:r w:rsidR="0062621D"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：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尊敬的投资者你好，江化微总体已建产能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23.5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万吨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/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年，其中江阴基地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9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万吨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/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年，镇江基地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5.8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万吨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/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年，四川基地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8.7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万吨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/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年</w:t>
            </w:r>
            <w:r w:rsidR="00011DBA"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；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镇江基地在建二期项目产能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10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万吨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/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年，未来三期项目规划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7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万吨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/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年。</w:t>
            </w:r>
          </w:p>
          <w:p w14:paraId="2AC61B64" w14:textId="12D6D515" w:rsidR="00686932" w:rsidRPr="0062621D" w:rsidRDefault="00000000" w:rsidP="0062621D">
            <w:pPr>
              <w:pStyle w:val="TableParagraph"/>
              <w:spacing w:line="360" w:lineRule="auto"/>
              <w:ind w:firstLineChars="200" w:firstLine="420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</w:pP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在产能利用率方面：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1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）江阴基地较高，达到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93.16%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；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2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）四川基地产能利用率约为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30%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，主要原因是四川主要是定位于平板市场，平板类</w:t>
            </w:r>
            <w:r w:rsidR="00011DBA"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市场</w:t>
            </w:r>
            <w:r w:rsidR="00011DBA"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2023</w:t>
            </w:r>
            <w:r w:rsidR="00011DBA"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年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处于低潮期，预计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2024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年将有所提升；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3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）镇江基地产能利用率为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20.79%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，目前产品稳定，产能按照计划陆续投产释放，预计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2024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年随着客户开拓与产品导入会有大幅度提升。</w:t>
            </w:r>
          </w:p>
          <w:p w14:paraId="64D402CD" w14:textId="77777777" w:rsidR="00686932" w:rsidRPr="0062621D" w:rsidRDefault="00000000" w:rsidP="0062621D">
            <w:pPr>
              <w:pStyle w:val="TableParagraph"/>
              <w:spacing w:line="360" w:lineRule="auto"/>
              <w:ind w:firstLineChars="200" w:firstLine="420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</w:pP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目前公司正积极拓展市场，加速提升产能利用率。</w:t>
            </w:r>
          </w:p>
          <w:p w14:paraId="6B0B45E4" w14:textId="77777777" w:rsidR="006600F8" w:rsidRPr="0062621D" w:rsidRDefault="006600F8" w:rsidP="0062621D">
            <w:pPr>
              <w:pStyle w:val="TableParagraph"/>
              <w:spacing w:line="360" w:lineRule="auto"/>
              <w:ind w:firstLineChars="200" w:firstLine="420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</w:pPr>
          </w:p>
          <w:p w14:paraId="33B467A3" w14:textId="77777777" w:rsidR="00686932" w:rsidRPr="0062621D" w:rsidRDefault="00686932" w:rsidP="0062621D">
            <w:pPr>
              <w:pStyle w:val="TableParagraph"/>
              <w:spacing w:line="360" w:lineRule="auto"/>
              <w:ind w:firstLineChars="200" w:firstLine="420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</w:pP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4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、公司镇江二期项目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10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万吨产能的产品结构？</w:t>
            </w:r>
          </w:p>
          <w:p w14:paraId="38D973A0" w14:textId="1985E66D" w:rsidR="00686932" w:rsidRPr="0062621D" w:rsidRDefault="00000000" w:rsidP="0062621D">
            <w:pPr>
              <w:pStyle w:val="TableParagraph"/>
              <w:spacing w:line="360" w:lineRule="auto"/>
              <w:ind w:firstLineChars="200" w:firstLine="420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</w:pP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答</w:t>
            </w:r>
            <w:r w:rsidR="0062621D"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：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尊敬的投资者你好，镇江二期项目产品结构主要分为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2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大类。大宗类：硫酸、氨水、双氧水、异丙醇等；功能类：蚀刻剂、剥离剂、清洗剂、稀释剂等。</w:t>
            </w:r>
          </w:p>
          <w:p w14:paraId="7E8D771F" w14:textId="77777777" w:rsidR="006600F8" w:rsidRPr="0062621D" w:rsidRDefault="006600F8" w:rsidP="0062621D">
            <w:pPr>
              <w:pStyle w:val="TableParagraph"/>
              <w:spacing w:line="360" w:lineRule="auto"/>
              <w:ind w:firstLineChars="200" w:firstLine="420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</w:pPr>
          </w:p>
          <w:p w14:paraId="46BA7FFF" w14:textId="77777777" w:rsidR="004F6149" w:rsidRPr="0062621D" w:rsidRDefault="00686932" w:rsidP="0062621D">
            <w:pPr>
              <w:pStyle w:val="TableParagraph"/>
              <w:spacing w:line="360" w:lineRule="auto"/>
              <w:ind w:firstLineChars="200" w:firstLine="420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</w:pP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5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、公司在研发方面的投入有多少？产品相较同行的优势在哪里？</w:t>
            </w:r>
          </w:p>
          <w:p w14:paraId="0AFD3855" w14:textId="6CFF5C1A" w:rsidR="004F6149" w:rsidRPr="0062621D" w:rsidRDefault="00000000" w:rsidP="0062621D">
            <w:pPr>
              <w:pStyle w:val="TableParagraph"/>
              <w:spacing w:line="360" w:lineRule="auto"/>
              <w:ind w:firstLineChars="200" w:firstLine="420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</w:pP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答</w:t>
            </w:r>
            <w:r w:rsidR="0062621D"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：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江化微股份研发中心成立于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2002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年，主要从事半导体、液晶面板以及太阳能用超高</w:t>
            </w:r>
            <w:proofErr w:type="gramStart"/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纯湿电子</w:t>
            </w:r>
            <w:proofErr w:type="gramEnd"/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化学品的研发与应用，并于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2012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年获批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“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江苏省超高纯湿电子化学品工程技术研究中心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”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。目前江化微股份研发中心拥有各类技术研究人员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62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人，其中教授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1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名，高级工程师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3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名，研究生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4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名；镇江江化微拥有研究人员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18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人；四川江</w:t>
            </w:r>
            <w:proofErr w:type="gramStart"/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化微拥有</w:t>
            </w:r>
            <w:proofErr w:type="gramEnd"/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研究人员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22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人。江化微是目前国内从事</w:t>
            </w:r>
            <w:proofErr w:type="gramStart"/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湿电子</w:t>
            </w:r>
            <w:proofErr w:type="gramEnd"/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化学品技术研究开发最早、技术力量最强的单位之一。江化微拥有完善的研发体系和研发制度，积极参与组建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“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产学研用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”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平台。江化微股份与南京大学建立长期稳定的合作，并建有省级博士后创新实践基地，利用高校及博士后等丰富的资源，双方开展了一系列课题研究合作。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2023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年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6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月公司成功与广东粤港澳大湾区黄埔材料研究院开展集成电路用</w:t>
            </w:r>
            <w:proofErr w:type="gramStart"/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湿电子</w:t>
            </w:r>
            <w:proofErr w:type="gramEnd"/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化学品的技术开发，用外部科研力量对公司的研发实力进行补充与加强，实现优势互补、共求发展；镇江江化微与江苏大学、江苏科技大学合作，共同就相关技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lastRenderedPageBreak/>
              <w:t>术进行合作研发，使公司接触到理论研究的最新前沿，保持公司技术研发的前瞻性。江化微股份研发中心提倡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“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以人为本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”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，坚持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“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科技创新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”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，利用自身专业的研发团队，研发出具有国际水平产品的生产配方，研究开发新产品新技术超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100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项，取得一批重大科技成果，获得国家火炬计划项目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2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项、国家重大产业振兴项目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1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项、国家工业强基工程项目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1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项、科技部重大专项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1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项、省科技成果转化项目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1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项、参与制定行业标准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2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项，部分产品技术水平达到或超过国外同行业水准，目前拥有江化微股份拥有有效国家专利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99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件，其中发明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45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件，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53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项为实用新型专利，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1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项外观设计；镇江江化微拥有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22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件发明专利，其中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3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项为发明，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19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项为实用新型专利；四川江</w:t>
            </w:r>
            <w:proofErr w:type="gramStart"/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化微拥有</w:t>
            </w:r>
            <w:proofErr w:type="gramEnd"/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15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件发明专利，其中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2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项为发明，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13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项为实用新型专利。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2023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年公司研发费用为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5,972.94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万元，占销售收入的比率为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5.80%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。报告期内，公司进一步提升在产品研发、设计、检测等方面的自主创新能力，多项产品取得标志性的突破。在具体研发项目上，半导体产品研发向高端蚀刻液、清洗剂方向持续发力，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8-12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寸半导体</w:t>
            </w:r>
            <w:proofErr w:type="gramStart"/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封测铜</w:t>
            </w:r>
            <w:proofErr w:type="gramEnd"/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酸量产、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12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寸晶圆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IGBT</w:t>
            </w:r>
            <w:proofErr w:type="gramStart"/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制程</w:t>
            </w:r>
            <w:proofErr w:type="gramEnd"/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TiN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腐蚀液量产、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12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寸晶圆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PM/PMAEBR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量产；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12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寸晶圆旋转</w:t>
            </w:r>
            <w:proofErr w:type="gramStart"/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蚀刻系硅腐蚀</w:t>
            </w:r>
            <w:proofErr w:type="gramEnd"/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成功导入高端半导体并实现量产，也为未来在高端半导体打下夯实的基础；江化微自主研发的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Profile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可控铝蚀刻液，报告期内顺利导入客户端并给公司销售提供增量。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2023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年，公司制定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“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高质量发展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”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方针，以高品质功能性化学品为落脚点，紧密贴合市场，立足客户定制</w:t>
            </w:r>
            <w:proofErr w:type="gramStart"/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化开发</w:t>
            </w:r>
            <w:proofErr w:type="gramEnd"/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需求，优化团队管理矩阵模型，细琢团队产品结构，</w:t>
            </w:r>
            <w:proofErr w:type="gramStart"/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稳扎中</w:t>
            </w:r>
            <w:proofErr w:type="gramEnd"/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端市场，持续突破高世代面板功能性化学品，实现了功能性化学品销售额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57,550.65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万元，占销售收入的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55.88%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，毛利率为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31.07%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，比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2022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年提高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2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个百分点。公司将进一步提升功能性化学品的研发，提升产品的附加值。</w:t>
            </w:r>
          </w:p>
          <w:p w14:paraId="436E62C2" w14:textId="77777777" w:rsidR="006600F8" w:rsidRPr="0062621D" w:rsidRDefault="006600F8" w:rsidP="0062621D">
            <w:pPr>
              <w:pStyle w:val="TableParagraph"/>
              <w:spacing w:line="360" w:lineRule="auto"/>
              <w:ind w:firstLineChars="200" w:firstLine="420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</w:pPr>
          </w:p>
          <w:p w14:paraId="59DAA6AF" w14:textId="7BCD387E" w:rsidR="00686932" w:rsidRPr="0062621D" w:rsidRDefault="00686932" w:rsidP="0062621D">
            <w:pPr>
              <w:pStyle w:val="TableParagraph"/>
              <w:spacing w:line="360" w:lineRule="auto"/>
              <w:ind w:firstLineChars="200" w:firstLine="420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</w:pP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6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、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2023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年营业收入实现了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9.66%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的增长，请问这一增长主要得益于哪些产品或市场领域？未来的增长动力是什么？</w:t>
            </w:r>
          </w:p>
          <w:p w14:paraId="2C931121" w14:textId="30844CB5" w:rsidR="00686932" w:rsidRPr="0062621D" w:rsidRDefault="00000000" w:rsidP="0062621D">
            <w:pPr>
              <w:pStyle w:val="TableParagraph"/>
              <w:spacing w:line="360" w:lineRule="auto"/>
              <w:ind w:firstLineChars="200" w:firstLine="420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</w:pP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答</w:t>
            </w:r>
            <w:r w:rsidR="0062621D"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：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尊敬的投资者，你好，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2023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年度公司营业收入增长主要得益于半导体业务产品的收入增长，公司本年度半导体高端</w:t>
            </w:r>
            <w:proofErr w:type="gramStart"/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湿电子</w:t>
            </w:r>
            <w:proofErr w:type="gramEnd"/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化学品产品的市场占有率增加，尤其是功能性化学品的销售金额增长明显，主要得益于公司的产品的全系列布局，在激烈的市场竞争中占</w:t>
            </w:r>
            <w:proofErr w:type="gramStart"/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得有利</w:t>
            </w:r>
            <w:proofErr w:type="gramEnd"/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位置。</w:t>
            </w:r>
          </w:p>
          <w:p w14:paraId="64139889" w14:textId="77777777" w:rsidR="006600F8" w:rsidRPr="0062621D" w:rsidRDefault="006600F8" w:rsidP="0062621D">
            <w:pPr>
              <w:pStyle w:val="TableParagraph"/>
              <w:spacing w:line="360" w:lineRule="auto"/>
              <w:ind w:firstLineChars="200" w:firstLine="420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</w:pPr>
          </w:p>
          <w:p w14:paraId="62FA6E25" w14:textId="77777777" w:rsidR="00686932" w:rsidRPr="0062621D" w:rsidRDefault="00686932" w:rsidP="0062621D">
            <w:pPr>
              <w:pStyle w:val="TableParagraph"/>
              <w:spacing w:line="360" w:lineRule="auto"/>
              <w:ind w:firstLineChars="200" w:firstLine="420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</w:pP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7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、请问</w:t>
            </w:r>
            <w:proofErr w:type="gramStart"/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湿电子</w:t>
            </w:r>
            <w:proofErr w:type="gramEnd"/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化学的行业特点有哪些？未来能否持续发展？</w:t>
            </w:r>
          </w:p>
          <w:p w14:paraId="22A4EE60" w14:textId="5D7B7255" w:rsidR="00686932" w:rsidRPr="0062621D" w:rsidRDefault="00686932" w:rsidP="0062621D">
            <w:pPr>
              <w:pStyle w:val="TableParagraph"/>
              <w:spacing w:line="360" w:lineRule="auto"/>
              <w:ind w:firstLineChars="200" w:firstLine="420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</w:pP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答</w:t>
            </w:r>
            <w:r w:rsidR="0062621D"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：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一、</w:t>
            </w:r>
            <w:proofErr w:type="gramStart"/>
            <w:r w:rsidR="00E65322"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湿电子</w:t>
            </w:r>
            <w:proofErr w:type="gramEnd"/>
            <w:r w:rsidR="00E65322"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化学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行业特点</w:t>
            </w:r>
          </w:p>
          <w:p w14:paraId="0569A7D7" w14:textId="3D2300C5" w:rsidR="00686932" w:rsidRPr="0062621D" w:rsidRDefault="00686932" w:rsidP="0062621D">
            <w:pPr>
              <w:pStyle w:val="TableParagraph"/>
              <w:spacing w:line="360" w:lineRule="auto"/>
              <w:ind w:firstLineChars="200" w:firstLine="420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</w:pPr>
            <w:proofErr w:type="gramStart"/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湿电子</w:t>
            </w:r>
            <w:proofErr w:type="gramEnd"/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化学品行业是精细化工和电子信息行业交叉的领域，其行业特色充分融入了两大行业的自身特点：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1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、品种多、下游应用领域多</w:t>
            </w:r>
            <w:r w:rsidR="00D255AE">
              <w:rPr>
                <w:rFonts w:ascii="Times New Roman" w:eastAsiaTheme="minorEastAsia" w:hAnsi="Times New Roman" w:cs="Times New Roman" w:hint="eastAsia"/>
                <w:sz w:val="21"/>
                <w:szCs w:val="21"/>
                <w:lang w:val="en-US"/>
              </w:rPr>
              <w:t>。</w:t>
            </w:r>
            <w:proofErr w:type="gramStart"/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湿电子</w:t>
            </w:r>
            <w:proofErr w:type="gramEnd"/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化学品品种规格繁多，在电子产品的不同领域中均有所应用，同时，在不同的工艺环节应用的</w:t>
            </w:r>
            <w:proofErr w:type="gramStart"/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湿电子</w:t>
            </w:r>
            <w:proofErr w:type="gramEnd"/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化学品也不同。如手机、计算机、电脑、新能源电池等的生产制作需要使用光刻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lastRenderedPageBreak/>
              <w:t>胶及配套试剂、封装材料、高纯试剂、工艺化学品、液晶材料等，而在不同的工艺流程应用中，又有清洗液、显影液、漂洗液、蚀刻液、剥离液等品种。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2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、专业跨度大、技术门槛高</w:t>
            </w:r>
            <w:r w:rsidR="00D255AE">
              <w:rPr>
                <w:rFonts w:ascii="Times New Roman" w:eastAsiaTheme="minorEastAsia" w:hAnsi="Times New Roman" w:cs="Times New Roman" w:hint="eastAsia"/>
                <w:sz w:val="21"/>
                <w:szCs w:val="21"/>
                <w:lang w:val="en-US"/>
              </w:rPr>
              <w:t>。</w:t>
            </w:r>
            <w:proofErr w:type="gramStart"/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湿电子</w:t>
            </w:r>
            <w:proofErr w:type="gramEnd"/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化学品系化工、材料科学、电子工程等多学科结合的综合学科领域，单一产品具有高度专用性，应用领域集中，各种</w:t>
            </w:r>
            <w:proofErr w:type="gramStart"/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湿电子</w:t>
            </w:r>
            <w:proofErr w:type="gramEnd"/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化学品之间在材料属性、生产工艺、功能原理、应用领域之间差异较大，产品之间专业跨度大。同时，</w:t>
            </w:r>
            <w:proofErr w:type="gramStart"/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湿电子</w:t>
            </w:r>
            <w:proofErr w:type="gramEnd"/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化学品是化学试剂中对纯度要求最高的领域，对生产的工艺流程、生产设备、生产的环境控制、包装技术都有非常高的要求。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3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、产品更新换代快</w:t>
            </w:r>
            <w:r w:rsidR="00D255AE">
              <w:rPr>
                <w:rFonts w:ascii="Times New Roman" w:eastAsiaTheme="minorEastAsia" w:hAnsi="Times New Roman" w:cs="Times New Roman" w:hint="eastAsia"/>
                <w:sz w:val="21"/>
                <w:szCs w:val="21"/>
                <w:lang w:val="en-US"/>
              </w:rPr>
              <w:t>。</w:t>
            </w:r>
            <w:proofErr w:type="gramStart"/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湿电子</w:t>
            </w:r>
            <w:proofErr w:type="gramEnd"/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化学品与下游行业结合紧密，新能源、信息通讯、消费电子等下游行业的快速发展，势必要求电子化学品更新换代速度不断加快，企业科技研发水平与日俱增。素有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“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一代产品、一代材料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”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之说。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4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、功能性强、附加值高</w:t>
            </w:r>
            <w:r w:rsidR="00D255AE">
              <w:rPr>
                <w:rFonts w:ascii="Times New Roman" w:eastAsiaTheme="minorEastAsia" w:hAnsi="Times New Roman" w:cs="Times New Roman" w:hint="eastAsia"/>
                <w:sz w:val="21"/>
                <w:szCs w:val="21"/>
                <w:lang w:val="en-US"/>
              </w:rPr>
              <w:t>。</w:t>
            </w:r>
            <w:proofErr w:type="gramStart"/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湿电子</w:t>
            </w:r>
            <w:proofErr w:type="gramEnd"/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化学品是电子产业链的前端，其工艺水平和产品质量直接对元器件的功能构成重要影响，进而通过产业传导影响到终端整机产品的性能。元器件乃至整机产品的升级换代，有赖于电子化学品的技术创新和进步。</w:t>
            </w:r>
            <w:proofErr w:type="gramStart"/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湿电子</w:t>
            </w:r>
            <w:proofErr w:type="gramEnd"/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化学品功能的重要性决定了产品附加值较高、质量要求严的特点。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5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、与下游企业关系紧密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gramStart"/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湿电子</w:t>
            </w:r>
            <w:proofErr w:type="gramEnd"/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化学品尽管在下游电子元器件中成本占比很小，但对最终产品性能影响很大，大型下游企业</w:t>
            </w:r>
            <w:proofErr w:type="gramStart"/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对湿电子</w:t>
            </w:r>
            <w:proofErr w:type="gramEnd"/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化学品的质量和供货能力十分重视，常采用认证采购的模式。一般产品得到下游客户的认证需要较长的时间，因此一旦与下游企业合作，就会形成稳定的合作关系，后进入市场者将面临较高的市场门槛。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6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、高成长性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现代的</w:t>
            </w:r>
            <w:proofErr w:type="gramStart"/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湿电子</w:t>
            </w:r>
            <w:proofErr w:type="gramEnd"/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化学品产业属于高附加值、低污染、低排放的高科技产业。它不同于传统精细化工企业，是作为信息技术产业的配套性、支撑性的重要企业，其下游应用领域发展前景广阔，所以，</w:t>
            </w:r>
            <w:proofErr w:type="gramStart"/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湿电子</w:t>
            </w:r>
            <w:proofErr w:type="gramEnd"/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化学品行业是一个高附加值且具有广阔市场发展前景的朝阳行业。</w:t>
            </w:r>
            <w:proofErr w:type="gramStart"/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湿电子</w:t>
            </w:r>
            <w:proofErr w:type="gramEnd"/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化学品是电子信息产品领域中，特别是平板显示、超大规模集成电路（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IC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）、硅晶太阳能电池制作过程中的关键性基础化工材料之一，是重要的电子信息材料。电子信息行业的蓬勃发展，带动了上游原材料电子化学品的快速发展，</w:t>
            </w:r>
            <w:proofErr w:type="gramStart"/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湿电子</w:t>
            </w:r>
            <w:proofErr w:type="gramEnd"/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化学品正成为我国化工行业发展最快并具活力的领域。</w:t>
            </w:r>
          </w:p>
          <w:p w14:paraId="021C9860" w14:textId="54CEA03E" w:rsidR="00686932" w:rsidRPr="0062621D" w:rsidRDefault="00686932" w:rsidP="0062621D">
            <w:pPr>
              <w:pStyle w:val="TableParagraph"/>
              <w:spacing w:line="360" w:lineRule="auto"/>
              <w:ind w:firstLineChars="200" w:firstLine="420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</w:pP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二、</w:t>
            </w:r>
            <w:proofErr w:type="gramStart"/>
            <w:r w:rsidR="00E65322"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湿电子</w:t>
            </w:r>
            <w:proofErr w:type="gramEnd"/>
            <w:r w:rsidR="00E65322"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化学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未来市场空间</w:t>
            </w:r>
          </w:p>
          <w:p w14:paraId="3F0C7CA2" w14:textId="440154BC" w:rsidR="00A61602" w:rsidRPr="0062621D" w:rsidRDefault="00686932" w:rsidP="0062621D">
            <w:pPr>
              <w:pStyle w:val="TableParagraph"/>
              <w:spacing w:line="360" w:lineRule="auto"/>
              <w:ind w:firstLineChars="200" w:firstLine="420"/>
              <w:jc w:val="both"/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</w:pP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中国电子材料行业协会数据显示，综合国内集成电路、新型显示、光伏太阳能电池三大领域用湿化学品市场需求，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2023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年总计需求达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307.03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万吨，同比增长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16.71%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。预计到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2025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年国内湿化学品市场需求将增长至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460.45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万吨。</w:t>
            </w:r>
          </w:p>
        </w:tc>
      </w:tr>
      <w:tr w:rsidR="00A61602" w:rsidRPr="0062621D" w14:paraId="28FA6BF6" w14:textId="77777777" w:rsidTr="0062621D">
        <w:trPr>
          <w:trHeight w:val="561"/>
          <w:jc w:val="center"/>
        </w:trPr>
        <w:tc>
          <w:tcPr>
            <w:tcW w:w="1413" w:type="dxa"/>
            <w:vAlign w:val="center"/>
          </w:tcPr>
          <w:p w14:paraId="3658B880" w14:textId="77777777" w:rsidR="00A61602" w:rsidRPr="0062621D" w:rsidRDefault="00000000">
            <w:pPr>
              <w:pStyle w:val="TableParagraph"/>
              <w:spacing w:before="1"/>
              <w:ind w:left="107"/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</w:pPr>
            <w:r w:rsidRPr="0062621D"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  <w:lastRenderedPageBreak/>
              <w:t>附件清单（如有）</w:t>
            </w:r>
          </w:p>
        </w:tc>
        <w:tc>
          <w:tcPr>
            <w:tcW w:w="7523" w:type="dxa"/>
            <w:vAlign w:val="center"/>
          </w:tcPr>
          <w:p w14:paraId="04AAD6AD" w14:textId="0BD69CDB" w:rsidR="00A61602" w:rsidRPr="0062621D" w:rsidRDefault="004F6149">
            <w:pPr>
              <w:pStyle w:val="TableParagraph"/>
              <w:spacing w:before="100" w:beforeAutospacing="1" w:line="360" w:lineRule="auto"/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</w:pP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无</w:t>
            </w:r>
          </w:p>
        </w:tc>
      </w:tr>
      <w:tr w:rsidR="00A61602" w:rsidRPr="0062621D" w14:paraId="376BF020" w14:textId="77777777" w:rsidTr="0062621D">
        <w:trPr>
          <w:trHeight w:val="490"/>
          <w:jc w:val="center"/>
        </w:trPr>
        <w:tc>
          <w:tcPr>
            <w:tcW w:w="1413" w:type="dxa"/>
            <w:vAlign w:val="center"/>
          </w:tcPr>
          <w:p w14:paraId="2A0C904A" w14:textId="77777777" w:rsidR="00A61602" w:rsidRPr="0062621D" w:rsidRDefault="00000000">
            <w:pPr>
              <w:pStyle w:val="TableParagraph"/>
              <w:spacing w:before="1"/>
              <w:ind w:left="107"/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</w:pPr>
            <w:r w:rsidRPr="0062621D">
              <w:rPr>
                <w:rFonts w:ascii="Times New Roman" w:eastAsia="宋体" w:hAnsi="Times New Roman" w:cs="Times New Roman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7523" w:type="dxa"/>
            <w:vAlign w:val="center"/>
          </w:tcPr>
          <w:p w14:paraId="3F082B25" w14:textId="77777777" w:rsidR="00A61602" w:rsidRPr="0062621D" w:rsidRDefault="00000000">
            <w:pPr>
              <w:pStyle w:val="TableParagraph"/>
              <w:spacing w:before="100" w:beforeAutospacing="1"/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</w:pP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2024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年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03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月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26</w:t>
            </w:r>
            <w:r w:rsidRPr="0062621D">
              <w:rPr>
                <w:rFonts w:ascii="Times New Roman" w:eastAsiaTheme="minorEastAsia" w:hAnsi="Times New Roman" w:cs="Times New Roman"/>
                <w:sz w:val="21"/>
                <w:szCs w:val="21"/>
                <w:lang w:val="en-US"/>
              </w:rPr>
              <w:t>日</w:t>
            </w:r>
          </w:p>
        </w:tc>
      </w:tr>
    </w:tbl>
    <w:p w14:paraId="42E7D29E" w14:textId="77777777" w:rsidR="00A61602" w:rsidRPr="0062621D" w:rsidRDefault="00A61602" w:rsidP="007643C9">
      <w:pPr>
        <w:rPr>
          <w:rFonts w:ascii="Times New Roman" w:eastAsia="宋体" w:hAnsi="Times New Roman" w:cs="Times New Roman"/>
          <w:sz w:val="28"/>
          <w:szCs w:val="36"/>
        </w:rPr>
      </w:pPr>
    </w:p>
    <w:sectPr w:rsidR="00A61602" w:rsidRPr="0062621D"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D5E8D7" w14:textId="77777777" w:rsidR="00326466" w:rsidRDefault="00326466" w:rsidP="00CF591F">
      <w:r>
        <w:separator/>
      </w:r>
    </w:p>
  </w:endnote>
  <w:endnote w:type="continuationSeparator" w:id="0">
    <w:p w14:paraId="2EC7F353" w14:textId="77777777" w:rsidR="00326466" w:rsidRDefault="00326466" w:rsidP="00CF5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BE0D46" w14:textId="77777777" w:rsidR="00326466" w:rsidRDefault="00326466" w:rsidP="00CF591F">
      <w:r>
        <w:separator/>
      </w:r>
    </w:p>
  </w:footnote>
  <w:footnote w:type="continuationSeparator" w:id="0">
    <w:p w14:paraId="1949C1DA" w14:textId="77777777" w:rsidR="00326466" w:rsidRDefault="00326466" w:rsidP="00CF59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84072E"/>
    <w:multiLevelType w:val="hybridMultilevel"/>
    <w:tmpl w:val="D81E77B2"/>
    <w:lvl w:ilvl="0" w:tplc="C1D49700">
      <w:start w:val="1"/>
      <w:numFmt w:val="decimal"/>
      <w:suff w:val="nothing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num w:numId="1" w16cid:durableId="827794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k0YzkwM2RjNTM4MDI1ZWI5Yjk1MTAwMzNkNTk2NmYifQ=="/>
  </w:docVars>
  <w:rsids>
    <w:rsidRoot w:val="00301D32"/>
    <w:rsid w:val="00011DBA"/>
    <w:rsid w:val="00026CC3"/>
    <w:rsid w:val="00036089"/>
    <w:rsid w:val="00053CFA"/>
    <w:rsid w:val="000633EC"/>
    <w:rsid w:val="00063804"/>
    <w:rsid w:val="000665A2"/>
    <w:rsid w:val="000877AB"/>
    <w:rsid w:val="000B7C08"/>
    <w:rsid w:val="000D12CF"/>
    <w:rsid w:val="000D2D88"/>
    <w:rsid w:val="000E4B20"/>
    <w:rsid w:val="0011418F"/>
    <w:rsid w:val="00172C24"/>
    <w:rsid w:val="001A10C3"/>
    <w:rsid w:val="001E59D1"/>
    <w:rsid w:val="001E5EA4"/>
    <w:rsid w:val="002042A7"/>
    <w:rsid w:val="00205911"/>
    <w:rsid w:val="002146AD"/>
    <w:rsid w:val="00275CB6"/>
    <w:rsid w:val="002800B5"/>
    <w:rsid w:val="00295B29"/>
    <w:rsid w:val="002D4073"/>
    <w:rsid w:val="002E7098"/>
    <w:rsid w:val="00301D32"/>
    <w:rsid w:val="00326466"/>
    <w:rsid w:val="00366FAD"/>
    <w:rsid w:val="0037105B"/>
    <w:rsid w:val="003975BA"/>
    <w:rsid w:val="003A74E6"/>
    <w:rsid w:val="003B73DD"/>
    <w:rsid w:val="003C00DD"/>
    <w:rsid w:val="003D011C"/>
    <w:rsid w:val="004108C7"/>
    <w:rsid w:val="00412DC2"/>
    <w:rsid w:val="004315C4"/>
    <w:rsid w:val="00440041"/>
    <w:rsid w:val="00451268"/>
    <w:rsid w:val="004515AD"/>
    <w:rsid w:val="00451857"/>
    <w:rsid w:val="00453516"/>
    <w:rsid w:val="00457548"/>
    <w:rsid w:val="00470DB2"/>
    <w:rsid w:val="004925E7"/>
    <w:rsid w:val="00495B11"/>
    <w:rsid w:val="004F6149"/>
    <w:rsid w:val="004F6FF3"/>
    <w:rsid w:val="00571B49"/>
    <w:rsid w:val="005743AE"/>
    <w:rsid w:val="005749B1"/>
    <w:rsid w:val="005D64CA"/>
    <w:rsid w:val="005E5717"/>
    <w:rsid w:val="005E6DB2"/>
    <w:rsid w:val="0061433E"/>
    <w:rsid w:val="0062621D"/>
    <w:rsid w:val="0062751D"/>
    <w:rsid w:val="006354AA"/>
    <w:rsid w:val="006600F8"/>
    <w:rsid w:val="00661AFA"/>
    <w:rsid w:val="006726BF"/>
    <w:rsid w:val="00677B77"/>
    <w:rsid w:val="00686932"/>
    <w:rsid w:val="0068718A"/>
    <w:rsid w:val="00693736"/>
    <w:rsid w:val="006A2739"/>
    <w:rsid w:val="006B5C95"/>
    <w:rsid w:val="006E14B0"/>
    <w:rsid w:val="006F0108"/>
    <w:rsid w:val="00704AE6"/>
    <w:rsid w:val="007153A2"/>
    <w:rsid w:val="00724A68"/>
    <w:rsid w:val="007271BF"/>
    <w:rsid w:val="00730DD3"/>
    <w:rsid w:val="00733224"/>
    <w:rsid w:val="0076303B"/>
    <w:rsid w:val="00764128"/>
    <w:rsid w:val="007643C9"/>
    <w:rsid w:val="007824B8"/>
    <w:rsid w:val="007910DD"/>
    <w:rsid w:val="007A3EC1"/>
    <w:rsid w:val="007B3368"/>
    <w:rsid w:val="007D0A69"/>
    <w:rsid w:val="007D6DC4"/>
    <w:rsid w:val="007F5395"/>
    <w:rsid w:val="00853463"/>
    <w:rsid w:val="00893F25"/>
    <w:rsid w:val="00895035"/>
    <w:rsid w:val="008B2B14"/>
    <w:rsid w:val="008C6AED"/>
    <w:rsid w:val="008C7604"/>
    <w:rsid w:val="008E1B27"/>
    <w:rsid w:val="00903379"/>
    <w:rsid w:val="00906975"/>
    <w:rsid w:val="00917F0B"/>
    <w:rsid w:val="00917F8B"/>
    <w:rsid w:val="00960964"/>
    <w:rsid w:val="00965E4D"/>
    <w:rsid w:val="009B1D5C"/>
    <w:rsid w:val="009C2E31"/>
    <w:rsid w:val="009E1955"/>
    <w:rsid w:val="00A527AA"/>
    <w:rsid w:val="00A5684D"/>
    <w:rsid w:val="00A61602"/>
    <w:rsid w:val="00A75C61"/>
    <w:rsid w:val="00A9601B"/>
    <w:rsid w:val="00AD100E"/>
    <w:rsid w:val="00AE1E36"/>
    <w:rsid w:val="00AF74AA"/>
    <w:rsid w:val="00B03C2F"/>
    <w:rsid w:val="00B15064"/>
    <w:rsid w:val="00B22331"/>
    <w:rsid w:val="00B340A3"/>
    <w:rsid w:val="00B410F5"/>
    <w:rsid w:val="00B6280C"/>
    <w:rsid w:val="00B671A4"/>
    <w:rsid w:val="00B72CD4"/>
    <w:rsid w:val="00B85B00"/>
    <w:rsid w:val="00BF132F"/>
    <w:rsid w:val="00C10F4A"/>
    <w:rsid w:val="00C13878"/>
    <w:rsid w:val="00CA1705"/>
    <w:rsid w:val="00CE1A54"/>
    <w:rsid w:val="00CF591F"/>
    <w:rsid w:val="00CF5FB6"/>
    <w:rsid w:val="00D02518"/>
    <w:rsid w:val="00D17454"/>
    <w:rsid w:val="00D255AE"/>
    <w:rsid w:val="00D33FBC"/>
    <w:rsid w:val="00D7535C"/>
    <w:rsid w:val="00D76302"/>
    <w:rsid w:val="00DA5CE2"/>
    <w:rsid w:val="00DE10E8"/>
    <w:rsid w:val="00DF3B37"/>
    <w:rsid w:val="00E16FDA"/>
    <w:rsid w:val="00E35F58"/>
    <w:rsid w:val="00E45BD9"/>
    <w:rsid w:val="00E53340"/>
    <w:rsid w:val="00E65322"/>
    <w:rsid w:val="00E66FFC"/>
    <w:rsid w:val="00E759D6"/>
    <w:rsid w:val="00E84A8C"/>
    <w:rsid w:val="00E976DE"/>
    <w:rsid w:val="00EC0F83"/>
    <w:rsid w:val="00EE3187"/>
    <w:rsid w:val="00EF499B"/>
    <w:rsid w:val="00F14977"/>
    <w:rsid w:val="00F8089E"/>
    <w:rsid w:val="00FB4A08"/>
    <w:rsid w:val="00FC0C2A"/>
    <w:rsid w:val="00FD7F8E"/>
    <w:rsid w:val="00FF11E4"/>
    <w:rsid w:val="04B072D4"/>
    <w:rsid w:val="05F575D4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45F688C"/>
    <w:rsid w:val="15DD2205"/>
    <w:rsid w:val="17072842"/>
    <w:rsid w:val="17A67110"/>
    <w:rsid w:val="1864189B"/>
    <w:rsid w:val="18D73A7D"/>
    <w:rsid w:val="19557370"/>
    <w:rsid w:val="1BD06B6A"/>
    <w:rsid w:val="1F782BDE"/>
    <w:rsid w:val="204A6A53"/>
    <w:rsid w:val="23317869"/>
    <w:rsid w:val="25650CAE"/>
    <w:rsid w:val="26406598"/>
    <w:rsid w:val="28080056"/>
    <w:rsid w:val="28734C1A"/>
    <w:rsid w:val="28C72DDD"/>
    <w:rsid w:val="29EE0E64"/>
    <w:rsid w:val="2BC4020A"/>
    <w:rsid w:val="2EF90F16"/>
    <w:rsid w:val="2F125C63"/>
    <w:rsid w:val="302C3D0A"/>
    <w:rsid w:val="3104598F"/>
    <w:rsid w:val="33DE31BB"/>
    <w:rsid w:val="389C49C0"/>
    <w:rsid w:val="39BC78F4"/>
    <w:rsid w:val="3B35486F"/>
    <w:rsid w:val="3EF1250A"/>
    <w:rsid w:val="40567DB0"/>
    <w:rsid w:val="40FF5CD2"/>
    <w:rsid w:val="42DB40B0"/>
    <w:rsid w:val="43B71B0A"/>
    <w:rsid w:val="44FA0589"/>
    <w:rsid w:val="45A663E3"/>
    <w:rsid w:val="469F09AF"/>
    <w:rsid w:val="4B756271"/>
    <w:rsid w:val="4C8E1CA8"/>
    <w:rsid w:val="4D6D36A4"/>
    <w:rsid w:val="510903EF"/>
    <w:rsid w:val="53F137F4"/>
    <w:rsid w:val="543A6906"/>
    <w:rsid w:val="56850CBB"/>
    <w:rsid w:val="59D8738A"/>
    <w:rsid w:val="5A666D76"/>
    <w:rsid w:val="5B2253C2"/>
    <w:rsid w:val="5CF02E0F"/>
    <w:rsid w:val="603269D2"/>
    <w:rsid w:val="61A52BCA"/>
    <w:rsid w:val="67095496"/>
    <w:rsid w:val="67ED7463"/>
    <w:rsid w:val="681A546A"/>
    <w:rsid w:val="69CB37D4"/>
    <w:rsid w:val="6A0D5B9B"/>
    <w:rsid w:val="6A3B23B1"/>
    <w:rsid w:val="6AEA32DC"/>
    <w:rsid w:val="6CC24AB5"/>
    <w:rsid w:val="6D9271B2"/>
    <w:rsid w:val="6F134790"/>
    <w:rsid w:val="6FE81F5F"/>
    <w:rsid w:val="717A44D9"/>
    <w:rsid w:val="72446028"/>
    <w:rsid w:val="73076EC0"/>
    <w:rsid w:val="74210CA6"/>
    <w:rsid w:val="746F4E76"/>
    <w:rsid w:val="788C25F5"/>
    <w:rsid w:val="79F72AA9"/>
    <w:rsid w:val="7A144529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3A7738"/>
  <w15:docId w15:val="{C66BB6F5-D39C-4B23-8E78-70C7DC7CB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</w:style>
  <w:style w:type="paragraph" w:styleId="a5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character" w:styleId="ae">
    <w:name w:val="Strong"/>
    <w:basedOn w:val="a0"/>
    <w:qFormat/>
    <w:rPr>
      <w:b/>
    </w:rPr>
  </w:style>
  <w:style w:type="character" w:styleId="af">
    <w:name w:val="annotation reference"/>
    <w:basedOn w:val="a0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ab">
    <w:name w:val="页眉 字符"/>
    <w:basedOn w:val="a0"/>
    <w:link w:val="aa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9">
    <w:name w:val="页脚 字符"/>
    <w:basedOn w:val="a0"/>
    <w:link w:val="a8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4">
    <w:name w:val="批注文字 字符"/>
    <w:basedOn w:val="a0"/>
    <w:link w:val="a3"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ad">
    <w:name w:val="批注主题 字符"/>
    <w:basedOn w:val="a4"/>
    <w:link w:val="ac"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a7">
    <w:name w:val="批注框文本 字符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  <w:style w:type="character" w:styleId="af0">
    <w:name w:val="Hyperlink"/>
    <w:basedOn w:val="a0"/>
    <w:rsid w:val="004F6149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4F6149"/>
    <w:rPr>
      <w:color w:val="605E5C"/>
      <w:shd w:val="clear" w:color="auto" w:fill="E1DFDD"/>
    </w:rPr>
  </w:style>
  <w:style w:type="paragraph" w:styleId="af2">
    <w:name w:val="Revision"/>
    <w:hidden/>
    <w:uiPriority w:val="99"/>
    <w:unhideWhenUsed/>
    <w:rsid w:val="00011DBA"/>
    <w:rPr>
      <w:rFonts w:ascii="仿宋" w:eastAsia="仿宋" w:hAnsi="仿宋" w:cs="仿宋"/>
      <w:sz w:val="22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16454-D52C-4974-A468-5D02FFFCA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611</Words>
  <Characters>3487</Characters>
  <Application>Microsoft Office Word</Application>
  <DocSecurity>0</DocSecurity>
  <Lines>29</Lines>
  <Paragraphs>8</Paragraphs>
  <ScaleCrop>false</ScaleCrop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jie.huang</dc:creator>
  <cp:lastModifiedBy>春霜 缪</cp:lastModifiedBy>
  <cp:revision>6</cp:revision>
  <dcterms:created xsi:type="dcterms:W3CDTF">2024-03-26T07:23:00Z</dcterms:created>
  <dcterms:modified xsi:type="dcterms:W3CDTF">2024-03-26T08:19:00Z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57D148DF2F764966BF4E1C38A6255FA2</vt:lpwstr>
  </property>
</Properties>
</file>