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中青旅控股股份有限公司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投资者调研会议记录</w:t>
      </w:r>
    </w:p>
    <w:p>
      <w:pPr>
        <w:spacing w:line="300" w:lineRule="auto"/>
        <w:jc w:val="center"/>
        <w:rPr>
          <w:rFonts w:hint="eastAsia" w:ascii="楷体" w:hAnsi="楷体" w:eastAsia="楷体"/>
          <w:b/>
          <w:bCs/>
          <w:szCs w:val="21"/>
        </w:rPr>
      </w:pPr>
    </w:p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时  间：202</w:t>
      </w:r>
      <w:r>
        <w:rPr>
          <w:rFonts w:hint="eastAsia" w:ascii="宋体" w:hAnsi="宋体" w:eastAsia="宋体"/>
          <w:b/>
          <w:sz w:val="24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</w:rPr>
        <w:t>年</w:t>
      </w:r>
      <w:r>
        <w:rPr>
          <w:rFonts w:hint="eastAsia" w:ascii="宋体" w:hAnsi="宋体" w:eastAsia="宋体"/>
          <w:b/>
          <w:sz w:val="24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</w:rPr>
        <w:t>月</w:t>
      </w:r>
      <w:r>
        <w:rPr>
          <w:rFonts w:hint="eastAsia" w:ascii="宋体" w:hAnsi="宋体" w:eastAsia="宋体"/>
          <w:b/>
          <w:sz w:val="24"/>
          <w:lang w:val="en-US" w:eastAsia="zh-CN"/>
        </w:rPr>
        <w:t>3</w:t>
      </w:r>
      <w:r>
        <w:rPr>
          <w:rFonts w:hint="eastAsia" w:ascii="宋体" w:hAnsi="宋体" w:eastAsia="宋体"/>
          <w:b/>
          <w:sz w:val="24"/>
        </w:rPr>
        <w:t>日</w:t>
      </w:r>
      <w:r>
        <w:rPr>
          <w:rFonts w:ascii="宋体" w:hAnsi="宋体" w:eastAsia="宋体"/>
          <w:b/>
          <w:sz w:val="24"/>
        </w:rPr>
        <w:br w:type="textWrapping"/>
      </w:r>
      <w:r>
        <w:rPr>
          <w:rFonts w:hint="eastAsia" w:ascii="宋体" w:hAnsi="宋体" w:eastAsia="宋体"/>
          <w:b/>
          <w:sz w:val="24"/>
        </w:rPr>
        <w:t>方  式：</w:t>
      </w:r>
      <w:r>
        <w:rPr>
          <w:rFonts w:hint="eastAsia" w:ascii="宋体" w:hAnsi="宋体" w:eastAsia="宋体"/>
          <w:b/>
          <w:sz w:val="24"/>
          <w:lang w:val="en-US" w:eastAsia="zh-CN"/>
        </w:rPr>
        <w:t>电话</w:t>
      </w:r>
      <w:r>
        <w:rPr>
          <w:rFonts w:hint="eastAsia" w:ascii="宋体" w:hAnsi="宋体" w:eastAsia="宋体"/>
          <w:b/>
          <w:sz w:val="24"/>
        </w:rPr>
        <w:t>调研</w:t>
      </w: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 w:eastAsia="宋体"/>
          <w:b/>
          <w:sz w:val="24"/>
        </w:rPr>
        <w:t>接待人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>董事会秘书</w:t>
      </w:r>
      <w:r>
        <w:rPr>
          <w:rFonts w:hint="eastAsia" w:ascii="宋体" w:hAnsi="宋体" w:eastAsia="宋体"/>
          <w:b/>
          <w:sz w:val="24"/>
        </w:rPr>
        <w:t xml:space="preserve"> 范思远</w:t>
      </w:r>
    </w:p>
    <w:p>
      <w:pPr>
        <w:spacing w:line="30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出  席：兴业证券、东北证券、西南证券等</w:t>
      </w:r>
    </w:p>
    <w:p>
      <w:pPr>
        <w:spacing w:line="300" w:lineRule="auto"/>
        <w:jc w:val="center"/>
        <w:rPr>
          <w:rFonts w:hint="eastAsia" w:ascii="楷体" w:hAnsi="楷体" w:eastAsia="楷体"/>
          <w:b/>
          <w:bCs/>
          <w:szCs w:val="21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一、简要介绍公司2023年度经营情况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2023年，旅游消费展现出蓬勃生机，旅游市场繁荣有序。公司抓住行业恢复机遇，立足“国内一流文旅综合服务商”的中长期发展定位，围绕“文旅目的地投资运营管理和文旅综合服务”主业，扎实做好生产经营，各业务板块业绩全面提升，实现营业收入96.35亿元，同比增长50.15%，实现归属于上市公司股东净利润1.94亿元，同比大幅扭亏为盈。乌镇景区2023年共接待游客772.07万，同比增长568%，其中东栅景区接待游客227.42万，同比增长1309.92%，西栅景区接待游客544.64万，同比增长447.65%。乌镇公司实现营业收入17.84亿元，同比增长183.65%；实现净利润2.84亿元，经营业绩稳健复苏。古北水镇2023年共接待游客152.36万，同比增长34.89%，实现营业收入7.35亿元，同比增长6.78%，经营业绩实现盈利，较2022年大幅改善。整合营销经营业绩全面回暖，全年实现营业收入21.87亿元，同比增长108.99%；净利润4,452.32万元，同比扭亏为盈。2023年，酒店行业呈现出较好的复苏态势，山水酒店实现营业收入4.10亿元，同比增长27.77%，较2022年减亏3,944.17万元。旅行社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业务总体</w:t>
      </w:r>
      <w:r>
        <w:rPr>
          <w:rFonts w:hint="eastAsia" w:ascii="宋体" w:hAnsi="宋体" w:eastAsia="宋体" w:cs="宋体"/>
          <w:b w:val="0"/>
          <w:bCs w:val="0"/>
          <w:sz w:val="24"/>
        </w:rPr>
        <w:t>疫情后规模与利润同向增长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但</w:t>
      </w:r>
      <w:r>
        <w:rPr>
          <w:rFonts w:hint="eastAsia" w:ascii="宋体" w:hAnsi="宋体" w:eastAsia="宋体" w:cs="宋体"/>
          <w:b w:val="0"/>
          <w:bCs w:val="0"/>
          <w:sz w:val="24"/>
        </w:rPr>
        <w:t>政策层面逐步放开出境旅游，服务链条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上的恢复</w:t>
      </w:r>
      <w:r>
        <w:rPr>
          <w:rFonts w:hint="eastAsia" w:ascii="宋体" w:hAnsi="宋体" w:eastAsia="宋体" w:cs="宋体"/>
          <w:b w:val="0"/>
          <w:bCs w:val="0"/>
          <w:sz w:val="24"/>
        </w:rPr>
        <w:t>还需要一段时间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</w:rPr>
        <w:t>同时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跟2019年相比，受新收入</w:t>
      </w:r>
      <w:r>
        <w:rPr>
          <w:rFonts w:hint="eastAsia" w:ascii="宋体" w:hAnsi="宋体" w:eastAsia="宋体" w:cs="宋体"/>
          <w:b w:val="0"/>
          <w:bCs w:val="0"/>
          <w:sz w:val="24"/>
        </w:rPr>
        <w:t>准则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影响，收入确认原则有较大差异，（如单项服务只能按照净额确认收入），整体较2019年仍有差距。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二、调研交流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1.乌镇、古北水镇2023年度人均消费较2019年提升明显，较2021年、2022年有所下降，分别是什么原因？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夜客人比例对景区业务的人均消费影响较大。2021年、2022年酒店过夜客人比例相对较高，客单价对应较高。疫情后客流逐步恢复，但酒店客房供给总量有限，尤其在旺季，因此在客流大幅提升的情况下，客单价有所下降是正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2023年与2019年相比客单价提升，一方面是近三年来，景区酒店客房供给有所增加，另一方面是景区不断更新、创新业态，丰富景区内各种活动，游客在景区内消费有所提升。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古北水镇自主运营后，管理上有哪些方面的调整？2023年北京暑期旅游市场火爆，为什么古北水镇恢复情况不如乌镇？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2023年5月以来，古北水镇顺利完成了管理交接，在人员、服务、营销等多方面均实现了平稳过渡。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古北水镇和乌镇恢复程度不同，主要原因在于两镇客流结构的差异。乌镇是全国型旅游目的地，在全国范围内具有较高的知名度，而古北水镇主要定位在京津冀小范围近郊市场。2023年北京旅游市场火爆，主要是国内其他地区游客入京，更多聚焦在故宫、颐和园、博物馆等传统历史文化景点，同时北京本地客流在2023年暑假更倾向于京外目的地，因此定位于全国旅游目的地的乌镇景区恢复情况更好。未来古北水镇会重点拓展全国客流，充分利用司马台长城品牌，吸引远端客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古北水镇未来提升、发展的规划如何？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古北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已经开业接近10年，产品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类型未发生大的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变动，基本维持了在北京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旅游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市场上的优势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未来重点的发力方向有几个方面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一是高规格的会议接待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方面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中青旅也会积极发挥国央企股东作用，推动提升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古北水镇在高规格会议市场上的影响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，提升全国的知名度。二是景区内容的更新和替换，古北水镇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进行全面梳理，引进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更多创新活动，丰富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业态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着重做新的招商，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策划自有产品。三是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将在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营销渠道发力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，整体推动古北水镇产品和市场地位的提升。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乌镇2023年折旧摊销成本如何？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乌镇近三年新增900间客房，相对疫情之前每年折旧摊销有所增加，同时原有可以资本化的财务费用转出，会增加一部分财务费用。折旧、财务费用的集中释放，给乌镇的成本费用端带来一定压力，但换个角度看，该部分投入对于乌镇未来的持续提升打下比较好的基础。今年我们对乌镇的运营目标也主要集中在入住率提升、人均消费提升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政府补贴是否有预期？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政府补贴有不确定性，具体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要看</w:t>
      </w:r>
      <w:r>
        <w:rPr>
          <w:rFonts w:hint="eastAsia" w:ascii="宋体" w:hAnsi="宋体" w:eastAsia="宋体" w:cs="宋体"/>
          <w:sz w:val="24"/>
          <w:szCs w:val="24"/>
        </w:rPr>
        <w:t>乌镇在税收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投资</w:t>
      </w:r>
      <w:r>
        <w:rPr>
          <w:rFonts w:hint="eastAsia" w:ascii="宋体" w:hAnsi="宋体" w:eastAsia="宋体" w:cs="宋体"/>
          <w:sz w:val="24"/>
          <w:szCs w:val="24"/>
        </w:rPr>
        <w:t>以及其他方面的贡献情况及政府资金的情况。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古北水镇2023年费用控制比较好，具体采取了哪些措施？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古北水镇成本费用中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能耗、人工属于大额支出，能耗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支出主要依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靠技术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精细化管理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，人工方面也严格控制，要求与景区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客流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匹配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，一岗多能、充分调配。疫情期间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费用管理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上花了很大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功夫，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这类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经验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也会继续延续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未来，在营销、为确保服务质量的支出方面，成本费用端可能会与业务量相匹配有所提升，首要的还是保障古北水镇整体业绩和产品质量的提升，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目标是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实现景区经营效益的最大化。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乌镇2024年如何提升酒店入住率？客单价是否有预期？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乌镇目前酒店方面的重点在于堤上酒店、稻舍乡村酒店的提升管理。定位上，两家酒店的单价目前高于乌镇景区普通酒店，会重点拓展会展市场，充分发挥单体酒店优势，注重单体酒店特色化的推广。营销策略上，酒店特色化也是重要抓手，实现酒店特色与景区特色相得益彰。客单价方面，影响因素较多，属于较为综合的指标，变量较大，如客流增加可能就会导致客单价下降，较难预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古北水镇2024年资本开支计划如何？是否需要股东增资？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古北水镇目前主要是补充招商、原有设施小改造等，没有大的资本开支计划。古北水镇资产负债率不高，自身具备融资能力，从财务角度看不存在股东增发等需求。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怎么看旅行社业务2024年恢复趋势？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旅行社业务正向恢复，但与疫情前仍有较大差距，尤其在出境游市场方面。从国内游来看，供给端较为分散，2023年底全国旅行社家数约5.6万家，比2019年增加了约1.7万家，在细分领域竞争激烈，大型旅行社难以发挥强大的竞争优势。大型旅行社重点目标仍聚焦在出境市场，但受限于资源、目的地国家地区价格上涨、汇率等因素影响，恢复到2019年水平尚需时间。中青旅在出境游方面有较大优势，服务体系完善，目前既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是产品供给方，也重视渠道打造，同时内部也进行了资源整合，在整体市场恢复的情况下，中青旅旅行社业务能够做得更好。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6A047"/>
    <w:multiLevelType w:val="singleLevel"/>
    <w:tmpl w:val="E636A04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GFlMWUwMGM5MGI4OTE2NTM0N2ZiOTBmODM4ZGEifQ=="/>
  </w:docVars>
  <w:rsids>
    <w:rsidRoot w:val="008B1884"/>
    <w:rsid w:val="00004796"/>
    <w:rsid w:val="00007A5E"/>
    <w:rsid w:val="0001457F"/>
    <w:rsid w:val="00016203"/>
    <w:rsid w:val="00041101"/>
    <w:rsid w:val="00066E83"/>
    <w:rsid w:val="000A3CF2"/>
    <w:rsid w:val="000C0913"/>
    <w:rsid w:val="000C2DDC"/>
    <w:rsid w:val="000D0F88"/>
    <w:rsid w:val="000D4D83"/>
    <w:rsid w:val="000E0BE4"/>
    <w:rsid w:val="000E1DF6"/>
    <w:rsid w:val="00122DC0"/>
    <w:rsid w:val="00126AAC"/>
    <w:rsid w:val="001551A0"/>
    <w:rsid w:val="001A2614"/>
    <w:rsid w:val="001B3B21"/>
    <w:rsid w:val="001B4B8A"/>
    <w:rsid w:val="001D29BB"/>
    <w:rsid w:val="001F38D1"/>
    <w:rsid w:val="00202D1E"/>
    <w:rsid w:val="002054F9"/>
    <w:rsid w:val="00244B67"/>
    <w:rsid w:val="00261319"/>
    <w:rsid w:val="002A340E"/>
    <w:rsid w:val="002F3BD7"/>
    <w:rsid w:val="002F4E76"/>
    <w:rsid w:val="00310540"/>
    <w:rsid w:val="00311425"/>
    <w:rsid w:val="003137E3"/>
    <w:rsid w:val="00326961"/>
    <w:rsid w:val="00327961"/>
    <w:rsid w:val="00363C76"/>
    <w:rsid w:val="00365F8B"/>
    <w:rsid w:val="003B0589"/>
    <w:rsid w:val="003B46B2"/>
    <w:rsid w:val="003E0720"/>
    <w:rsid w:val="00420F27"/>
    <w:rsid w:val="004416DB"/>
    <w:rsid w:val="00477775"/>
    <w:rsid w:val="0048587F"/>
    <w:rsid w:val="004941BD"/>
    <w:rsid w:val="004A1211"/>
    <w:rsid w:val="004A240A"/>
    <w:rsid w:val="00534817"/>
    <w:rsid w:val="0053677B"/>
    <w:rsid w:val="0055530C"/>
    <w:rsid w:val="00563366"/>
    <w:rsid w:val="00567619"/>
    <w:rsid w:val="00570AE5"/>
    <w:rsid w:val="00573DA2"/>
    <w:rsid w:val="00577BA0"/>
    <w:rsid w:val="005A213E"/>
    <w:rsid w:val="005B1654"/>
    <w:rsid w:val="005F1DDE"/>
    <w:rsid w:val="00615241"/>
    <w:rsid w:val="00653D28"/>
    <w:rsid w:val="00655F2B"/>
    <w:rsid w:val="0065610F"/>
    <w:rsid w:val="006774DE"/>
    <w:rsid w:val="00690338"/>
    <w:rsid w:val="006918DE"/>
    <w:rsid w:val="006940B3"/>
    <w:rsid w:val="006943E0"/>
    <w:rsid w:val="00694B5B"/>
    <w:rsid w:val="006B042F"/>
    <w:rsid w:val="006D1059"/>
    <w:rsid w:val="006D4B59"/>
    <w:rsid w:val="006F381C"/>
    <w:rsid w:val="006F4EA8"/>
    <w:rsid w:val="00705EFD"/>
    <w:rsid w:val="007113E4"/>
    <w:rsid w:val="0072379C"/>
    <w:rsid w:val="00741A10"/>
    <w:rsid w:val="007426F5"/>
    <w:rsid w:val="007617AF"/>
    <w:rsid w:val="00775FD8"/>
    <w:rsid w:val="00785144"/>
    <w:rsid w:val="007933FC"/>
    <w:rsid w:val="007A2C17"/>
    <w:rsid w:val="007B0581"/>
    <w:rsid w:val="007E1041"/>
    <w:rsid w:val="007E5E99"/>
    <w:rsid w:val="007F2EB2"/>
    <w:rsid w:val="007F5099"/>
    <w:rsid w:val="008014A5"/>
    <w:rsid w:val="00810615"/>
    <w:rsid w:val="00834DD1"/>
    <w:rsid w:val="00855896"/>
    <w:rsid w:val="00857C4A"/>
    <w:rsid w:val="008637B8"/>
    <w:rsid w:val="00872640"/>
    <w:rsid w:val="00876B01"/>
    <w:rsid w:val="00885838"/>
    <w:rsid w:val="008A3965"/>
    <w:rsid w:val="008B0EC8"/>
    <w:rsid w:val="008B1884"/>
    <w:rsid w:val="008C254D"/>
    <w:rsid w:val="008E6B04"/>
    <w:rsid w:val="008F76B9"/>
    <w:rsid w:val="00903F5F"/>
    <w:rsid w:val="009153B1"/>
    <w:rsid w:val="00916894"/>
    <w:rsid w:val="00932050"/>
    <w:rsid w:val="00940DF2"/>
    <w:rsid w:val="00940F6B"/>
    <w:rsid w:val="00952529"/>
    <w:rsid w:val="0097490A"/>
    <w:rsid w:val="009A4387"/>
    <w:rsid w:val="00A058F3"/>
    <w:rsid w:val="00A20357"/>
    <w:rsid w:val="00A301AD"/>
    <w:rsid w:val="00A33B03"/>
    <w:rsid w:val="00A477B5"/>
    <w:rsid w:val="00AB47A4"/>
    <w:rsid w:val="00AC4FBA"/>
    <w:rsid w:val="00AC76A7"/>
    <w:rsid w:val="00AD3EB3"/>
    <w:rsid w:val="00AE04C9"/>
    <w:rsid w:val="00AF1CCD"/>
    <w:rsid w:val="00B16470"/>
    <w:rsid w:val="00B30AD9"/>
    <w:rsid w:val="00B35E23"/>
    <w:rsid w:val="00B4381C"/>
    <w:rsid w:val="00B4694D"/>
    <w:rsid w:val="00B46A26"/>
    <w:rsid w:val="00B51DF1"/>
    <w:rsid w:val="00B543F0"/>
    <w:rsid w:val="00B64E56"/>
    <w:rsid w:val="00B851B2"/>
    <w:rsid w:val="00B9126F"/>
    <w:rsid w:val="00BA6D80"/>
    <w:rsid w:val="00BB24A4"/>
    <w:rsid w:val="00BB46E1"/>
    <w:rsid w:val="00BC023B"/>
    <w:rsid w:val="00BE57B6"/>
    <w:rsid w:val="00BF28FD"/>
    <w:rsid w:val="00C00FFD"/>
    <w:rsid w:val="00C23999"/>
    <w:rsid w:val="00C34746"/>
    <w:rsid w:val="00C34D03"/>
    <w:rsid w:val="00C354B1"/>
    <w:rsid w:val="00C4468E"/>
    <w:rsid w:val="00C455D8"/>
    <w:rsid w:val="00C57975"/>
    <w:rsid w:val="00C61675"/>
    <w:rsid w:val="00C65162"/>
    <w:rsid w:val="00C6624C"/>
    <w:rsid w:val="00C867BC"/>
    <w:rsid w:val="00CE1504"/>
    <w:rsid w:val="00CE3B9C"/>
    <w:rsid w:val="00CF207B"/>
    <w:rsid w:val="00CF5592"/>
    <w:rsid w:val="00D02033"/>
    <w:rsid w:val="00D37056"/>
    <w:rsid w:val="00D45390"/>
    <w:rsid w:val="00D4597E"/>
    <w:rsid w:val="00D66F52"/>
    <w:rsid w:val="00DA1754"/>
    <w:rsid w:val="00DC65CC"/>
    <w:rsid w:val="00DD18D8"/>
    <w:rsid w:val="00DF1C88"/>
    <w:rsid w:val="00E03E61"/>
    <w:rsid w:val="00E21554"/>
    <w:rsid w:val="00E22EFE"/>
    <w:rsid w:val="00E54F04"/>
    <w:rsid w:val="00E56649"/>
    <w:rsid w:val="00E60D33"/>
    <w:rsid w:val="00E66518"/>
    <w:rsid w:val="00E722B8"/>
    <w:rsid w:val="00E77FAE"/>
    <w:rsid w:val="00E81E93"/>
    <w:rsid w:val="00E82A76"/>
    <w:rsid w:val="00EA6B89"/>
    <w:rsid w:val="00EB5395"/>
    <w:rsid w:val="00EE3EEF"/>
    <w:rsid w:val="00EE7890"/>
    <w:rsid w:val="00EF0EDF"/>
    <w:rsid w:val="00EF6461"/>
    <w:rsid w:val="00F63059"/>
    <w:rsid w:val="00FA5835"/>
    <w:rsid w:val="00FB14B4"/>
    <w:rsid w:val="00FB3213"/>
    <w:rsid w:val="00FD1ABB"/>
    <w:rsid w:val="00FD3D84"/>
    <w:rsid w:val="00FE31FE"/>
    <w:rsid w:val="00FF59CB"/>
    <w:rsid w:val="0317246F"/>
    <w:rsid w:val="0389496A"/>
    <w:rsid w:val="051B76CD"/>
    <w:rsid w:val="05BB42A5"/>
    <w:rsid w:val="0AE95411"/>
    <w:rsid w:val="122A4C8C"/>
    <w:rsid w:val="14316CAE"/>
    <w:rsid w:val="16D11633"/>
    <w:rsid w:val="21577120"/>
    <w:rsid w:val="231D6147"/>
    <w:rsid w:val="28D63020"/>
    <w:rsid w:val="2D162350"/>
    <w:rsid w:val="33A65CE5"/>
    <w:rsid w:val="38D8249D"/>
    <w:rsid w:val="38E15005"/>
    <w:rsid w:val="40102E1D"/>
    <w:rsid w:val="40E35B04"/>
    <w:rsid w:val="42646B70"/>
    <w:rsid w:val="46713F31"/>
    <w:rsid w:val="53A93CC2"/>
    <w:rsid w:val="549E33C6"/>
    <w:rsid w:val="5FA722BA"/>
    <w:rsid w:val="6301026A"/>
    <w:rsid w:val="6C537AB1"/>
    <w:rsid w:val="6F2474E3"/>
    <w:rsid w:val="6FC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1952</Words>
  <Characters>1985</Characters>
  <Lines>79</Lines>
  <Paragraphs>58</Paragraphs>
  <TotalTime>6</TotalTime>
  <ScaleCrop>false</ScaleCrop>
  <LinksUpToDate>false</LinksUpToDate>
  <CharactersWithSpaces>1997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2023-05-04T02:00:00Z</dcterms:created>
  <dc:creator>魏一</dc:creator>
  <cp:lastModifiedBy>yu_y</cp:lastModifiedBy>
  <dcterms:modified xsi:type="dcterms:W3CDTF">2024-04-09T09:57:29Z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_Document_Page_Count">
    <vt:lpwstr>4</vt:lpwstr>
  </property>
  <property fmtid="{D5CDD505-2E9C-101B-9397-08002B2CF9AE}" pid="3" name="ZX_Claim_Page_Number">
    <vt:lpwstr>4</vt:lpwstr>
  </property>
  <property fmtid="{D5CDD505-2E9C-101B-9397-08002B2CF9AE}" pid="4" name="KSOProductBuildVer">
    <vt:lpwstr>2052-12.1.0.16417</vt:lpwstr>
  </property>
  <property fmtid="{D5CDD505-2E9C-101B-9397-08002B2CF9AE}" pid="5" name="ICV">
    <vt:lpwstr>A9D381227B3F4C4A827E62658C8485EB_13</vt:lpwstr>
  </property>
</Properties>
</file>