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6CF" w:rsidRDefault="00C71DF8">
      <w:pPr>
        <w:pStyle w:val="a4"/>
        <w:tabs>
          <w:tab w:val="left" w:pos="4225"/>
        </w:tabs>
        <w:spacing w:before="54"/>
        <w:ind w:left="25"/>
        <w:rPr>
          <w:rFonts w:ascii="微软雅黑" w:eastAsia="微软雅黑" w:hAnsi="微软雅黑" w:cs="微软雅黑"/>
          <w:b/>
          <w:bCs/>
          <w:sz w:val="26"/>
        </w:rPr>
      </w:pPr>
      <w:r>
        <w:rPr>
          <w:rFonts w:ascii="微软雅黑" w:eastAsia="微软雅黑" w:hAnsi="微软雅黑" w:cs="微软雅黑" w:hint="eastAsia"/>
          <w:b/>
          <w:bCs/>
        </w:rPr>
        <w:t>证券代码：</w:t>
      </w:r>
      <w:r>
        <w:rPr>
          <w:rFonts w:ascii="微软雅黑" w:eastAsia="微软雅黑" w:hAnsi="微软雅黑" w:cs="微软雅黑" w:hint="eastAsia"/>
          <w:b/>
          <w:bCs/>
        </w:rPr>
        <w:t>600702</w:t>
      </w:r>
      <w:r>
        <w:rPr>
          <w:rFonts w:ascii="微软雅黑" w:eastAsia="微软雅黑" w:hAnsi="微软雅黑" w:cs="微软雅黑" w:hint="eastAsia"/>
          <w:b/>
          <w:bCs/>
        </w:rPr>
        <w:tab/>
        <w:t xml:space="preserve">                                </w:t>
      </w:r>
      <w:r>
        <w:rPr>
          <w:rFonts w:ascii="微软雅黑" w:eastAsia="微软雅黑" w:hAnsi="微软雅黑" w:cs="微软雅黑" w:hint="eastAsia"/>
          <w:b/>
          <w:bCs/>
        </w:rPr>
        <w:t>证券简称：</w:t>
      </w:r>
      <w:r>
        <w:rPr>
          <w:rFonts w:ascii="微软雅黑" w:eastAsia="微软雅黑" w:hAnsi="微软雅黑" w:cs="微软雅黑" w:hint="eastAsia"/>
          <w:b/>
          <w:bCs/>
          <w:lang w:eastAsia="zh-Hans"/>
        </w:rPr>
        <w:t>舍得酒业</w:t>
      </w:r>
    </w:p>
    <w:p w:rsidR="001446CF" w:rsidRDefault="001446CF">
      <w:pPr>
        <w:spacing w:line="360" w:lineRule="auto"/>
        <w:ind w:firstLineChars="200" w:firstLine="560"/>
        <w:jc w:val="center"/>
        <w:rPr>
          <w:rFonts w:ascii="微软雅黑" w:eastAsia="微软雅黑" w:hAnsi="微软雅黑"/>
          <w:b/>
          <w:sz w:val="28"/>
          <w:szCs w:val="28"/>
        </w:rPr>
      </w:pPr>
    </w:p>
    <w:p w:rsidR="001446CF" w:rsidRDefault="00C71DF8">
      <w:pPr>
        <w:spacing w:line="360" w:lineRule="auto"/>
        <w:jc w:val="center"/>
        <w:rPr>
          <w:rFonts w:ascii="宋体" w:eastAsia="微软雅黑" w:hAnsi="宋体" w:cs="宋体"/>
          <w:b/>
          <w:bCs/>
        </w:rPr>
      </w:pPr>
      <w:r>
        <w:rPr>
          <w:rFonts w:ascii="微软雅黑" w:eastAsia="微软雅黑" w:hAnsi="微软雅黑" w:hint="eastAsia"/>
          <w:b/>
          <w:sz w:val="32"/>
          <w:szCs w:val="32"/>
        </w:rPr>
        <w:t>舍得酒业</w:t>
      </w:r>
      <w:r>
        <w:rPr>
          <w:rFonts w:ascii="微软雅黑" w:eastAsia="微软雅黑" w:hAnsi="微软雅黑"/>
          <w:b/>
          <w:sz w:val="32"/>
          <w:szCs w:val="32"/>
        </w:rPr>
        <w:t>股份有限公司投资者关系活动记录表</w:t>
      </w:r>
    </w:p>
    <w:p w:rsidR="001446CF" w:rsidRDefault="001446CF">
      <w:pPr>
        <w:rPr>
          <w:rFonts w:ascii="宋体" w:eastAsia="宋体" w:hAnsi="宋体" w:cs="宋体"/>
        </w:rPr>
      </w:pPr>
    </w:p>
    <w:p w:rsidR="001446CF" w:rsidRDefault="001446CF">
      <w:pPr>
        <w:jc w:val="right"/>
        <w:rPr>
          <w:rFonts w:ascii="宋体" w:eastAsia="宋体" w:hAnsi="宋体" w:cs="宋体"/>
        </w:rPr>
      </w:pPr>
    </w:p>
    <w:p w:rsidR="001446CF" w:rsidRDefault="00C71DF8">
      <w:pPr>
        <w:jc w:val="right"/>
        <w:rPr>
          <w:rFonts w:ascii="宋体" w:eastAsia="宋体" w:hAnsi="宋体" w:cs="宋体"/>
          <w:b/>
        </w:rPr>
      </w:pPr>
      <w:r>
        <w:rPr>
          <w:rFonts w:ascii="宋体" w:eastAsia="宋体" w:hAnsi="宋体" w:cs="宋体" w:hint="eastAsia"/>
          <w:b/>
        </w:rPr>
        <w:t>编号：</w:t>
      </w:r>
      <w:r>
        <w:rPr>
          <w:rFonts w:ascii="宋体" w:eastAsia="宋体" w:hAnsi="宋体" w:cs="宋体" w:hint="eastAsia"/>
          <w:b/>
        </w:rPr>
        <w:t>2</w:t>
      </w:r>
      <w:r>
        <w:rPr>
          <w:rFonts w:ascii="宋体" w:eastAsia="宋体" w:hAnsi="宋体" w:cs="宋体"/>
          <w:b/>
        </w:rPr>
        <w:t>02</w:t>
      </w:r>
      <w:r>
        <w:rPr>
          <w:rFonts w:ascii="宋体" w:eastAsia="宋体" w:hAnsi="宋体" w:cs="宋体" w:hint="eastAsia"/>
          <w:b/>
        </w:rPr>
        <w:t>4</w:t>
      </w:r>
      <w:r>
        <w:rPr>
          <w:rFonts w:ascii="宋体" w:eastAsia="宋体" w:hAnsi="宋体" w:cs="宋体" w:hint="eastAsia"/>
          <w:b/>
        </w:rPr>
        <w:t>-</w:t>
      </w:r>
      <w:r>
        <w:rPr>
          <w:rFonts w:ascii="宋体" w:eastAsia="宋体" w:hAnsi="宋体" w:cs="宋体"/>
          <w:b/>
        </w:rPr>
        <w:t>0</w:t>
      </w:r>
      <w:r>
        <w:rPr>
          <w:rFonts w:ascii="宋体" w:eastAsia="宋体" w:hAnsi="宋体" w:cs="宋体" w:hint="eastAsia"/>
          <w:b/>
        </w:rPr>
        <w:t>04</w:t>
      </w:r>
    </w:p>
    <w:tbl>
      <w:tblPr>
        <w:tblStyle w:val="aa"/>
        <w:tblpPr w:leftFromText="180" w:rightFromText="180" w:vertAnchor="page" w:horzAnchor="page" w:tblpX="935" w:tblpY="4362"/>
        <w:tblOverlap w:val="never"/>
        <w:tblW w:w="10187" w:type="dxa"/>
        <w:tblLook w:val="04A0" w:firstRow="1" w:lastRow="0" w:firstColumn="1" w:lastColumn="0" w:noHBand="0" w:noVBand="1"/>
      </w:tblPr>
      <w:tblGrid>
        <w:gridCol w:w="2000"/>
        <w:gridCol w:w="8187"/>
      </w:tblGrid>
      <w:tr w:rsidR="001446CF">
        <w:tc>
          <w:tcPr>
            <w:tcW w:w="2000" w:type="dxa"/>
          </w:tcPr>
          <w:p w:rsidR="001446CF" w:rsidRDefault="001446CF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1446CF" w:rsidRDefault="00C71DF8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投资者关系</w:t>
            </w:r>
          </w:p>
          <w:p w:rsidR="001446CF" w:rsidRDefault="00C71DF8">
            <w:pPr>
              <w:spacing w:beforeLines="50" w:before="156" w:afterLines="50" w:after="156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活动类别</w:t>
            </w:r>
          </w:p>
        </w:tc>
        <w:tc>
          <w:tcPr>
            <w:tcW w:w="8187" w:type="dxa"/>
          </w:tcPr>
          <w:p w:rsidR="001446CF" w:rsidRDefault="00C71DF8">
            <w:pPr>
              <w:spacing w:beforeLines="50" w:before="156" w:afterLines="50" w:after="156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sym w:font="Wingdings 2" w:char="00A3"/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特定对象调研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                       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sym w:font="Wingdings 2" w:char="00A3"/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分析师会议</w:t>
            </w:r>
          </w:p>
          <w:p w:rsidR="001446CF" w:rsidRDefault="00C71DF8">
            <w:pPr>
              <w:spacing w:beforeLines="50" w:before="156" w:afterLines="50" w:after="156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sym w:font="Wingdings 2" w:char="00A3"/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现场参观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                           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sym w:font="Wingdings 2" w:char="00A3"/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业绩说明会</w:t>
            </w:r>
          </w:p>
          <w:p w:rsidR="001446CF" w:rsidRDefault="00C71DF8">
            <w:pPr>
              <w:spacing w:beforeLines="50" w:before="156" w:afterLines="50" w:after="156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sym w:font="Wingdings 2" w:char="00A3"/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新闻发布会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                         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sym w:font="Wingdings 2" w:char="0052"/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路演活动</w:t>
            </w:r>
          </w:p>
          <w:p w:rsidR="001446CF" w:rsidRDefault="00C71DF8">
            <w:pPr>
              <w:spacing w:beforeLines="50" w:before="156" w:afterLines="50" w:after="156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sym w:font="Wingdings 2" w:char="00A3"/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媒体来访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                           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sym w:font="Wingdings 2" w:char="00A3"/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其他（视频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+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网络会议）</w:t>
            </w:r>
          </w:p>
        </w:tc>
      </w:tr>
      <w:tr w:rsidR="001446CF">
        <w:trPr>
          <w:trHeight w:val="1321"/>
        </w:trPr>
        <w:tc>
          <w:tcPr>
            <w:tcW w:w="2000" w:type="dxa"/>
          </w:tcPr>
          <w:p w:rsidR="001446CF" w:rsidRPr="00C71DF8" w:rsidRDefault="001446CF">
            <w:pPr>
              <w:spacing w:beforeLines="50" w:before="156" w:afterLines="50" w:after="156" w:line="500" w:lineRule="exact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1446CF" w:rsidRDefault="001446CF">
            <w:pPr>
              <w:spacing w:beforeLines="50" w:before="156" w:afterLines="50" w:after="156" w:line="5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1446CF" w:rsidRDefault="001446CF">
            <w:pPr>
              <w:spacing w:beforeLines="50" w:before="156" w:afterLines="50" w:after="156" w:line="5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1446CF" w:rsidRDefault="001446CF">
            <w:pPr>
              <w:spacing w:beforeLines="50" w:before="156" w:afterLines="50" w:after="156" w:line="5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1446CF" w:rsidRDefault="001446CF">
            <w:pPr>
              <w:spacing w:beforeLines="50" w:before="156" w:afterLines="50" w:after="156" w:line="5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  <w:p w:rsidR="001446CF" w:rsidRDefault="00C71DF8">
            <w:pPr>
              <w:spacing w:beforeLines="50" w:before="156" w:afterLines="50" w:after="156" w:line="5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参与单位名称及人员姓名</w:t>
            </w:r>
          </w:p>
        </w:tc>
        <w:tc>
          <w:tcPr>
            <w:tcW w:w="8187" w:type="dxa"/>
          </w:tcPr>
          <w:p w:rsidR="001446CF" w:rsidRDefault="00C71DF8">
            <w:pPr>
              <w:spacing w:line="560" w:lineRule="exac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中信证券、中金公司、中</w:t>
            </w:r>
            <w:proofErr w:type="gramStart"/>
            <w:r>
              <w:rPr>
                <w:rFonts w:ascii="宋体" w:eastAsia="宋体" w:hAnsi="宋体" w:cs="宋体"/>
                <w:kern w:val="0"/>
                <w:sz w:val="24"/>
              </w:rPr>
              <w:t>信建投证券</w:t>
            </w:r>
            <w:proofErr w:type="gramEnd"/>
            <w:r>
              <w:rPr>
                <w:rFonts w:ascii="宋体" w:eastAsia="宋体" w:hAnsi="宋体" w:cs="宋体"/>
                <w:kern w:val="0"/>
                <w:sz w:val="24"/>
              </w:rPr>
              <w:t>、华泰证券、广发证券、华创证券、国泰君安证券、</w:t>
            </w:r>
            <w:proofErr w:type="gramStart"/>
            <w:r>
              <w:rPr>
                <w:rFonts w:ascii="宋体" w:eastAsia="宋体" w:hAnsi="宋体" w:cs="宋体"/>
                <w:kern w:val="0"/>
                <w:sz w:val="24"/>
              </w:rPr>
              <w:t>浙商证</w:t>
            </w:r>
            <w:proofErr w:type="gramEnd"/>
            <w:r>
              <w:rPr>
                <w:rFonts w:ascii="宋体" w:eastAsia="宋体" w:hAnsi="宋体" w:cs="宋体"/>
                <w:kern w:val="0"/>
                <w:sz w:val="24"/>
              </w:rPr>
              <w:t>券、招商证券、兴业证券、天风证券、德邦证券、民生证券、银河证券、信达证券、华西证券、方正证券、兴业证券、东北证券、中泰证券、太平洋证券、华福证券、国信证券、华鑫证券、光大证券、东吴证券、长江证券、开源证券、东亚前海证券、申万宏源证券、国投证券、国金证券、东方证券、西部证券、野村证券、财通证券、招商基金、</w:t>
            </w:r>
            <w:proofErr w:type="gramStart"/>
            <w:r>
              <w:rPr>
                <w:rFonts w:ascii="宋体" w:eastAsia="宋体" w:hAnsi="宋体" w:cs="宋体"/>
                <w:kern w:val="0"/>
                <w:sz w:val="24"/>
              </w:rPr>
              <w:t>汇添</w:t>
            </w:r>
            <w:proofErr w:type="gramEnd"/>
            <w:r>
              <w:rPr>
                <w:rFonts w:ascii="宋体" w:eastAsia="宋体" w:hAnsi="宋体" w:cs="宋体"/>
                <w:kern w:val="0"/>
                <w:sz w:val="24"/>
              </w:rPr>
              <w:t>富基金、广发基金、嘉实基金、鹏华基金、博时基金、银华基金、平安基金、</w:t>
            </w:r>
            <w:proofErr w:type="gramStart"/>
            <w:r>
              <w:rPr>
                <w:rFonts w:ascii="宋体" w:eastAsia="宋体" w:hAnsi="宋体" w:cs="宋体"/>
                <w:kern w:val="0"/>
                <w:sz w:val="24"/>
              </w:rPr>
              <w:t>工银瑞</w:t>
            </w:r>
            <w:proofErr w:type="gramEnd"/>
            <w:r>
              <w:rPr>
                <w:rFonts w:ascii="宋体" w:eastAsia="宋体" w:hAnsi="宋体" w:cs="宋体"/>
                <w:kern w:val="0"/>
                <w:sz w:val="24"/>
              </w:rPr>
              <w:t>信基金、富达基金、中欧基金、华宝基金、前海开源</w:t>
            </w:r>
            <w:r>
              <w:rPr>
                <w:rFonts w:ascii="宋体" w:eastAsia="宋体" w:hAnsi="宋体" w:cs="宋体"/>
                <w:kern w:val="0"/>
                <w:sz w:val="24"/>
              </w:rPr>
              <w:t>基金、</w:t>
            </w:r>
            <w:proofErr w:type="gramStart"/>
            <w:r>
              <w:rPr>
                <w:rFonts w:ascii="宋体" w:eastAsia="宋体" w:hAnsi="宋体" w:cs="宋体"/>
                <w:kern w:val="0"/>
                <w:sz w:val="24"/>
              </w:rPr>
              <w:t>永赢基</w:t>
            </w:r>
            <w:proofErr w:type="gramEnd"/>
            <w:r>
              <w:rPr>
                <w:rFonts w:ascii="宋体" w:eastAsia="宋体" w:hAnsi="宋体" w:cs="宋体"/>
                <w:kern w:val="0"/>
                <w:sz w:val="24"/>
              </w:rPr>
              <w:t>金、</w:t>
            </w:r>
            <w:proofErr w:type="gramStart"/>
            <w:r>
              <w:rPr>
                <w:rFonts w:ascii="宋体" w:eastAsia="宋体" w:hAnsi="宋体" w:cs="宋体"/>
                <w:kern w:val="0"/>
                <w:sz w:val="24"/>
              </w:rPr>
              <w:t>天弘基</w:t>
            </w:r>
            <w:proofErr w:type="gramEnd"/>
            <w:r>
              <w:rPr>
                <w:rFonts w:ascii="宋体" w:eastAsia="宋体" w:hAnsi="宋体" w:cs="宋体"/>
                <w:kern w:val="0"/>
                <w:sz w:val="24"/>
              </w:rPr>
              <w:t>金、</w:t>
            </w:r>
            <w:proofErr w:type="gramStart"/>
            <w:r>
              <w:rPr>
                <w:rFonts w:ascii="宋体" w:eastAsia="宋体" w:hAnsi="宋体" w:cs="宋体"/>
                <w:kern w:val="0"/>
                <w:sz w:val="24"/>
              </w:rPr>
              <w:t>恒越基</w:t>
            </w:r>
            <w:proofErr w:type="gramEnd"/>
            <w:r>
              <w:rPr>
                <w:rFonts w:ascii="宋体" w:eastAsia="宋体" w:hAnsi="宋体" w:cs="宋体"/>
                <w:kern w:val="0"/>
                <w:sz w:val="24"/>
              </w:rPr>
              <w:t>金、鑫元基金、大成基金、</w:t>
            </w:r>
            <w:proofErr w:type="gramStart"/>
            <w:r>
              <w:rPr>
                <w:rFonts w:ascii="宋体" w:eastAsia="宋体" w:hAnsi="宋体" w:cs="宋体"/>
                <w:kern w:val="0"/>
                <w:sz w:val="24"/>
              </w:rPr>
              <w:t>泓德基</w:t>
            </w:r>
            <w:proofErr w:type="gramEnd"/>
            <w:r>
              <w:rPr>
                <w:rFonts w:ascii="宋体" w:eastAsia="宋体" w:hAnsi="宋体" w:cs="宋体"/>
                <w:kern w:val="0"/>
                <w:sz w:val="24"/>
              </w:rPr>
              <w:t>金、兴合基金、广银理财、农银汇理、云南卓晔、高毅资产、中信资管、煜德投资、中邮资管、</w:t>
            </w:r>
            <w:proofErr w:type="gramStart"/>
            <w:r>
              <w:rPr>
                <w:rFonts w:ascii="宋体" w:eastAsia="宋体" w:hAnsi="宋体" w:cs="宋体"/>
                <w:kern w:val="0"/>
                <w:sz w:val="24"/>
              </w:rPr>
              <w:t>兴证资</w:t>
            </w:r>
            <w:proofErr w:type="gramEnd"/>
            <w:r>
              <w:rPr>
                <w:rFonts w:ascii="宋体" w:eastAsia="宋体" w:hAnsi="宋体" w:cs="宋体"/>
                <w:kern w:val="0"/>
                <w:sz w:val="24"/>
              </w:rPr>
              <w:t>管、淡水泉投资、汇</w:t>
            </w:r>
            <w:proofErr w:type="gramStart"/>
            <w:r>
              <w:rPr>
                <w:rFonts w:ascii="宋体" w:eastAsia="宋体" w:hAnsi="宋体" w:cs="宋体"/>
                <w:kern w:val="0"/>
                <w:sz w:val="24"/>
              </w:rPr>
              <w:t>丰资</w:t>
            </w:r>
            <w:proofErr w:type="gramEnd"/>
            <w:r>
              <w:rPr>
                <w:rFonts w:ascii="宋体" w:eastAsia="宋体" w:hAnsi="宋体" w:cs="宋体"/>
                <w:kern w:val="0"/>
                <w:sz w:val="24"/>
              </w:rPr>
              <w:t>管、</w:t>
            </w:r>
            <w:proofErr w:type="gramStart"/>
            <w:r>
              <w:rPr>
                <w:rFonts w:ascii="宋体" w:eastAsia="宋体" w:hAnsi="宋体" w:cs="宋体"/>
                <w:kern w:val="0"/>
                <w:sz w:val="24"/>
              </w:rPr>
              <w:t>交银施</w:t>
            </w:r>
            <w:proofErr w:type="gramEnd"/>
            <w:r>
              <w:rPr>
                <w:rFonts w:ascii="宋体" w:eastAsia="宋体" w:hAnsi="宋体" w:cs="宋体"/>
                <w:kern w:val="0"/>
                <w:sz w:val="24"/>
              </w:rPr>
              <w:t>罗德、同犇投资、大家资产、大朴资产、艾希资本、光大资管、长城基金等证券分析师、机构投资者共计</w:t>
            </w:r>
            <w:r>
              <w:rPr>
                <w:rFonts w:ascii="宋体" w:eastAsia="宋体" w:hAnsi="宋体" w:cs="宋体"/>
                <w:kern w:val="0"/>
                <w:sz w:val="24"/>
              </w:rPr>
              <w:t>220</w:t>
            </w:r>
            <w:r>
              <w:rPr>
                <w:rFonts w:ascii="宋体" w:eastAsia="宋体" w:hAnsi="宋体" w:cs="宋体"/>
                <w:kern w:val="0"/>
                <w:sz w:val="24"/>
              </w:rPr>
              <w:t>人。</w:t>
            </w:r>
          </w:p>
        </w:tc>
      </w:tr>
      <w:tr w:rsidR="001446CF">
        <w:trPr>
          <w:trHeight w:val="593"/>
        </w:trPr>
        <w:tc>
          <w:tcPr>
            <w:tcW w:w="2000" w:type="dxa"/>
          </w:tcPr>
          <w:p w:rsidR="001446CF" w:rsidRDefault="00C71DF8">
            <w:pPr>
              <w:spacing w:beforeLines="50" w:before="156" w:afterLines="50" w:after="156" w:line="500" w:lineRule="exact"/>
              <w:ind w:firstLineChars="100" w:firstLine="24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时间</w:t>
            </w:r>
          </w:p>
        </w:tc>
        <w:tc>
          <w:tcPr>
            <w:tcW w:w="8187" w:type="dxa"/>
          </w:tcPr>
          <w:p w:rsidR="001446CF" w:rsidRDefault="00C71DF8">
            <w:pPr>
              <w:spacing w:beforeLines="50" w:before="156" w:afterLines="50" w:after="156" w:line="5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202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26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日下午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15:30-16:30</w:t>
            </w:r>
          </w:p>
        </w:tc>
      </w:tr>
      <w:tr w:rsidR="001446CF">
        <w:trPr>
          <w:trHeight w:val="589"/>
        </w:trPr>
        <w:tc>
          <w:tcPr>
            <w:tcW w:w="2000" w:type="dxa"/>
          </w:tcPr>
          <w:p w:rsidR="001446CF" w:rsidRDefault="00C71DF8">
            <w:pPr>
              <w:spacing w:beforeLines="50" w:before="156" w:afterLines="50" w:after="156" w:line="500" w:lineRule="exact"/>
              <w:ind w:firstLineChars="100" w:firstLine="24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地点</w:t>
            </w:r>
          </w:p>
        </w:tc>
        <w:tc>
          <w:tcPr>
            <w:tcW w:w="8187" w:type="dxa"/>
          </w:tcPr>
          <w:p w:rsidR="001446CF" w:rsidRDefault="00C71DF8">
            <w:pPr>
              <w:spacing w:beforeLines="50" w:before="156" w:afterLines="50" w:after="156" w:line="50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公司会议室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+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线上会议</w:t>
            </w:r>
          </w:p>
        </w:tc>
      </w:tr>
      <w:tr w:rsidR="001446CF">
        <w:trPr>
          <w:trHeight w:val="1070"/>
        </w:trPr>
        <w:tc>
          <w:tcPr>
            <w:tcW w:w="2000" w:type="dxa"/>
            <w:vAlign w:val="center"/>
          </w:tcPr>
          <w:p w:rsidR="001446CF" w:rsidRDefault="00C71DF8">
            <w:pPr>
              <w:spacing w:beforeLines="50" w:before="156" w:afterLines="50" w:after="156" w:line="5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lastRenderedPageBreak/>
              <w:t>上市公司接待</w:t>
            </w:r>
          </w:p>
          <w:p w:rsidR="001446CF" w:rsidRDefault="00C71DF8">
            <w:pPr>
              <w:spacing w:beforeLines="50" w:before="156" w:afterLines="50" w:after="156" w:line="5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人员姓名</w:t>
            </w:r>
          </w:p>
        </w:tc>
        <w:tc>
          <w:tcPr>
            <w:tcW w:w="8187" w:type="dxa"/>
          </w:tcPr>
          <w:p w:rsidR="001446CF" w:rsidRDefault="00C71DF8">
            <w:pPr>
              <w:spacing w:line="500" w:lineRule="exac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副总裁兼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CFO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：邹庆利先生</w:t>
            </w:r>
          </w:p>
          <w:p w:rsidR="001446CF" w:rsidRDefault="00C71DF8">
            <w:pPr>
              <w:spacing w:line="500" w:lineRule="exac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董事会秘书：张伟先生</w:t>
            </w:r>
          </w:p>
          <w:p w:rsidR="001446CF" w:rsidRDefault="00C71DF8">
            <w:pPr>
              <w:spacing w:line="500" w:lineRule="exac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营销运营管理中心执行总经理：朱应才先生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br/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</w:rPr>
              <w:t>董秘办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</w:rPr>
              <w:t>主任助理：陈阳先生</w:t>
            </w:r>
          </w:p>
        </w:tc>
      </w:tr>
      <w:tr w:rsidR="001446CF">
        <w:trPr>
          <w:trHeight w:val="798"/>
        </w:trPr>
        <w:tc>
          <w:tcPr>
            <w:tcW w:w="2000" w:type="dxa"/>
            <w:vAlign w:val="center"/>
          </w:tcPr>
          <w:p w:rsidR="001446CF" w:rsidRDefault="00C71DF8">
            <w:pPr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投资者关系活动主要内容介绍</w:t>
            </w:r>
          </w:p>
        </w:tc>
        <w:tc>
          <w:tcPr>
            <w:tcW w:w="8187" w:type="dxa"/>
          </w:tcPr>
          <w:p w:rsidR="001446CF" w:rsidRDefault="00C71DF8">
            <w:pPr>
              <w:pStyle w:val="ab"/>
              <w:numPr>
                <w:ilvl w:val="255"/>
                <w:numId w:val="0"/>
              </w:numPr>
              <w:spacing w:line="560" w:lineRule="exact"/>
              <w:ind w:firstLine="48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一、公司</w:t>
            </w:r>
            <w:r>
              <w:rPr>
                <w:rFonts w:ascii="宋体" w:eastAsia="宋体" w:hAnsi="宋体" w:cs="宋体"/>
                <w:b/>
                <w:bCs/>
                <w:sz w:val="24"/>
              </w:rPr>
              <w:t>202</w:t>
            </w: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4</w:t>
            </w:r>
            <w:r>
              <w:rPr>
                <w:rFonts w:ascii="宋体" w:eastAsia="宋体" w:hAnsi="宋体" w:cs="宋体"/>
                <w:b/>
                <w:bCs/>
                <w:sz w:val="24"/>
              </w:rPr>
              <w:t>年</w:t>
            </w: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第一季度</w:t>
            </w:r>
            <w:r>
              <w:rPr>
                <w:rFonts w:ascii="宋体" w:eastAsia="宋体" w:hAnsi="宋体" w:cs="宋体"/>
                <w:b/>
                <w:bCs/>
                <w:sz w:val="24"/>
              </w:rPr>
              <w:t>经营</w:t>
            </w: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情况简介</w:t>
            </w: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？</w:t>
            </w:r>
          </w:p>
          <w:p w:rsidR="001446CF" w:rsidRDefault="00C71DF8">
            <w:pPr>
              <w:pStyle w:val="ab"/>
              <w:numPr>
                <w:ilvl w:val="255"/>
                <w:numId w:val="0"/>
              </w:numPr>
              <w:spacing w:line="560" w:lineRule="exact"/>
              <w:ind w:firstLine="480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公司</w:t>
            </w:r>
            <w:r>
              <w:rPr>
                <w:rFonts w:ascii="宋体" w:eastAsia="宋体" w:hAnsi="宋体" w:cs="宋体" w:hint="eastAsia"/>
                <w:sz w:val="24"/>
              </w:rPr>
              <w:t>2024</w:t>
            </w:r>
            <w:r>
              <w:rPr>
                <w:rFonts w:ascii="宋体" w:eastAsia="宋体" w:hAnsi="宋体" w:cs="宋体"/>
                <w:sz w:val="24"/>
              </w:rPr>
              <w:t>年</w:t>
            </w:r>
            <w:r>
              <w:rPr>
                <w:rFonts w:ascii="宋体" w:eastAsia="宋体" w:hAnsi="宋体" w:cs="宋体" w:hint="eastAsia"/>
                <w:sz w:val="24"/>
              </w:rPr>
              <w:t>一季度</w:t>
            </w:r>
            <w:r>
              <w:rPr>
                <w:rFonts w:ascii="宋体" w:eastAsia="宋体" w:hAnsi="宋体" w:cs="宋体"/>
                <w:sz w:val="24"/>
              </w:rPr>
              <w:t>实现营业收入</w:t>
            </w:r>
            <w:r>
              <w:rPr>
                <w:rFonts w:ascii="宋体" w:eastAsia="宋体" w:hAnsi="宋体" w:cs="宋体" w:hint="eastAsia"/>
                <w:sz w:val="24"/>
              </w:rPr>
              <w:t>21.05</w:t>
            </w:r>
            <w:r>
              <w:rPr>
                <w:rFonts w:ascii="宋体" w:eastAsia="宋体" w:hAnsi="宋体" w:cs="宋体"/>
                <w:sz w:val="24"/>
              </w:rPr>
              <w:t>亿元，同比增长</w:t>
            </w:r>
            <w:r>
              <w:rPr>
                <w:rFonts w:ascii="宋体" w:eastAsia="宋体" w:hAnsi="宋体" w:cs="宋体" w:hint="eastAsia"/>
                <w:sz w:val="24"/>
              </w:rPr>
              <w:t>4.13</w:t>
            </w:r>
            <w:r>
              <w:rPr>
                <w:rFonts w:ascii="宋体" w:eastAsia="宋体" w:hAnsi="宋体" w:cs="宋体"/>
                <w:sz w:val="24"/>
              </w:rPr>
              <w:t>%</w:t>
            </w:r>
            <w:r>
              <w:rPr>
                <w:rFonts w:ascii="宋体" w:eastAsia="宋体" w:hAnsi="宋体" w:cs="宋体"/>
                <w:sz w:val="24"/>
              </w:rPr>
              <w:t>；实现归属于上市公司股东的净利润</w:t>
            </w:r>
            <w:r>
              <w:rPr>
                <w:rFonts w:ascii="宋体" w:eastAsia="宋体" w:hAnsi="宋体" w:cs="宋体" w:hint="eastAsia"/>
                <w:sz w:val="24"/>
              </w:rPr>
              <w:t>5.50</w:t>
            </w:r>
            <w:r>
              <w:rPr>
                <w:rFonts w:ascii="宋体" w:eastAsia="宋体" w:hAnsi="宋体" w:cs="宋体"/>
                <w:sz w:val="24"/>
              </w:rPr>
              <w:t>亿元。酒类产品实现营业收入</w:t>
            </w:r>
            <w:r>
              <w:rPr>
                <w:rFonts w:ascii="宋体" w:eastAsia="宋体" w:hAnsi="宋体" w:cs="宋体" w:hint="eastAsia"/>
                <w:sz w:val="24"/>
              </w:rPr>
              <w:t>19.64</w:t>
            </w:r>
            <w:r>
              <w:rPr>
                <w:rFonts w:ascii="宋体" w:eastAsia="宋体" w:hAnsi="宋体" w:cs="宋体"/>
                <w:sz w:val="24"/>
              </w:rPr>
              <w:t>亿元，同比增长</w:t>
            </w:r>
            <w:r>
              <w:rPr>
                <w:rFonts w:ascii="宋体" w:eastAsia="宋体" w:hAnsi="宋体" w:cs="宋体" w:hint="eastAsia"/>
                <w:sz w:val="24"/>
              </w:rPr>
              <w:t>3.01</w:t>
            </w:r>
            <w:r>
              <w:rPr>
                <w:rFonts w:ascii="宋体" w:eastAsia="宋体" w:hAnsi="宋体" w:cs="宋体"/>
                <w:sz w:val="24"/>
              </w:rPr>
              <w:t>%</w:t>
            </w:r>
            <w:r>
              <w:rPr>
                <w:rFonts w:ascii="宋体" w:eastAsia="宋体" w:hAnsi="宋体" w:cs="宋体" w:hint="eastAsia"/>
                <w:sz w:val="24"/>
              </w:rPr>
              <w:t>；</w:t>
            </w:r>
            <w:r>
              <w:rPr>
                <w:rFonts w:ascii="宋体" w:eastAsia="宋体" w:hAnsi="宋体" w:cs="宋体"/>
                <w:sz w:val="24"/>
              </w:rPr>
              <w:t>其中</w:t>
            </w:r>
            <w:r>
              <w:rPr>
                <w:rFonts w:ascii="宋体" w:eastAsia="宋体" w:hAnsi="宋体" w:cs="宋体"/>
                <w:sz w:val="24"/>
              </w:rPr>
              <w:t>中高档酒销售收入为</w:t>
            </w:r>
            <w:r>
              <w:rPr>
                <w:rFonts w:ascii="宋体" w:eastAsia="宋体" w:hAnsi="宋体" w:cs="宋体"/>
                <w:sz w:val="24"/>
              </w:rPr>
              <w:t>17.25</w:t>
            </w:r>
            <w:r>
              <w:rPr>
                <w:rFonts w:ascii="宋体" w:eastAsia="宋体" w:hAnsi="宋体" w:cs="宋体"/>
                <w:sz w:val="24"/>
              </w:rPr>
              <w:t>亿元，同比增长</w:t>
            </w:r>
            <w:r>
              <w:rPr>
                <w:rFonts w:ascii="宋体" w:eastAsia="宋体" w:hAnsi="宋体" w:cs="宋体"/>
                <w:sz w:val="24"/>
              </w:rPr>
              <w:t>3.31%</w:t>
            </w:r>
            <w:r>
              <w:rPr>
                <w:rFonts w:ascii="宋体" w:eastAsia="宋体" w:hAnsi="宋体" w:cs="宋体"/>
                <w:sz w:val="24"/>
              </w:rPr>
              <w:t>；普通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酒实现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>销售收入</w:t>
            </w:r>
            <w:r>
              <w:rPr>
                <w:rFonts w:ascii="宋体" w:eastAsia="宋体" w:hAnsi="宋体" w:cs="宋体"/>
                <w:sz w:val="24"/>
              </w:rPr>
              <w:t>2.38</w:t>
            </w:r>
            <w:r>
              <w:rPr>
                <w:rFonts w:ascii="宋体" w:eastAsia="宋体" w:hAnsi="宋体" w:cs="宋体"/>
                <w:sz w:val="24"/>
              </w:rPr>
              <w:t>亿元，同比增长</w:t>
            </w:r>
            <w:r>
              <w:rPr>
                <w:rFonts w:ascii="宋体" w:eastAsia="宋体" w:hAnsi="宋体" w:cs="宋体"/>
                <w:sz w:val="24"/>
              </w:rPr>
              <w:t>0.85%</w:t>
            </w:r>
            <w:r>
              <w:rPr>
                <w:rFonts w:ascii="宋体" w:eastAsia="宋体" w:hAnsi="宋体" w:cs="宋体"/>
                <w:sz w:val="24"/>
              </w:rPr>
              <w:t>。</w:t>
            </w:r>
          </w:p>
          <w:p w:rsidR="001446CF" w:rsidRDefault="00C71DF8">
            <w:pPr>
              <w:pStyle w:val="ab"/>
              <w:numPr>
                <w:ilvl w:val="255"/>
                <w:numId w:val="0"/>
              </w:numPr>
              <w:spacing w:line="560" w:lineRule="exact"/>
              <w:ind w:firstLine="480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二</w:t>
            </w:r>
            <w:r>
              <w:rPr>
                <w:rFonts w:ascii="宋体" w:eastAsia="宋体" w:hAnsi="宋体" w:cs="宋体"/>
                <w:b/>
                <w:bCs/>
                <w:sz w:val="24"/>
              </w:rPr>
              <w:t>、交流互动</w:t>
            </w:r>
          </w:p>
          <w:p w:rsidR="001446CF" w:rsidRDefault="00C71DF8">
            <w:pPr>
              <w:pStyle w:val="ab"/>
              <w:numPr>
                <w:ilvl w:val="255"/>
                <w:numId w:val="0"/>
              </w:numPr>
              <w:spacing w:line="560" w:lineRule="exact"/>
              <w:ind w:firstLineChars="200" w:firstLine="482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、公司一季度研发费用同比有较大幅度提升的原因？</w:t>
            </w:r>
            <w:r>
              <w:rPr>
                <w:rFonts w:ascii="宋体" w:eastAsia="宋体" w:hAnsi="宋体" w:cs="宋体" w:hint="eastAsia"/>
                <w:sz w:val="24"/>
              </w:rPr>
              <w:br/>
              <w:t xml:space="preserve">    </w:t>
            </w:r>
            <w:r>
              <w:rPr>
                <w:rFonts w:ascii="宋体" w:eastAsia="宋体" w:hAnsi="宋体" w:cs="宋体" w:hint="eastAsia"/>
                <w:sz w:val="24"/>
              </w:rPr>
              <w:t>答：</w:t>
            </w:r>
            <w:r>
              <w:rPr>
                <w:rFonts w:ascii="宋体" w:eastAsia="宋体" w:hAnsi="宋体" w:cs="宋体" w:hint="eastAsia"/>
                <w:sz w:val="24"/>
              </w:rPr>
              <w:t>公司坚持极致的产品主义，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以科创升级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为引领，不断提升产品品质。公司持续</w:t>
            </w:r>
            <w:r>
              <w:rPr>
                <w:rFonts w:ascii="宋体" w:eastAsia="宋体" w:hAnsi="宋体" w:cs="宋体" w:hint="eastAsia"/>
                <w:sz w:val="24"/>
              </w:rPr>
              <w:t>落实</w:t>
            </w:r>
            <w:r>
              <w:rPr>
                <w:rFonts w:ascii="宋体" w:eastAsia="宋体" w:hAnsi="宋体" w:cs="宋体" w:hint="eastAsia"/>
                <w:sz w:val="24"/>
              </w:rPr>
              <w:t>首席科学家制度，招揽、留用专业人才，打造高能级研发团队；</w:t>
            </w:r>
            <w:r>
              <w:rPr>
                <w:rFonts w:ascii="宋体" w:eastAsia="宋体" w:hAnsi="宋体" w:cs="宋体" w:hint="eastAsia"/>
                <w:sz w:val="24"/>
              </w:rPr>
              <w:t>持续推动高水平的科技创新平台建设，引进先进设备，提升系统研发能力</w:t>
            </w:r>
            <w:r>
              <w:rPr>
                <w:rFonts w:ascii="宋体" w:eastAsia="宋体" w:hAnsi="宋体" w:cs="宋体" w:hint="eastAsia"/>
                <w:sz w:val="24"/>
              </w:rPr>
              <w:t>,</w:t>
            </w:r>
            <w:r>
              <w:rPr>
                <w:rFonts w:ascii="宋体" w:eastAsia="宋体" w:hAnsi="宋体" w:cs="宋体" w:hint="eastAsia"/>
                <w:sz w:val="24"/>
              </w:rPr>
              <w:t>进而增加</w:t>
            </w:r>
            <w:r>
              <w:rPr>
                <w:rFonts w:ascii="宋体" w:eastAsia="宋体" w:hAnsi="宋体" w:cs="宋体" w:hint="eastAsia"/>
                <w:sz w:val="24"/>
              </w:rPr>
              <w:t>了</w:t>
            </w:r>
            <w:r>
              <w:rPr>
                <w:rFonts w:ascii="宋体" w:eastAsia="宋体" w:hAnsi="宋体" w:cs="宋体" w:hint="eastAsia"/>
                <w:sz w:val="24"/>
              </w:rPr>
              <w:t>相关研发</w:t>
            </w:r>
            <w:r>
              <w:rPr>
                <w:rFonts w:ascii="宋体" w:eastAsia="宋体" w:hAnsi="宋体" w:cs="宋体" w:hint="eastAsia"/>
                <w:sz w:val="24"/>
              </w:rPr>
              <w:t>投入。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br/>
            </w:r>
            <w:r>
              <w:rPr>
                <w:rFonts w:ascii="宋体" w:eastAsia="宋体" w:hAnsi="宋体" w:cs="宋体"/>
                <w:b/>
                <w:bCs/>
                <w:kern w:val="0"/>
                <w:sz w:val="24"/>
              </w:rPr>
              <w:t xml:space="preserve">    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、公司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2024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年经营发展规划介绍？</w:t>
            </w:r>
          </w:p>
          <w:p w:rsidR="001446CF" w:rsidRDefault="00C71DF8">
            <w:pPr>
              <w:pStyle w:val="ab"/>
              <w:spacing w:line="560" w:lineRule="exact"/>
              <w:ind w:firstLineChars="0" w:firstLine="480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答：公司将继续坚持“老酒、多品牌矩阵、年轻化、国际化”战略，实施老酒“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3+6+4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”营销策略，秉承“稳价格、控库存、强动销”的核心原则，通过加强品牌投入，加速品牌高端化、全国化，强化市场基础建设，积极开展消费者培育工作，优化组织管理体系，聚焦战略产品和重点城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市，积极布局潜力较大的中心城市，大力发展优质经销商，加速老酒馆及舍得旗舰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</w:rPr>
              <w:t>店建设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</w:rPr>
              <w:t>等一系列措施，持续提升公司核心竞争力，推动公司经营业务稳健发展。</w:t>
            </w:r>
          </w:p>
          <w:p w:rsidR="001446CF" w:rsidRDefault="00C71DF8">
            <w:pPr>
              <w:pStyle w:val="ab"/>
              <w:numPr>
                <w:ilvl w:val="255"/>
                <w:numId w:val="0"/>
              </w:numPr>
              <w:spacing w:line="560" w:lineRule="exact"/>
              <w:ind w:firstLine="480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2024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年公司对“舍得”、“沱牌”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双品牌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中各产品的定位和规划？</w:t>
            </w:r>
          </w:p>
          <w:p w:rsidR="001446CF" w:rsidRDefault="00C71DF8">
            <w:pPr>
              <w:pStyle w:val="ab"/>
              <w:spacing w:line="560" w:lineRule="exact"/>
              <w:ind w:firstLineChars="0" w:firstLine="480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答：公司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聚焦中高端白酒市场，持续扩大高端份额，积极布局千元以上超高端市场。将“舍得”打造为次高端价位龙头品牌和老酒品类第一品牌，聚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lastRenderedPageBreak/>
              <w:t>焦打造藏品舍得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年、品味舍得、舍之道等战略单品；将“沱牌”打造为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</w:rPr>
              <w:t>最具性价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</w:rPr>
              <w:t>比的大众名酒，聚焦打造沱牌曲酒、沱牌特级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T68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等战略单品，加快恢复大众白酒市场的影响力。</w:t>
            </w:r>
          </w:p>
          <w:p w:rsidR="001446CF" w:rsidRDefault="00C71DF8">
            <w:pPr>
              <w:pStyle w:val="ab"/>
              <w:numPr>
                <w:ilvl w:val="255"/>
                <w:numId w:val="0"/>
              </w:numPr>
              <w:spacing w:line="560" w:lineRule="exact"/>
              <w:ind w:firstLine="480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4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、近期公司经销商渠道库存水平整体情况？</w:t>
            </w:r>
          </w:p>
          <w:p w:rsidR="001446CF" w:rsidRDefault="00C71DF8">
            <w:pPr>
              <w:pStyle w:val="ab"/>
              <w:spacing w:line="560" w:lineRule="exact"/>
              <w:ind w:firstLineChars="0" w:firstLine="48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答：价格政策和库存政策是公司的红线，保持价格稳定和合理库存是公司一直坚守的底线。公司将坚持“</w:t>
            </w:r>
            <w:r>
              <w:rPr>
                <w:rFonts w:ascii="宋体" w:eastAsia="宋体" w:hAnsi="宋体" w:cs="宋体"/>
                <w:sz w:val="24"/>
              </w:rPr>
              <w:t>稳价格、</w:t>
            </w:r>
            <w:r>
              <w:rPr>
                <w:rFonts w:ascii="宋体" w:eastAsia="宋体" w:hAnsi="宋体" w:cs="宋体" w:hint="eastAsia"/>
                <w:sz w:val="24"/>
              </w:rPr>
              <w:t>控库存、</w:t>
            </w:r>
            <w:r>
              <w:rPr>
                <w:rFonts w:ascii="宋体" w:eastAsia="宋体" w:hAnsi="宋体" w:cs="宋体"/>
                <w:sz w:val="24"/>
              </w:rPr>
              <w:t>强动销</w:t>
            </w:r>
            <w:r>
              <w:rPr>
                <w:rFonts w:ascii="宋体" w:eastAsia="宋体" w:hAnsi="宋体" w:cs="宋体" w:hint="eastAsia"/>
                <w:sz w:val="24"/>
              </w:rPr>
              <w:t>”的基本路线不动摇，确保经销商库存水平处于合理范围之内。</w:t>
            </w:r>
          </w:p>
          <w:p w:rsidR="001446CF" w:rsidRDefault="00C71DF8">
            <w:pPr>
              <w:pStyle w:val="ab"/>
              <w:numPr>
                <w:ilvl w:val="255"/>
                <w:numId w:val="0"/>
              </w:numPr>
              <w:spacing w:line="560" w:lineRule="exact"/>
              <w:ind w:firstLine="480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、公司在招商方面有什么规划？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br/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答：公司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将根据各个产品的市场情况进行招商布局规划，在有序做好产品招商布局的同时，大力做好新经销商的培育工作。</w:t>
            </w:r>
          </w:p>
          <w:p w:rsidR="001446CF" w:rsidRDefault="00C71DF8">
            <w:pPr>
              <w:pStyle w:val="ab"/>
              <w:numPr>
                <w:ilvl w:val="255"/>
                <w:numId w:val="0"/>
              </w:numPr>
              <w:spacing w:line="560" w:lineRule="exact"/>
              <w:ind w:firstLine="480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6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、公司千元价位段的藏品舍得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年市场销售表现？</w:t>
            </w:r>
          </w:p>
          <w:p w:rsidR="001446CF" w:rsidRDefault="00C71DF8">
            <w:pPr>
              <w:pStyle w:val="ab"/>
              <w:numPr>
                <w:ilvl w:val="255"/>
                <w:numId w:val="0"/>
              </w:numPr>
              <w:spacing w:line="560" w:lineRule="exact"/>
              <w:ind w:firstLine="480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答：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藏品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舍得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年作为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公司一款定位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千元价位段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的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大单品，公司将持续聚焦资源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对其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打造，通过持续开展品鉴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会等消费者培育活动，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不断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提升藏品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年的品牌影响力和曝光度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；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目前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该产品已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在局部市场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进行售卖，市场表现良好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。</w:t>
            </w:r>
          </w:p>
          <w:p w:rsidR="001446CF" w:rsidRDefault="00C71DF8">
            <w:pPr>
              <w:pStyle w:val="ab"/>
              <w:numPr>
                <w:ilvl w:val="255"/>
                <w:numId w:val="0"/>
              </w:numPr>
              <w:spacing w:line="560" w:lineRule="exact"/>
              <w:ind w:firstLine="48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7</w:t>
            </w: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、公司会进一步增加在</w:t>
            </w:r>
            <w:r>
              <w:rPr>
                <w:rFonts w:ascii="宋体" w:eastAsia="宋体" w:hAnsi="宋体" w:cs="宋体"/>
                <w:b/>
                <w:bCs/>
                <w:sz w:val="24"/>
              </w:rPr>
              <w:t>电</w:t>
            </w:r>
            <w:proofErr w:type="gramStart"/>
            <w:r>
              <w:rPr>
                <w:rFonts w:ascii="宋体" w:eastAsia="宋体" w:hAnsi="宋体" w:cs="宋体"/>
                <w:b/>
                <w:bCs/>
                <w:sz w:val="24"/>
              </w:rPr>
              <w:t>商</w:t>
            </w: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渠道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的</w:t>
            </w:r>
            <w:r>
              <w:rPr>
                <w:rFonts w:ascii="宋体" w:eastAsia="宋体" w:hAnsi="宋体" w:cs="宋体"/>
                <w:b/>
                <w:bCs/>
                <w:sz w:val="24"/>
              </w:rPr>
              <w:t>销售？</w:t>
            </w:r>
            <w:r>
              <w:rPr>
                <w:rFonts w:ascii="宋体" w:eastAsia="宋体" w:hAnsi="宋体" w:cs="宋体"/>
                <w:sz w:val="24"/>
              </w:rPr>
              <w:t xml:space="preserve"> </w:t>
            </w:r>
          </w:p>
          <w:p w:rsidR="001446CF" w:rsidRDefault="00C71DF8">
            <w:pPr>
              <w:pStyle w:val="ab"/>
              <w:spacing w:line="560" w:lineRule="exact"/>
              <w:ind w:firstLineChars="0" w:firstLine="480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答：公司将持续加强互联网营销渠道建设，按照</w:t>
            </w:r>
            <w:r>
              <w:rPr>
                <w:rFonts w:ascii="宋体" w:eastAsia="宋体" w:hAnsi="宋体" w:cs="宋体"/>
                <w:sz w:val="24"/>
              </w:rPr>
              <w:t>“</w:t>
            </w:r>
            <w:r>
              <w:rPr>
                <w:rFonts w:ascii="宋体" w:eastAsia="宋体" w:hAnsi="宋体" w:cs="宋体"/>
                <w:sz w:val="24"/>
              </w:rPr>
              <w:t>一个增加、两个优化、</w:t>
            </w:r>
            <w:r>
              <w:rPr>
                <w:rFonts w:ascii="宋体" w:eastAsia="宋体" w:hAnsi="宋体" w:cs="宋体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</w:rPr>
              <w:t>四个加强</w:t>
            </w:r>
            <w:r>
              <w:rPr>
                <w:rFonts w:ascii="宋体" w:eastAsia="宋体" w:hAnsi="宋体" w:cs="宋体"/>
                <w:sz w:val="24"/>
              </w:rPr>
              <w:t>”</w:t>
            </w:r>
            <w:r>
              <w:rPr>
                <w:rFonts w:ascii="宋体" w:eastAsia="宋体" w:hAnsi="宋体" w:cs="宋体"/>
                <w:sz w:val="24"/>
              </w:rPr>
              <w:t>的模式持续提升运营能力，让舍得酒成为互联网营销渠道最受消费者喜爱的老酒品牌。具体措施为：一个增加，持续增加分销渠道建设，让更广泛的人群通过互联网的多种平台接触和购买舍得、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沱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>牌系列酒；两个优化，持续优化产品结构，构建互联网营销产品矩阵，推出更多具有流量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的网红级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>大单品；持续优化运营模式，对消费者引流及效果投放进行精细化管理，提高市场声量和占有率；四个加强，加强人才队伍建设，加强站内营销及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平台级合作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>，加强增量渠道及重点渠道运作，</w:t>
            </w:r>
            <w:proofErr w:type="gramStart"/>
            <w:r>
              <w:rPr>
                <w:rFonts w:ascii="宋体" w:eastAsia="宋体" w:hAnsi="宋体" w:cs="宋体"/>
                <w:sz w:val="24"/>
              </w:rPr>
              <w:t>加强私域会员</w:t>
            </w:r>
            <w:proofErr w:type="gramEnd"/>
            <w:r>
              <w:rPr>
                <w:rFonts w:ascii="宋体" w:eastAsia="宋体" w:hAnsi="宋体" w:cs="宋体"/>
                <w:sz w:val="24"/>
              </w:rPr>
              <w:t>精细化运营。</w:t>
            </w:r>
          </w:p>
        </w:tc>
      </w:tr>
      <w:tr w:rsidR="001446CF">
        <w:trPr>
          <w:trHeight w:val="798"/>
        </w:trPr>
        <w:tc>
          <w:tcPr>
            <w:tcW w:w="2000" w:type="dxa"/>
          </w:tcPr>
          <w:p w:rsidR="001446CF" w:rsidRDefault="00C71DF8">
            <w:pPr>
              <w:spacing w:beforeLines="50" w:before="156" w:afterLines="50" w:after="156" w:line="5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lastRenderedPageBreak/>
              <w:t>附件清单</w:t>
            </w:r>
          </w:p>
        </w:tc>
        <w:tc>
          <w:tcPr>
            <w:tcW w:w="8187" w:type="dxa"/>
          </w:tcPr>
          <w:p w:rsidR="001446CF" w:rsidRDefault="00C71DF8">
            <w:pPr>
              <w:spacing w:beforeLines="50" w:before="156" w:afterLines="50" w:after="156" w:line="500" w:lineRule="exact"/>
              <w:ind w:firstLineChars="200" w:firstLine="480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无</w:t>
            </w:r>
          </w:p>
        </w:tc>
      </w:tr>
    </w:tbl>
    <w:p w:rsidR="001446CF" w:rsidRDefault="001446CF"/>
    <w:sectPr w:rsidR="001446CF">
      <w:pgSz w:w="11906" w:h="16838"/>
      <w:pgMar w:top="1383" w:right="896" w:bottom="1440" w:left="896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U3NzhiY2JkMWM0ZjE0MTY3MjEyMjM4ZjIwNGU2MzkifQ=="/>
  </w:docVars>
  <w:rsids>
    <w:rsidRoot w:val="00A7577B"/>
    <w:rsid w:val="00044083"/>
    <w:rsid w:val="000721B5"/>
    <w:rsid w:val="00076E63"/>
    <w:rsid w:val="000863AD"/>
    <w:rsid w:val="00094446"/>
    <w:rsid w:val="000A11E7"/>
    <w:rsid w:val="000B1C8A"/>
    <w:rsid w:val="000D49B7"/>
    <w:rsid w:val="000E3C94"/>
    <w:rsid w:val="000F442B"/>
    <w:rsid w:val="00101B87"/>
    <w:rsid w:val="00110F40"/>
    <w:rsid w:val="0011251C"/>
    <w:rsid w:val="001276AF"/>
    <w:rsid w:val="00130FB5"/>
    <w:rsid w:val="0014379A"/>
    <w:rsid w:val="00143D09"/>
    <w:rsid w:val="001446CF"/>
    <w:rsid w:val="001514B6"/>
    <w:rsid w:val="001516EF"/>
    <w:rsid w:val="00165F48"/>
    <w:rsid w:val="00170F23"/>
    <w:rsid w:val="001C75E0"/>
    <w:rsid w:val="001D5368"/>
    <w:rsid w:val="001E00D5"/>
    <w:rsid w:val="001F31B2"/>
    <w:rsid w:val="0022724E"/>
    <w:rsid w:val="0025166A"/>
    <w:rsid w:val="00275918"/>
    <w:rsid w:val="00290B9B"/>
    <w:rsid w:val="002A103F"/>
    <w:rsid w:val="002E5DEA"/>
    <w:rsid w:val="003009E5"/>
    <w:rsid w:val="00316468"/>
    <w:rsid w:val="00324167"/>
    <w:rsid w:val="00333620"/>
    <w:rsid w:val="00333DC2"/>
    <w:rsid w:val="00336579"/>
    <w:rsid w:val="00343214"/>
    <w:rsid w:val="003662BC"/>
    <w:rsid w:val="003730E7"/>
    <w:rsid w:val="003743FF"/>
    <w:rsid w:val="00391D8A"/>
    <w:rsid w:val="003F4CDF"/>
    <w:rsid w:val="00402ED0"/>
    <w:rsid w:val="004233E9"/>
    <w:rsid w:val="00423D29"/>
    <w:rsid w:val="00432B43"/>
    <w:rsid w:val="004549D8"/>
    <w:rsid w:val="00470C41"/>
    <w:rsid w:val="00471331"/>
    <w:rsid w:val="00483F46"/>
    <w:rsid w:val="004A1214"/>
    <w:rsid w:val="004B6BD4"/>
    <w:rsid w:val="004D2B3B"/>
    <w:rsid w:val="004D78D0"/>
    <w:rsid w:val="00532F85"/>
    <w:rsid w:val="005374F1"/>
    <w:rsid w:val="00594782"/>
    <w:rsid w:val="005952CA"/>
    <w:rsid w:val="005B6804"/>
    <w:rsid w:val="005C05E1"/>
    <w:rsid w:val="005C1AD3"/>
    <w:rsid w:val="005D7FA6"/>
    <w:rsid w:val="005E4A55"/>
    <w:rsid w:val="006540A6"/>
    <w:rsid w:val="00657341"/>
    <w:rsid w:val="00660990"/>
    <w:rsid w:val="0066180C"/>
    <w:rsid w:val="00683553"/>
    <w:rsid w:val="0068581F"/>
    <w:rsid w:val="00691EEE"/>
    <w:rsid w:val="006A3919"/>
    <w:rsid w:val="006D0BF5"/>
    <w:rsid w:val="006F5389"/>
    <w:rsid w:val="006F764D"/>
    <w:rsid w:val="00701804"/>
    <w:rsid w:val="007023BD"/>
    <w:rsid w:val="00703E82"/>
    <w:rsid w:val="00710CF3"/>
    <w:rsid w:val="00751C3D"/>
    <w:rsid w:val="0077694A"/>
    <w:rsid w:val="0079303A"/>
    <w:rsid w:val="007931DC"/>
    <w:rsid w:val="007A2CCE"/>
    <w:rsid w:val="007E497B"/>
    <w:rsid w:val="007F4E23"/>
    <w:rsid w:val="00814F2E"/>
    <w:rsid w:val="00816279"/>
    <w:rsid w:val="00847DE1"/>
    <w:rsid w:val="00857905"/>
    <w:rsid w:val="00864ED2"/>
    <w:rsid w:val="008A25F6"/>
    <w:rsid w:val="008B35DE"/>
    <w:rsid w:val="008F7DBD"/>
    <w:rsid w:val="0090591A"/>
    <w:rsid w:val="0091308E"/>
    <w:rsid w:val="00953FB6"/>
    <w:rsid w:val="0098758C"/>
    <w:rsid w:val="009A1C04"/>
    <w:rsid w:val="009A422A"/>
    <w:rsid w:val="009B584D"/>
    <w:rsid w:val="009C1732"/>
    <w:rsid w:val="009E3416"/>
    <w:rsid w:val="009E5413"/>
    <w:rsid w:val="009E782C"/>
    <w:rsid w:val="009F4BCF"/>
    <w:rsid w:val="00A215C3"/>
    <w:rsid w:val="00A442E5"/>
    <w:rsid w:val="00A45182"/>
    <w:rsid w:val="00A66B52"/>
    <w:rsid w:val="00A70498"/>
    <w:rsid w:val="00A70BBD"/>
    <w:rsid w:val="00A7577B"/>
    <w:rsid w:val="00A918E8"/>
    <w:rsid w:val="00A918FC"/>
    <w:rsid w:val="00A931B5"/>
    <w:rsid w:val="00AB73F6"/>
    <w:rsid w:val="00AC791B"/>
    <w:rsid w:val="00AD0EEC"/>
    <w:rsid w:val="00AD6B22"/>
    <w:rsid w:val="00AD7281"/>
    <w:rsid w:val="00AF55DB"/>
    <w:rsid w:val="00B01A46"/>
    <w:rsid w:val="00B02E4B"/>
    <w:rsid w:val="00B16BDC"/>
    <w:rsid w:val="00B40CE7"/>
    <w:rsid w:val="00B425A9"/>
    <w:rsid w:val="00B43A5D"/>
    <w:rsid w:val="00B46520"/>
    <w:rsid w:val="00B74910"/>
    <w:rsid w:val="00B767E9"/>
    <w:rsid w:val="00B95B4A"/>
    <w:rsid w:val="00BA7198"/>
    <w:rsid w:val="00BB5F0F"/>
    <w:rsid w:val="00BC2EEE"/>
    <w:rsid w:val="00BC733F"/>
    <w:rsid w:val="00BE14F3"/>
    <w:rsid w:val="00C0287C"/>
    <w:rsid w:val="00C333A1"/>
    <w:rsid w:val="00C476AE"/>
    <w:rsid w:val="00C71DF8"/>
    <w:rsid w:val="00C83BE1"/>
    <w:rsid w:val="00C90922"/>
    <w:rsid w:val="00CA6CF0"/>
    <w:rsid w:val="00CD0FE3"/>
    <w:rsid w:val="00CD4270"/>
    <w:rsid w:val="00CE1C09"/>
    <w:rsid w:val="00CF2D0E"/>
    <w:rsid w:val="00D123A4"/>
    <w:rsid w:val="00D142D8"/>
    <w:rsid w:val="00D169D1"/>
    <w:rsid w:val="00D373C4"/>
    <w:rsid w:val="00D55509"/>
    <w:rsid w:val="00D677F0"/>
    <w:rsid w:val="00D8189B"/>
    <w:rsid w:val="00D94583"/>
    <w:rsid w:val="00D96638"/>
    <w:rsid w:val="00D97D0C"/>
    <w:rsid w:val="00DE2B14"/>
    <w:rsid w:val="00DE4659"/>
    <w:rsid w:val="00DF1907"/>
    <w:rsid w:val="00E02415"/>
    <w:rsid w:val="00E50000"/>
    <w:rsid w:val="00E54F2B"/>
    <w:rsid w:val="00E63ABF"/>
    <w:rsid w:val="00E74C3C"/>
    <w:rsid w:val="00EC7F85"/>
    <w:rsid w:val="00EF736C"/>
    <w:rsid w:val="00F00499"/>
    <w:rsid w:val="00F117AA"/>
    <w:rsid w:val="00F22C7F"/>
    <w:rsid w:val="00F25435"/>
    <w:rsid w:val="00F30C6F"/>
    <w:rsid w:val="00F449E0"/>
    <w:rsid w:val="00F91D4D"/>
    <w:rsid w:val="00FA31C5"/>
    <w:rsid w:val="00FD5B6F"/>
    <w:rsid w:val="032064E7"/>
    <w:rsid w:val="045B1542"/>
    <w:rsid w:val="04D65D34"/>
    <w:rsid w:val="05451EB3"/>
    <w:rsid w:val="05D07816"/>
    <w:rsid w:val="06224324"/>
    <w:rsid w:val="064F49ED"/>
    <w:rsid w:val="07247684"/>
    <w:rsid w:val="07C147C6"/>
    <w:rsid w:val="09060854"/>
    <w:rsid w:val="0D741E4B"/>
    <w:rsid w:val="0E8D07A9"/>
    <w:rsid w:val="0EB67A58"/>
    <w:rsid w:val="0F000F7B"/>
    <w:rsid w:val="0F3330FE"/>
    <w:rsid w:val="0FE32D76"/>
    <w:rsid w:val="107C545E"/>
    <w:rsid w:val="12406CE4"/>
    <w:rsid w:val="125C6E10"/>
    <w:rsid w:val="13B65787"/>
    <w:rsid w:val="15CF16A7"/>
    <w:rsid w:val="15F01D49"/>
    <w:rsid w:val="16342C23"/>
    <w:rsid w:val="16AC3B2B"/>
    <w:rsid w:val="17087633"/>
    <w:rsid w:val="177D6B91"/>
    <w:rsid w:val="18840A21"/>
    <w:rsid w:val="1C4A4D10"/>
    <w:rsid w:val="1D1B5B56"/>
    <w:rsid w:val="1E1973D5"/>
    <w:rsid w:val="1F8C0F1A"/>
    <w:rsid w:val="20E75690"/>
    <w:rsid w:val="21856B61"/>
    <w:rsid w:val="21885F91"/>
    <w:rsid w:val="22DD5403"/>
    <w:rsid w:val="231F3C6E"/>
    <w:rsid w:val="246C1EEC"/>
    <w:rsid w:val="252A1E05"/>
    <w:rsid w:val="254C2D14"/>
    <w:rsid w:val="25FC03C5"/>
    <w:rsid w:val="26345C82"/>
    <w:rsid w:val="276C144B"/>
    <w:rsid w:val="289B3D96"/>
    <w:rsid w:val="28B60BD0"/>
    <w:rsid w:val="29F55728"/>
    <w:rsid w:val="2AA767F8"/>
    <w:rsid w:val="2CFA3055"/>
    <w:rsid w:val="2DA2605D"/>
    <w:rsid w:val="2E637258"/>
    <w:rsid w:val="2E9574DA"/>
    <w:rsid w:val="2FB870A3"/>
    <w:rsid w:val="2FC4426D"/>
    <w:rsid w:val="30514CF8"/>
    <w:rsid w:val="32297D53"/>
    <w:rsid w:val="351F3659"/>
    <w:rsid w:val="3715740A"/>
    <w:rsid w:val="371D201C"/>
    <w:rsid w:val="387A7D29"/>
    <w:rsid w:val="38B22A36"/>
    <w:rsid w:val="38EF77E6"/>
    <w:rsid w:val="399B0AF7"/>
    <w:rsid w:val="3C3F2833"/>
    <w:rsid w:val="3CBA17BE"/>
    <w:rsid w:val="3DE90CA8"/>
    <w:rsid w:val="3EE27D6A"/>
    <w:rsid w:val="40CF687B"/>
    <w:rsid w:val="42862F6A"/>
    <w:rsid w:val="44006D3C"/>
    <w:rsid w:val="443C4228"/>
    <w:rsid w:val="4581364A"/>
    <w:rsid w:val="463D381E"/>
    <w:rsid w:val="47AF616B"/>
    <w:rsid w:val="47D26C51"/>
    <w:rsid w:val="48211094"/>
    <w:rsid w:val="4968786D"/>
    <w:rsid w:val="4A2A0416"/>
    <w:rsid w:val="4B76782C"/>
    <w:rsid w:val="4C99451E"/>
    <w:rsid w:val="4DCE1C69"/>
    <w:rsid w:val="4E022557"/>
    <w:rsid w:val="4F9C201E"/>
    <w:rsid w:val="50502E09"/>
    <w:rsid w:val="51216210"/>
    <w:rsid w:val="512C5624"/>
    <w:rsid w:val="5184720E"/>
    <w:rsid w:val="51D57A6A"/>
    <w:rsid w:val="523E73BD"/>
    <w:rsid w:val="530E3233"/>
    <w:rsid w:val="5331480B"/>
    <w:rsid w:val="53670B95"/>
    <w:rsid w:val="53F65A75"/>
    <w:rsid w:val="53F71096"/>
    <w:rsid w:val="5454213D"/>
    <w:rsid w:val="54992FD0"/>
    <w:rsid w:val="56701B0F"/>
    <w:rsid w:val="569E7563"/>
    <w:rsid w:val="57716D68"/>
    <w:rsid w:val="59080725"/>
    <w:rsid w:val="5B152C85"/>
    <w:rsid w:val="5D121826"/>
    <w:rsid w:val="5D412843"/>
    <w:rsid w:val="60121E89"/>
    <w:rsid w:val="605F22E6"/>
    <w:rsid w:val="6072134A"/>
    <w:rsid w:val="60773CDA"/>
    <w:rsid w:val="60C671AE"/>
    <w:rsid w:val="617821BF"/>
    <w:rsid w:val="6180758E"/>
    <w:rsid w:val="61976DBB"/>
    <w:rsid w:val="6204284F"/>
    <w:rsid w:val="639C2195"/>
    <w:rsid w:val="64FF0A38"/>
    <w:rsid w:val="65D82ED8"/>
    <w:rsid w:val="663E6E8A"/>
    <w:rsid w:val="667E5FE0"/>
    <w:rsid w:val="66A23F66"/>
    <w:rsid w:val="66CD08B8"/>
    <w:rsid w:val="68EF1155"/>
    <w:rsid w:val="68FB7456"/>
    <w:rsid w:val="6A9E154F"/>
    <w:rsid w:val="6B19056F"/>
    <w:rsid w:val="6B2F7D93"/>
    <w:rsid w:val="6C7A5A5E"/>
    <w:rsid w:val="6CC133C9"/>
    <w:rsid w:val="6CDF46EF"/>
    <w:rsid w:val="6DAB6EF0"/>
    <w:rsid w:val="6EFD2E7C"/>
    <w:rsid w:val="6F101C89"/>
    <w:rsid w:val="7000236B"/>
    <w:rsid w:val="71D376CA"/>
    <w:rsid w:val="72952911"/>
    <w:rsid w:val="72CC4119"/>
    <w:rsid w:val="72DB1E0C"/>
    <w:rsid w:val="7349576A"/>
    <w:rsid w:val="73D56F2B"/>
    <w:rsid w:val="73FB4CB6"/>
    <w:rsid w:val="76CA4410"/>
    <w:rsid w:val="78321190"/>
    <w:rsid w:val="784A1D68"/>
    <w:rsid w:val="78964FAD"/>
    <w:rsid w:val="78C175FC"/>
    <w:rsid w:val="791A758F"/>
    <w:rsid w:val="7AA716F4"/>
    <w:rsid w:val="7B672C31"/>
    <w:rsid w:val="7B825CBD"/>
    <w:rsid w:val="7C4675A2"/>
    <w:rsid w:val="7D8950E1"/>
    <w:rsid w:val="7DBF3ED7"/>
    <w:rsid w:val="7DCE3C71"/>
    <w:rsid w:val="7E2E4986"/>
    <w:rsid w:val="7F3E014D"/>
    <w:rsid w:val="7F6A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9DAD2"/>
  <w15:docId w15:val="{4D1BBE39-A8B0-4820-8599-E94084D1E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autoRedefine/>
    <w:uiPriority w:val="99"/>
    <w:qFormat/>
    <w:pPr>
      <w:keepNext/>
      <w:keepLines/>
      <w:spacing w:before="340" w:after="330" w:line="576" w:lineRule="auto"/>
      <w:outlineLvl w:val="0"/>
    </w:pPr>
    <w:rPr>
      <w:rFonts w:ascii="Times New Roman" w:eastAsia="微软雅黑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autoRedefine/>
    <w:uiPriority w:val="99"/>
    <w:semiHidden/>
    <w:unhideWhenUsed/>
    <w:qFormat/>
    <w:pPr>
      <w:jc w:val="left"/>
    </w:pPr>
  </w:style>
  <w:style w:type="paragraph" w:styleId="a4">
    <w:name w:val="Body Text"/>
    <w:basedOn w:val="a"/>
    <w:link w:val="a5"/>
    <w:autoRedefine/>
    <w:uiPriority w:val="1"/>
    <w:qFormat/>
    <w:pPr>
      <w:spacing w:before="6"/>
    </w:pPr>
    <w:rPr>
      <w:sz w:val="24"/>
    </w:rPr>
  </w:style>
  <w:style w:type="paragraph" w:styleId="a6">
    <w:name w:val="footer"/>
    <w:basedOn w:val="a"/>
    <w:link w:val="a7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0"/>
    <w:link w:val="a8"/>
    <w:autoRedefine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autoRedefine/>
    <w:uiPriority w:val="99"/>
    <w:qFormat/>
    <w:rPr>
      <w:sz w:val="18"/>
      <w:szCs w:val="18"/>
    </w:rPr>
  </w:style>
  <w:style w:type="character" w:customStyle="1" w:styleId="a5">
    <w:name w:val="正文文本 字符"/>
    <w:basedOn w:val="a0"/>
    <w:link w:val="a4"/>
    <w:autoRedefine/>
    <w:uiPriority w:val="1"/>
    <w:qFormat/>
    <w:rPr>
      <w:sz w:val="24"/>
      <w:szCs w:val="24"/>
    </w:rPr>
  </w:style>
  <w:style w:type="paragraph" w:styleId="ab">
    <w:name w:val="List Paragraph"/>
    <w:basedOn w:val="a"/>
    <w:autoRedefine/>
    <w:uiPriority w:val="99"/>
    <w:qFormat/>
    <w:pPr>
      <w:ind w:firstLineChars="200" w:firstLine="420"/>
    </w:pPr>
  </w:style>
  <w:style w:type="character" w:customStyle="1" w:styleId="10">
    <w:name w:val="标题 1 字符"/>
    <w:basedOn w:val="a0"/>
    <w:link w:val="1"/>
    <w:autoRedefine/>
    <w:uiPriority w:val="99"/>
    <w:qFormat/>
    <w:rPr>
      <w:rFonts w:ascii="Times New Roman" w:eastAsia="微软雅黑" w:hAnsi="Times New Roman" w:cs="Times New Roman"/>
      <w:b/>
      <w:bCs/>
      <w:kern w:val="44"/>
      <w:sz w:val="44"/>
      <w:szCs w:val="44"/>
    </w:rPr>
  </w:style>
  <w:style w:type="paragraph" w:customStyle="1" w:styleId="11">
    <w:name w:val="修订1"/>
    <w:autoRedefine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fontstyle01">
    <w:name w:val="fontstyle01"/>
    <w:basedOn w:val="a0"/>
    <w:autoRedefine/>
    <w:qFormat/>
    <w:rPr>
      <w:rFonts w:ascii="宋体" w:eastAsia="宋体" w:hAnsi="宋体" w:hint="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320</Words>
  <Characters>1825</Characters>
  <Application>Microsoft Office Word</Application>
  <DocSecurity>0</DocSecurity>
  <Lines>15</Lines>
  <Paragraphs>4</Paragraphs>
  <ScaleCrop>false</ScaleCrop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赵一菲</dc:creator>
  <cp:lastModifiedBy>CYT</cp:lastModifiedBy>
  <cp:revision>14</cp:revision>
  <cp:lastPrinted>2022-07-15T01:52:00Z</cp:lastPrinted>
  <dcterms:created xsi:type="dcterms:W3CDTF">2022-08-18T03:44:00Z</dcterms:created>
  <dcterms:modified xsi:type="dcterms:W3CDTF">2024-04-26T07:39:00Z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CC7BE317DB804C6FB0D82E3F62792C5A_13</vt:lpwstr>
  </property>
</Properties>
</file>