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FF0000"/>
          <w:sz w:val="36"/>
          <w:szCs w:val="36"/>
        </w:rPr>
      </w:pPr>
      <w:r>
        <w:rPr>
          <w:rFonts w:hint="eastAsia" w:ascii="黑体" w:hAnsi="黑体" w:eastAsia="黑体"/>
          <w:b/>
          <w:color w:val="FF0000"/>
          <w:sz w:val="36"/>
          <w:szCs w:val="36"/>
        </w:rPr>
        <w:t>国投中鲁果汁股份有限公司</w:t>
      </w:r>
    </w:p>
    <w:p>
      <w:pPr>
        <w:jc w:val="center"/>
        <w:rPr>
          <w:rFonts w:ascii="黑体" w:hAnsi="黑体" w:eastAsia="黑体"/>
          <w:b/>
          <w:color w:val="FF0000"/>
          <w:sz w:val="36"/>
          <w:szCs w:val="36"/>
        </w:rPr>
      </w:pPr>
      <w:r>
        <w:rPr>
          <w:rFonts w:hint="eastAsia" w:ascii="黑体" w:hAnsi="黑体" w:eastAsia="黑体"/>
          <w:b/>
          <w:color w:val="FF0000"/>
          <w:sz w:val="36"/>
          <w:szCs w:val="36"/>
        </w:rPr>
        <w:t>投资者关系活动记录表</w:t>
      </w:r>
    </w:p>
    <w:p>
      <w:pPr>
        <w:jc w:val="center"/>
        <w:rPr>
          <w:rFonts w:ascii="黑体" w:hAnsi="黑体" w:eastAsia="黑体"/>
          <w:b/>
          <w:color w:val="FF0000"/>
          <w:sz w:val="36"/>
          <w:szCs w:val="36"/>
        </w:rPr>
      </w:pPr>
      <w:r>
        <w:rPr>
          <w:rFonts w:hint="eastAsia" w:ascii="黑体" w:hAnsi="黑体" w:eastAsia="黑体"/>
          <w:b/>
          <w:color w:val="FF0000"/>
          <w:sz w:val="36"/>
          <w:szCs w:val="36"/>
        </w:rPr>
        <w:t>（</w:t>
      </w:r>
      <w:r>
        <w:rPr>
          <w:rFonts w:ascii="黑体" w:hAnsi="黑体" w:eastAsia="黑体"/>
          <w:b/>
          <w:color w:val="FF0000"/>
          <w:sz w:val="36"/>
          <w:szCs w:val="36"/>
        </w:rPr>
        <w:t>202</w:t>
      </w:r>
      <w:r>
        <w:rPr>
          <w:rFonts w:hint="eastAsia" w:ascii="黑体" w:hAnsi="黑体" w:eastAsia="黑体"/>
          <w:b/>
          <w:color w:val="FF0000"/>
          <w:sz w:val="36"/>
          <w:szCs w:val="36"/>
        </w:rPr>
        <w:t>4</w:t>
      </w:r>
      <w:r>
        <w:rPr>
          <w:rFonts w:ascii="黑体" w:hAnsi="黑体" w:eastAsia="黑体"/>
          <w:b/>
          <w:color w:val="FF0000"/>
          <w:sz w:val="36"/>
          <w:szCs w:val="36"/>
        </w:rPr>
        <w:t>年</w:t>
      </w:r>
      <w:r>
        <w:rPr>
          <w:rFonts w:hint="eastAsia" w:ascii="黑体" w:hAnsi="黑体" w:eastAsia="黑体"/>
          <w:b/>
          <w:color w:val="FF0000"/>
          <w:sz w:val="36"/>
          <w:szCs w:val="36"/>
        </w:rPr>
        <w:t>5</w:t>
      </w:r>
      <w:r>
        <w:rPr>
          <w:rFonts w:ascii="黑体" w:hAnsi="黑体" w:eastAsia="黑体"/>
          <w:b/>
          <w:color w:val="FF0000"/>
          <w:sz w:val="36"/>
          <w:szCs w:val="36"/>
        </w:rPr>
        <w:t>月）</w:t>
      </w:r>
    </w:p>
    <w:p>
      <w:pPr>
        <w:jc w:val="center"/>
        <w:rPr>
          <w:rFonts w:ascii="宋体" w:hAnsi="宋体" w:eastAsia="宋体"/>
          <w:b/>
          <w:sz w:val="36"/>
          <w:szCs w:val="36"/>
        </w:rPr>
      </w:pPr>
    </w:p>
    <w:p>
      <w:pPr>
        <w:jc w:val="center"/>
        <w:rPr>
          <w:rFonts w:ascii="宋体" w:hAnsi="宋体" w:eastAsia="宋体"/>
          <w:sz w:val="24"/>
          <w:szCs w:val="24"/>
        </w:rPr>
      </w:pPr>
      <w:r>
        <w:rPr>
          <w:rFonts w:hint="eastAsia" w:ascii="宋体" w:hAnsi="宋体" w:eastAsia="宋体"/>
          <w:sz w:val="24"/>
          <w:szCs w:val="24"/>
        </w:rPr>
        <w:t>股票简称：国投中鲁</w:t>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股票代码：600962</w:t>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编号：202</w:t>
      </w:r>
      <w:r>
        <w:rPr>
          <w:rFonts w:hint="eastAsia" w:ascii="宋体" w:hAnsi="宋体" w:eastAsia="宋体"/>
          <w:sz w:val="24"/>
          <w:szCs w:val="24"/>
        </w:rPr>
        <w:t>4</w:t>
      </w:r>
      <w:r>
        <w:rPr>
          <w:rFonts w:ascii="宋体" w:hAnsi="宋体" w:eastAsia="宋体"/>
          <w:sz w:val="24"/>
          <w:szCs w:val="24"/>
        </w:rPr>
        <w:t>-00</w:t>
      </w:r>
      <w:r>
        <w:rPr>
          <w:rFonts w:hint="eastAsia" w:ascii="宋体" w:hAnsi="宋体" w:eastAsia="宋体"/>
          <w:sz w:val="24"/>
          <w:szCs w:val="24"/>
        </w:rPr>
        <w:t>1</w:t>
      </w:r>
      <w:r>
        <w:rPr>
          <w:rFonts w:ascii="宋体" w:hAnsi="宋体" w:eastAsia="宋体"/>
          <w:sz w:val="24"/>
          <w:szCs w:val="24"/>
        </w:rPr>
        <w:cr/>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spacing w:line="360" w:lineRule="auto"/>
              <w:jc w:val="left"/>
              <w:rPr>
                <w:rFonts w:ascii="宋体" w:hAnsi="宋体" w:eastAsia="宋体"/>
                <w:b/>
                <w:sz w:val="24"/>
                <w:szCs w:val="24"/>
              </w:rPr>
            </w:pPr>
            <w:r>
              <w:rPr>
                <w:rFonts w:ascii="宋体" w:hAnsi="宋体" w:eastAsia="宋体"/>
                <w:b/>
                <w:sz w:val="24"/>
                <w:szCs w:val="24"/>
              </w:rPr>
              <w:t>投资者关系</w:t>
            </w:r>
          </w:p>
          <w:p>
            <w:pPr>
              <w:spacing w:line="360" w:lineRule="auto"/>
              <w:jc w:val="left"/>
              <w:rPr>
                <w:rFonts w:ascii="宋体" w:hAnsi="宋体" w:eastAsia="宋体"/>
                <w:b/>
                <w:sz w:val="24"/>
                <w:szCs w:val="24"/>
              </w:rPr>
            </w:pPr>
            <w:r>
              <w:rPr>
                <w:rFonts w:ascii="宋体" w:hAnsi="宋体" w:eastAsia="宋体"/>
                <w:b/>
                <w:sz w:val="24"/>
                <w:szCs w:val="24"/>
              </w:rPr>
              <w:t>活动类别</w:t>
            </w:r>
          </w:p>
        </w:tc>
        <w:tc>
          <w:tcPr>
            <w:tcW w:w="6741" w:type="dxa"/>
          </w:tcPr>
          <w:p>
            <w:pPr>
              <w:spacing w:line="360" w:lineRule="auto"/>
              <w:ind w:firstLine="360" w:firstLineChars="150"/>
              <w:rPr>
                <w:rFonts w:ascii="宋体" w:hAnsi="宋体" w:eastAsia="宋体"/>
                <w:sz w:val="24"/>
                <w:szCs w:val="24"/>
              </w:rPr>
            </w:pPr>
            <w:r>
              <w:rPr>
                <w:rFonts w:ascii="宋体" w:hAnsi="宋体" w:eastAsia="宋体"/>
                <w:sz w:val="24"/>
                <w:szCs w:val="24"/>
              </w:rPr>
              <w:t>□特定对象调研          □分析师会议</w:t>
            </w:r>
          </w:p>
          <w:p>
            <w:pPr>
              <w:spacing w:line="360" w:lineRule="auto"/>
              <w:ind w:firstLine="360" w:firstLineChars="150"/>
              <w:rPr>
                <w:rFonts w:ascii="宋体" w:hAnsi="宋体" w:eastAsia="宋体"/>
                <w:sz w:val="24"/>
                <w:szCs w:val="24"/>
              </w:rPr>
            </w:pPr>
            <w:r>
              <w:rPr>
                <w:rFonts w:ascii="宋体" w:hAnsi="宋体" w:eastAsia="宋体"/>
                <w:sz w:val="24"/>
                <w:szCs w:val="24"/>
              </w:rPr>
              <w:t xml:space="preserve">□媒体采访              </w:t>
            </w:r>
            <w:r>
              <w:rPr>
                <w:rFonts w:ascii="Segoe UI Symbol" w:hAnsi="Segoe UI Symbol" w:eastAsia="宋体" w:cs="Segoe UI Symbol"/>
                <w:sz w:val="24"/>
                <w:szCs w:val="24"/>
              </w:rPr>
              <w:t>☑</w:t>
            </w:r>
            <w:r>
              <w:rPr>
                <w:rFonts w:ascii="宋体" w:hAnsi="宋体" w:eastAsia="宋体"/>
                <w:sz w:val="24"/>
                <w:szCs w:val="24"/>
              </w:rPr>
              <w:t>业绩说明会</w:t>
            </w:r>
          </w:p>
          <w:p>
            <w:pPr>
              <w:spacing w:line="360" w:lineRule="auto"/>
              <w:ind w:firstLine="360" w:firstLineChars="150"/>
              <w:rPr>
                <w:rFonts w:ascii="宋体" w:hAnsi="宋体" w:eastAsia="宋体"/>
                <w:sz w:val="24"/>
                <w:szCs w:val="24"/>
              </w:rPr>
            </w:pPr>
            <w:r>
              <w:rPr>
                <w:rFonts w:ascii="宋体" w:hAnsi="宋体" w:eastAsia="宋体"/>
                <w:sz w:val="24"/>
                <w:szCs w:val="24"/>
              </w:rPr>
              <w:t xml:space="preserve">□新闻发布会            </w:t>
            </w:r>
            <w:r>
              <w:rPr>
                <w:rFonts w:ascii="Segoe UI Symbol" w:hAnsi="Segoe UI Symbol" w:eastAsia="宋体" w:cs="Segoe UI Symbol"/>
                <w:sz w:val="24"/>
                <w:szCs w:val="24"/>
              </w:rPr>
              <w:t>☑</w:t>
            </w:r>
            <w:r>
              <w:rPr>
                <w:rFonts w:ascii="宋体" w:hAnsi="宋体" w:eastAsia="宋体"/>
                <w:sz w:val="24"/>
                <w:szCs w:val="24"/>
              </w:rPr>
              <w:t>路演活动</w:t>
            </w:r>
          </w:p>
          <w:p>
            <w:pPr>
              <w:spacing w:line="360" w:lineRule="auto"/>
              <w:ind w:firstLine="360" w:firstLineChars="150"/>
              <w:rPr>
                <w:rFonts w:ascii="宋体" w:hAnsi="宋体" w:eastAsia="宋体"/>
                <w:sz w:val="24"/>
                <w:szCs w:val="24"/>
              </w:rPr>
            </w:pPr>
            <w:r>
              <w:rPr>
                <w:rFonts w:ascii="宋体" w:hAnsi="宋体" w:eastAsia="宋体"/>
                <w:sz w:val="24"/>
                <w:szCs w:val="24"/>
              </w:rPr>
              <w:t>□现场参观              □其他(请文字说明)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spacing w:line="360" w:lineRule="auto"/>
              <w:rPr>
                <w:rFonts w:ascii="宋体" w:hAnsi="宋体" w:eastAsia="宋体"/>
                <w:b/>
                <w:sz w:val="24"/>
                <w:szCs w:val="24"/>
              </w:rPr>
            </w:pPr>
            <w:r>
              <w:rPr>
                <w:rFonts w:ascii="宋体" w:hAnsi="宋体" w:eastAsia="宋体"/>
                <w:b/>
                <w:sz w:val="24"/>
                <w:szCs w:val="24"/>
              </w:rPr>
              <w:t>参与单位</w:t>
            </w:r>
            <w:r>
              <w:rPr>
                <w:rFonts w:hint="eastAsia" w:ascii="宋体" w:hAnsi="宋体" w:eastAsia="宋体"/>
                <w:b/>
                <w:sz w:val="24"/>
                <w:szCs w:val="24"/>
              </w:rPr>
              <w:t>及人员</w:t>
            </w:r>
            <w:r>
              <w:rPr>
                <w:rFonts w:ascii="宋体" w:hAnsi="宋体" w:eastAsia="宋体"/>
                <w:b/>
                <w:sz w:val="24"/>
                <w:szCs w:val="24"/>
              </w:rPr>
              <w:t>名称</w:t>
            </w:r>
          </w:p>
        </w:tc>
        <w:tc>
          <w:tcPr>
            <w:tcW w:w="6741" w:type="dxa"/>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中信证券</w:t>
            </w:r>
            <w:r>
              <w:rPr>
                <w:rFonts w:hint="eastAsia" w:ascii="宋体" w:hAnsi="宋体" w:eastAsia="宋体"/>
                <w:sz w:val="24"/>
                <w:szCs w:val="24"/>
                <w:lang w:eastAsia="zh-CN"/>
              </w:rPr>
              <w:t>、</w:t>
            </w:r>
            <w:r>
              <w:rPr>
                <w:rFonts w:hint="eastAsia" w:ascii="宋体" w:hAnsi="宋体" w:eastAsia="宋体"/>
                <w:sz w:val="24"/>
                <w:szCs w:val="24"/>
              </w:rPr>
              <w:t>光大证券</w:t>
            </w:r>
            <w:r>
              <w:rPr>
                <w:rFonts w:hint="eastAsia" w:ascii="宋体" w:hAnsi="宋体" w:eastAsia="宋体"/>
                <w:sz w:val="24"/>
                <w:szCs w:val="24"/>
                <w:lang w:eastAsia="zh-CN"/>
              </w:rPr>
              <w:t>、</w:t>
            </w:r>
            <w:r>
              <w:rPr>
                <w:rFonts w:hint="default" w:ascii="宋体" w:hAnsi="宋体" w:eastAsia="宋体"/>
                <w:sz w:val="24"/>
                <w:szCs w:val="24"/>
                <w:lang w:eastAsia="zh-CN"/>
              </w:rPr>
              <w:t>广发证券、民生证券、</w:t>
            </w:r>
            <w:r>
              <w:rPr>
                <w:rFonts w:hint="eastAsia" w:ascii="宋体" w:hAnsi="宋体" w:eastAsia="宋体"/>
                <w:sz w:val="24"/>
                <w:szCs w:val="24"/>
                <w:lang w:eastAsia="zh-CN"/>
              </w:rPr>
              <w:t>线上参与活动的投资者</w:t>
            </w:r>
            <w:r>
              <w:rPr>
                <w:rFonts w:hint="eastAsia" w:ascii="宋体" w:hAnsi="宋体" w:eastAsia="宋体"/>
                <w:sz w:val="24"/>
                <w:szCs w:val="24"/>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spacing w:line="360" w:lineRule="auto"/>
              <w:rPr>
                <w:rFonts w:ascii="宋体" w:hAnsi="宋体" w:eastAsia="宋体"/>
                <w:b/>
                <w:sz w:val="24"/>
                <w:szCs w:val="24"/>
              </w:rPr>
            </w:pPr>
            <w:r>
              <w:rPr>
                <w:rFonts w:ascii="宋体" w:hAnsi="宋体" w:eastAsia="宋体"/>
                <w:b/>
                <w:sz w:val="24"/>
                <w:szCs w:val="24"/>
              </w:rPr>
              <w:t>参与时间</w:t>
            </w:r>
          </w:p>
        </w:tc>
        <w:tc>
          <w:tcPr>
            <w:tcW w:w="6741" w:type="dxa"/>
          </w:tcPr>
          <w:p>
            <w:pPr>
              <w:spacing w:line="360" w:lineRule="auto"/>
              <w:rPr>
                <w:rFonts w:ascii="宋体" w:hAnsi="宋体" w:eastAsia="宋体"/>
                <w:sz w:val="24"/>
                <w:szCs w:val="24"/>
              </w:rPr>
            </w:pPr>
            <w:r>
              <w:rPr>
                <w:rFonts w:hint="eastAsia" w:ascii="宋体" w:hAnsi="宋体" w:eastAsia="宋体"/>
                <w:color w:val="000000"/>
                <w:sz w:val="24"/>
                <w:szCs w:val="24"/>
              </w:rPr>
              <w:t>2024年5月16日下午14:00-17:00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spacing w:line="360" w:lineRule="auto"/>
              <w:rPr>
                <w:rFonts w:ascii="宋体" w:hAnsi="宋体" w:eastAsia="宋体"/>
                <w:b/>
                <w:sz w:val="24"/>
                <w:szCs w:val="24"/>
              </w:rPr>
            </w:pPr>
            <w:r>
              <w:rPr>
                <w:rFonts w:ascii="宋体" w:hAnsi="宋体" w:eastAsia="宋体"/>
                <w:b/>
                <w:sz w:val="24"/>
                <w:szCs w:val="24"/>
              </w:rPr>
              <w:t>参与地点</w:t>
            </w:r>
          </w:p>
        </w:tc>
        <w:tc>
          <w:tcPr>
            <w:tcW w:w="6741" w:type="dxa"/>
          </w:tcPr>
          <w:p>
            <w:pPr>
              <w:adjustRightInd w:val="0"/>
              <w:snapToGrid w:val="0"/>
              <w:spacing w:line="360" w:lineRule="auto"/>
              <w:ind w:firstLine="480" w:firstLineChars="200"/>
              <w:rPr>
                <w:rFonts w:hint="eastAsia" w:ascii="宋体" w:hAnsi="宋体" w:eastAsia="宋体"/>
                <w:color w:val="000000"/>
                <w:sz w:val="24"/>
                <w:szCs w:val="24"/>
              </w:rPr>
            </w:pPr>
            <w:r>
              <w:rPr>
                <w:rFonts w:hint="eastAsia" w:ascii="宋体" w:hAnsi="宋体" w:eastAsia="宋体"/>
                <w:sz w:val="24"/>
                <w:szCs w:val="24"/>
              </w:rPr>
              <w:t>上海证券交易所上证路演中心（网址：</w:t>
            </w:r>
            <w:r>
              <w:rPr>
                <w:rFonts w:ascii="宋体" w:hAnsi="宋体" w:eastAsia="宋体"/>
                <w:sz w:val="24"/>
                <w:szCs w:val="24"/>
              </w:rPr>
              <w:t>https://roadshow.sseinfo.com/）</w:t>
            </w:r>
            <w:bookmarkStart w:id="0" w:name="_Hlk54105098"/>
            <w:r>
              <w:rPr>
                <w:rFonts w:hint="eastAsia" w:ascii="宋体" w:hAnsi="宋体" w:eastAsia="宋体"/>
                <w:color w:val="000000"/>
                <w:sz w:val="24"/>
                <w:szCs w:val="24"/>
              </w:rPr>
              <w:t>视频</w:t>
            </w:r>
            <w:r>
              <w:rPr>
                <w:rFonts w:ascii="宋体" w:hAnsi="宋体" w:eastAsia="宋体"/>
                <w:color w:val="000000"/>
                <w:sz w:val="24"/>
                <w:szCs w:val="24"/>
              </w:rPr>
              <w:t>直播和网络互动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spacing w:line="360" w:lineRule="auto"/>
              <w:rPr>
                <w:rFonts w:ascii="宋体" w:hAnsi="宋体" w:eastAsia="宋体"/>
                <w:b/>
                <w:sz w:val="24"/>
                <w:szCs w:val="24"/>
              </w:rPr>
            </w:pPr>
            <w:r>
              <w:rPr>
                <w:rFonts w:ascii="宋体" w:hAnsi="宋体" w:eastAsia="宋体"/>
                <w:b/>
                <w:sz w:val="24"/>
                <w:szCs w:val="24"/>
              </w:rPr>
              <w:t>公司接待人员姓名</w:t>
            </w:r>
          </w:p>
        </w:tc>
        <w:tc>
          <w:tcPr>
            <w:tcW w:w="6741" w:type="dxa"/>
          </w:tcPr>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董事长：贺军先生</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董事、总经理</w:t>
            </w:r>
            <w:r>
              <w:rPr>
                <w:rFonts w:ascii="宋体" w:hAnsi="宋体" w:eastAsia="宋体"/>
                <w:sz w:val="24"/>
                <w:szCs w:val="24"/>
              </w:rPr>
              <w:t>：</w:t>
            </w:r>
            <w:r>
              <w:rPr>
                <w:rFonts w:hint="eastAsia" w:ascii="宋体" w:hAnsi="宋体" w:eastAsia="宋体"/>
                <w:sz w:val="24"/>
                <w:szCs w:val="24"/>
              </w:rPr>
              <w:t>陈昊先生</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副总经理</w:t>
            </w:r>
            <w:r>
              <w:rPr>
                <w:rFonts w:hint="eastAsia" w:ascii="宋体" w:hAnsi="宋体" w:eastAsia="宋体"/>
                <w:sz w:val="24"/>
                <w:szCs w:val="24"/>
              </w:rPr>
              <w:t>：</w:t>
            </w:r>
            <w:r>
              <w:rPr>
                <w:rFonts w:ascii="宋体" w:hAnsi="宋体" w:eastAsia="宋体"/>
                <w:sz w:val="24"/>
                <w:szCs w:val="24"/>
              </w:rPr>
              <w:t>张瑞莲</w:t>
            </w:r>
            <w:r>
              <w:rPr>
                <w:rFonts w:hint="eastAsia" w:ascii="宋体" w:hAnsi="宋体" w:eastAsia="宋体"/>
                <w:sz w:val="24"/>
                <w:szCs w:val="24"/>
              </w:rPr>
              <w:t>女士</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副总经理、董事会秘书：殷实女士</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财务总监</w:t>
            </w:r>
            <w:r>
              <w:rPr>
                <w:rFonts w:ascii="宋体" w:hAnsi="宋体" w:eastAsia="宋体"/>
                <w:sz w:val="24"/>
                <w:szCs w:val="24"/>
              </w:rPr>
              <w:t>：</w:t>
            </w:r>
            <w:r>
              <w:rPr>
                <w:rFonts w:hint="eastAsia" w:ascii="宋体" w:hAnsi="宋体" w:eastAsia="宋体"/>
                <w:sz w:val="24"/>
                <w:szCs w:val="24"/>
              </w:rPr>
              <w:t>刘玉先生</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独立董事：杨昭依女士</w:t>
            </w:r>
          </w:p>
          <w:p>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董事：胡博文先生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spacing w:line="360" w:lineRule="auto"/>
              <w:rPr>
                <w:rFonts w:ascii="宋体" w:hAnsi="宋体" w:eastAsia="宋体"/>
                <w:b/>
                <w:sz w:val="24"/>
                <w:szCs w:val="24"/>
              </w:rPr>
            </w:pPr>
            <w:r>
              <w:rPr>
                <w:rFonts w:ascii="宋体" w:hAnsi="宋体" w:eastAsia="宋体"/>
                <w:b/>
                <w:sz w:val="24"/>
                <w:szCs w:val="24"/>
              </w:rPr>
              <w:t>投资者关系活动主要内容介绍</w:t>
            </w:r>
          </w:p>
        </w:tc>
        <w:tc>
          <w:tcPr>
            <w:tcW w:w="6741" w:type="dxa"/>
          </w:tcPr>
          <w:p>
            <w:pPr>
              <w:spacing w:line="360" w:lineRule="auto"/>
              <w:ind w:firstLine="0" w:firstLineChars="0"/>
              <w:rPr>
                <w:rFonts w:hint="eastAsia" w:ascii="宋体" w:hAnsi="宋体" w:eastAsia="宋体"/>
                <w:b/>
                <w:bCs/>
                <w:sz w:val="24"/>
                <w:szCs w:val="24"/>
              </w:rPr>
            </w:pPr>
            <w:r>
              <w:rPr>
                <w:rFonts w:hint="eastAsia" w:ascii="宋体" w:hAnsi="宋体" w:eastAsia="宋体"/>
                <w:b/>
                <w:bCs/>
                <w:sz w:val="24"/>
                <w:szCs w:val="24"/>
                <w:lang w:val="en-US" w:eastAsia="zh-CN"/>
              </w:rPr>
              <w:t>一、</w:t>
            </w:r>
            <w:r>
              <w:rPr>
                <w:rFonts w:hint="eastAsia" w:ascii="宋体" w:hAnsi="宋体" w:eastAsia="宋体"/>
                <w:b/>
                <w:bCs/>
                <w:sz w:val="24"/>
                <w:szCs w:val="24"/>
              </w:rPr>
              <w:t>现场直播互动问题回复</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问题</w:t>
            </w:r>
            <w:r>
              <w:rPr>
                <w:rFonts w:ascii="宋体" w:hAnsi="宋体" w:eastAsia="宋体"/>
                <w:b/>
                <w:bCs/>
                <w:sz w:val="24"/>
                <w:szCs w:val="24"/>
              </w:rPr>
              <w:t>1</w:t>
            </w:r>
            <w:r>
              <w:rPr>
                <w:rFonts w:hint="eastAsia" w:ascii="宋体" w:hAnsi="宋体" w:eastAsia="宋体"/>
                <w:b/>
                <w:bCs/>
                <w:sz w:val="24"/>
                <w:szCs w:val="24"/>
              </w:rPr>
              <w:t>：浓缩果汁行业目前发展已十分成熟，同时，我们也注意</w:t>
            </w:r>
            <w:r>
              <w:rPr>
                <w:rFonts w:hint="eastAsia" w:ascii="宋体" w:hAnsi="宋体" w:eastAsia="宋体"/>
                <w:b/>
                <w:bCs/>
                <w:sz w:val="24"/>
                <w:szCs w:val="24"/>
                <w:lang w:val="en-US" w:eastAsia="zh-CN"/>
              </w:rPr>
              <w:t>到</w:t>
            </w:r>
            <w:r>
              <w:rPr>
                <w:rFonts w:hint="eastAsia" w:ascii="宋体" w:hAnsi="宋体" w:eastAsia="宋体"/>
                <w:b/>
                <w:bCs/>
                <w:sz w:val="24"/>
                <w:szCs w:val="24"/>
              </w:rPr>
              <w:t>行业里有两家规模较大的企业经营陷入困境，</w:t>
            </w:r>
            <w:r>
              <w:rPr>
                <w:rFonts w:hint="eastAsia" w:ascii="宋体" w:hAnsi="宋体" w:eastAsia="宋体"/>
                <w:b/>
                <w:bCs/>
                <w:sz w:val="24"/>
                <w:szCs w:val="24"/>
                <w:lang w:val="en-US" w:eastAsia="zh-CN"/>
              </w:rPr>
              <w:t>请问</w:t>
            </w:r>
            <w:r>
              <w:rPr>
                <w:rFonts w:hint="eastAsia" w:ascii="宋体" w:hAnsi="宋体" w:eastAsia="宋体"/>
                <w:b/>
                <w:bCs/>
                <w:sz w:val="24"/>
                <w:szCs w:val="24"/>
              </w:rPr>
              <w:t>未来行业的竞争格局有没有可能重塑？另外，国投中鲁是凭借什么样的优势或者管理经验，能够一直保持行业领先地位的呢？</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答：传统浓缩果汁行业历经数十年的发展，从</w:t>
            </w:r>
            <w:r>
              <w:rPr>
                <w:rFonts w:hint="eastAsia" w:ascii="宋体" w:hAnsi="宋体" w:eastAsia="宋体"/>
                <w:sz w:val="24"/>
                <w:szCs w:val="24"/>
                <w:lang w:val="en-US" w:eastAsia="zh-CN"/>
              </w:rPr>
              <w:t>早期的</w:t>
            </w:r>
            <w:r>
              <w:rPr>
                <w:rFonts w:hint="eastAsia" w:ascii="宋体" w:hAnsi="宋体" w:eastAsia="宋体"/>
                <w:sz w:val="24"/>
                <w:szCs w:val="24"/>
              </w:rPr>
              <w:t>小而散到后来形成一个四大家的局面，近年来有些企业退场，现在形成以两大家为主、中等规模企业为辅的局面，行业几十年来的变迁历史值得包括国投中鲁在内行业所有企业的深入总结和学习。</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当前</w:t>
            </w:r>
            <w:r>
              <w:rPr>
                <w:rFonts w:hint="eastAsia" w:ascii="宋体" w:hAnsi="宋体" w:eastAsia="宋体"/>
                <w:sz w:val="24"/>
                <w:szCs w:val="24"/>
              </w:rPr>
              <w:t>行业发展</w:t>
            </w:r>
            <w:r>
              <w:rPr>
                <w:rFonts w:hint="eastAsia" w:ascii="宋体" w:hAnsi="宋体" w:eastAsia="宋体"/>
                <w:sz w:val="24"/>
                <w:szCs w:val="24"/>
                <w:lang w:val="en-US" w:eastAsia="zh-CN"/>
              </w:rPr>
              <w:t>环境</w:t>
            </w:r>
            <w:r>
              <w:rPr>
                <w:rFonts w:hint="eastAsia" w:ascii="宋体" w:hAnsi="宋体" w:eastAsia="宋体"/>
                <w:sz w:val="24"/>
                <w:szCs w:val="24"/>
              </w:rPr>
              <w:t>跟过去不同，首先国内食品饮料行业监管政策日趋完善，消费者对食品饮料健康安全需求的理念不断升级，国内果园种植区域和几十年前相比也发生了变迁，海内外市场随着国家政策</w:t>
            </w:r>
            <w:r>
              <w:rPr>
                <w:rFonts w:hint="eastAsia" w:ascii="宋体" w:hAnsi="宋体" w:eastAsia="宋体"/>
                <w:sz w:val="24"/>
                <w:szCs w:val="24"/>
                <w:lang w:val="en-US" w:eastAsia="zh-CN"/>
              </w:rPr>
              <w:t>的调整</w:t>
            </w:r>
            <w:r>
              <w:rPr>
                <w:rFonts w:hint="eastAsia" w:ascii="宋体" w:hAnsi="宋体" w:eastAsia="宋体"/>
                <w:sz w:val="24"/>
                <w:szCs w:val="24"/>
              </w:rPr>
              <w:t>也在不断</w:t>
            </w:r>
            <w:r>
              <w:rPr>
                <w:rFonts w:hint="eastAsia" w:ascii="宋体" w:hAnsi="宋体" w:eastAsia="宋体"/>
                <w:sz w:val="24"/>
                <w:szCs w:val="24"/>
                <w:lang w:val="en-US" w:eastAsia="zh-CN"/>
              </w:rPr>
              <w:t>变化</w:t>
            </w:r>
            <w:r>
              <w:rPr>
                <w:rFonts w:hint="eastAsia" w:ascii="宋体" w:hAnsi="宋体" w:eastAsia="宋体"/>
                <w:sz w:val="24"/>
                <w:szCs w:val="24"/>
              </w:rPr>
              <w:t>，我们预计行业未来的竞争格局将进一步集中，那些具备战略远见的、拥有高效管理水平的、符合市场需求的优质企业将有机会获取更大的市场份额。</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国投中鲁作为国投集团旗下民生健康板块的重要上市企业，一直秉持“健康果汁、美好生活”的</w:t>
            </w:r>
            <w:r>
              <w:rPr>
                <w:rFonts w:hint="default" w:ascii="宋体" w:hAnsi="宋体" w:eastAsia="宋体"/>
                <w:sz w:val="24"/>
                <w:szCs w:val="24"/>
              </w:rPr>
              <w:t>理念</w:t>
            </w:r>
            <w:r>
              <w:rPr>
                <w:rFonts w:hint="eastAsia" w:ascii="宋体" w:hAnsi="宋体" w:eastAsia="宋体"/>
                <w:sz w:val="24"/>
                <w:szCs w:val="24"/>
              </w:rPr>
              <w:t>，积极按照国家政策要求和国投集团的战略引领，保持战略定力，一步一个脚印，聚焦主业，不断夯实自身发展基础，我们相信行稳才能致远。</w:t>
            </w:r>
          </w:p>
          <w:p>
            <w:pPr>
              <w:spacing w:line="360" w:lineRule="auto"/>
              <w:ind w:firstLine="482" w:firstLineChars="200"/>
              <w:rPr>
                <w:rFonts w:hint="eastAsia" w:ascii="宋体" w:hAnsi="宋体" w:eastAsia="宋体"/>
                <w:b/>
                <w:bCs/>
                <w:sz w:val="24"/>
                <w:szCs w:val="24"/>
                <w:lang w:eastAsia="zh-CN"/>
              </w:rPr>
            </w:pPr>
            <w:r>
              <w:rPr>
                <w:rFonts w:hint="eastAsia" w:ascii="宋体" w:hAnsi="宋体" w:eastAsia="宋体"/>
                <w:b/>
                <w:bCs/>
                <w:sz w:val="24"/>
                <w:szCs w:val="24"/>
              </w:rPr>
              <w:t>问题</w:t>
            </w:r>
            <w:r>
              <w:rPr>
                <w:rFonts w:hint="eastAsia" w:ascii="宋体" w:hAnsi="宋体" w:eastAsia="宋体"/>
                <w:b/>
                <w:bCs/>
                <w:sz w:val="24"/>
                <w:szCs w:val="24"/>
                <w:lang w:val="en-US" w:eastAsia="zh-CN"/>
              </w:rPr>
              <w:t>2</w:t>
            </w:r>
            <w:r>
              <w:rPr>
                <w:rFonts w:hint="eastAsia" w:ascii="宋体" w:hAnsi="宋体" w:eastAsia="宋体"/>
                <w:b/>
                <w:bCs/>
                <w:sz w:val="24"/>
                <w:szCs w:val="24"/>
              </w:rPr>
              <w:t>：公司长期以来深耕浓缩果汁业务，近两年公司又发布了十四五发展规划和科技创新规划，</w:t>
            </w:r>
            <w:r>
              <w:rPr>
                <w:rFonts w:hint="eastAsia" w:ascii="宋体" w:hAnsi="宋体" w:eastAsia="宋体"/>
                <w:b/>
                <w:bCs/>
                <w:sz w:val="24"/>
                <w:szCs w:val="24"/>
                <w:lang w:val="en-US" w:eastAsia="zh-CN"/>
              </w:rPr>
              <w:t>请问</w:t>
            </w:r>
            <w:r>
              <w:rPr>
                <w:rFonts w:hint="eastAsia" w:ascii="宋体" w:hAnsi="宋体" w:eastAsia="宋体"/>
                <w:b/>
                <w:bCs/>
                <w:sz w:val="24"/>
                <w:szCs w:val="24"/>
              </w:rPr>
              <w:t>后续公司怎样落实这些规划</w:t>
            </w:r>
            <w:r>
              <w:rPr>
                <w:rFonts w:hint="eastAsia" w:ascii="宋体" w:hAnsi="宋体" w:eastAsia="宋体"/>
                <w:b/>
                <w:bCs/>
                <w:sz w:val="24"/>
                <w:szCs w:val="24"/>
                <w:lang w:eastAsia="zh-CN"/>
              </w:rPr>
              <w:t>？</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感谢您对国投中鲁的关注。国投中鲁对“十四五”发展规划与科技创新规划方面作了一些新的调整和优化，这其中凝聚着我们国投中鲁对国家的发展战略、行业的发展趋势、产业链上下游的需求变化等多方面、多角度的研究和思考。</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为了确保战略得到有效执行，我们采取了一系列策略和措施，其中主要聚焦在两个方面：一方面是巩固我们的传统浓缩果汁业务，通过精益管理找差距、补短板，持续提升主营业务盈利能力，确保我们的主营业务发挥好“压舱石”的战略保障作用；另一方面，我们也将依托国投中鲁30多年来所积累的主业资源优势，把握新的发展契机，积极开拓新的市场、布局新的产业、探索新的产品，从而开辟国投中鲁增长新路径，构建国投中鲁“第二增长曲线”。</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当然，战略规划的有效落地不仅依赖于顶层的精心设计，更离不开社会各界对国投中鲁的关心、支持，以及国投中鲁人的共同努力。我们坚信，在这些因素的共同作用下，国投中鲁必将迎来更加稳定、可持续的发展，以及一个值得期待的未来。谢谢！</w:t>
            </w:r>
          </w:p>
          <w:p>
            <w:pPr>
              <w:numPr>
                <w:ilvl w:val="0"/>
                <w:numId w:val="1"/>
              </w:numPr>
              <w:spacing w:line="360" w:lineRule="auto"/>
              <w:ind w:firstLine="0" w:firstLineChars="0"/>
              <w:jc w:val="left"/>
              <w:rPr>
                <w:rFonts w:hint="eastAsia" w:ascii="宋体" w:hAnsi="宋体" w:eastAsia="宋体" w:cstheme="minorBidi"/>
                <w:b/>
                <w:bCs/>
                <w:i w:val="0"/>
                <w:iCs w:val="0"/>
                <w:caps w:val="0"/>
                <w:spacing w:val="0"/>
                <w:sz w:val="24"/>
                <w:szCs w:val="24"/>
                <w:shd w:val="clear"/>
              </w:rPr>
            </w:pPr>
            <w:r>
              <w:rPr>
                <w:rFonts w:hint="eastAsia" w:ascii="宋体" w:hAnsi="宋体" w:eastAsia="宋体" w:cstheme="minorBidi"/>
                <w:b/>
                <w:bCs/>
                <w:i w:val="0"/>
                <w:iCs w:val="0"/>
                <w:caps w:val="0"/>
                <w:spacing w:val="0"/>
                <w:sz w:val="24"/>
                <w:szCs w:val="24"/>
                <w:shd w:val="clear"/>
              </w:rPr>
              <w:t>网络文字互动问题回复</w:t>
            </w:r>
          </w:p>
          <w:p>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问题</w:t>
            </w:r>
            <w:r>
              <w:rPr>
                <w:rFonts w:hint="eastAsia" w:ascii="宋体" w:hAnsi="宋体" w:eastAsia="宋体"/>
                <w:b/>
                <w:bCs/>
                <w:sz w:val="24"/>
                <w:szCs w:val="24"/>
                <w:lang w:val="en-US" w:eastAsia="zh-CN"/>
              </w:rPr>
              <w:t>1</w:t>
            </w:r>
            <w:r>
              <w:rPr>
                <w:rFonts w:hint="eastAsia" w:ascii="宋体" w:hAnsi="宋体" w:eastAsia="宋体"/>
                <w:b/>
                <w:bCs/>
                <w:sz w:val="24"/>
                <w:szCs w:val="24"/>
              </w:rPr>
              <w:t>：领导您好，想要请教一下公司24年第一季度业绩不错的原因有哪些？谢谢。</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尊敬的投资者您好，从2021年开始，公司业绩就在逐步企稳回升，这个成绩的背后，一方面，是受益于多年深耕主业积累下的“品牌影响力及全球化渠道布局、稳定的知名客户群体、可靠的产品品质和服务”等核心优势，另一方面，也与公司近两年在内部管理以及产销运营等方面进行的深入改革与优化息息相关。具体表现在，公司近些年一直坚持战略引领，并深化精益管理改革等措施，不断强化期间费用管控，同时在市场端，公司紧跟市场变化，精准把握市场动态，不断挖掘和满足客户需求，也取得了一些新兴市场的开拓成果，并加强了产销协同的管理，不断提升了生产效率和效益，为公司的业务发展提供了保障。感谢您对公司的关心和支持!</w:t>
            </w:r>
          </w:p>
          <w:p>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问题</w:t>
            </w:r>
            <w:r>
              <w:rPr>
                <w:rFonts w:hint="eastAsia" w:ascii="宋体" w:hAnsi="宋体" w:eastAsia="宋体"/>
                <w:b/>
                <w:bCs/>
                <w:sz w:val="24"/>
                <w:szCs w:val="24"/>
                <w:lang w:val="en-US" w:eastAsia="zh-CN"/>
              </w:rPr>
              <w:t>2</w:t>
            </w:r>
            <w:r>
              <w:rPr>
                <w:rFonts w:hint="eastAsia" w:ascii="宋体" w:hAnsi="宋体" w:eastAsia="宋体"/>
                <w:b/>
                <w:bCs/>
                <w:sz w:val="24"/>
                <w:szCs w:val="24"/>
              </w:rPr>
              <w:t>：领导好，汇率的波动对我们公司影响怎么样？</w:t>
            </w:r>
          </w:p>
          <w:p>
            <w:pPr>
              <w:spacing w:line="360" w:lineRule="auto"/>
              <w:ind w:firstLine="480" w:firstLineChars="200"/>
              <w:rPr>
                <w:rFonts w:hint="eastAsia" w:ascii="宋体" w:hAnsi="宋体" w:eastAsia="宋体"/>
                <w:b/>
                <w:bCs/>
                <w:sz w:val="24"/>
                <w:szCs w:val="24"/>
              </w:rPr>
            </w:pPr>
            <w:r>
              <w:rPr>
                <w:rFonts w:hint="eastAsia" w:ascii="宋体" w:hAnsi="宋体" w:eastAsia="宋体"/>
                <w:sz w:val="24"/>
                <w:szCs w:val="24"/>
              </w:rPr>
              <w:t>尊敬的投资者您好，公司产品出口占比较高，美元为主要结算币种，汇率波动影响公司收益，外币升值形成正向效应。公司加强汇率风险管控，动态监控汇率趋势，审慎开展即期结汇，同时，利用远期结售汇等套期保值工具锁定结算汇率，防范汇率波动对公司经营造成的影响，公司汇兑净收益实现了持续为正。感谢您的关注和提问。</w:t>
            </w:r>
          </w:p>
          <w:p>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问题</w:t>
            </w:r>
            <w:r>
              <w:rPr>
                <w:rFonts w:hint="eastAsia" w:ascii="宋体" w:hAnsi="宋体" w:eastAsia="宋体"/>
                <w:b/>
                <w:bCs/>
                <w:sz w:val="24"/>
                <w:szCs w:val="24"/>
                <w:lang w:val="en-US" w:eastAsia="zh-CN"/>
              </w:rPr>
              <w:t>3</w:t>
            </w:r>
            <w:r>
              <w:rPr>
                <w:rFonts w:hint="eastAsia" w:ascii="宋体" w:hAnsi="宋体" w:eastAsia="宋体"/>
                <w:b/>
                <w:bCs/>
                <w:sz w:val="24"/>
                <w:szCs w:val="24"/>
              </w:rPr>
              <w:t>：请问：国投投资建立了转型团队指导国投中鲁已有一年了吧，请问目前国投投资有无确定具体方向。</w:t>
            </w:r>
          </w:p>
          <w:p>
            <w:pPr>
              <w:spacing w:line="360" w:lineRule="auto"/>
              <w:ind w:firstLine="480" w:firstLineChars="200"/>
              <w:rPr>
                <w:rFonts w:hint="eastAsia" w:ascii="宋体" w:hAnsi="宋体" w:eastAsia="宋体"/>
                <w:b/>
                <w:bCs/>
                <w:sz w:val="24"/>
                <w:szCs w:val="24"/>
              </w:rPr>
            </w:pPr>
            <w:r>
              <w:rPr>
                <w:rFonts w:hint="eastAsia" w:ascii="宋体" w:hAnsi="宋体" w:eastAsia="宋体"/>
                <w:sz w:val="24"/>
                <w:szCs w:val="24"/>
              </w:rPr>
              <w:t>投资者您好，为更好地服务国家战略，公司进一步优化和升级“十四五”发展规划，一方面稳固并加强公司的主营业务，确保核心业务在复杂多变的市场环境中实现稳健增长；同时，公司也将积极探寻和拓展新的业务领域，不断探索市场潜力，以期为股东创造稳定且可持续的投资回报，实现公司的长期价值和可持续发展。感谢您的关注和提问。</w:t>
            </w:r>
          </w:p>
          <w:p>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问题</w:t>
            </w:r>
            <w:r>
              <w:rPr>
                <w:rFonts w:hint="eastAsia" w:ascii="宋体" w:hAnsi="宋体" w:eastAsia="宋体"/>
                <w:b/>
                <w:bCs/>
                <w:sz w:val="24"/>
                <w:szCs w:val="24"/>
                <w:lang w:val="en-US" w:eastAsia="zh-CN"/>
              </w:rPr>
              <w:t>4</w:t>
            </w:r>
            <w:r>
              <w:rPr>
                <w:rFonts w:hint="eastAsia" w:ascii="宋体" w:hAnsi="宋体" w:eastAsia="宋体"/>
                <w:b/>
                <w:bCs/>
                <w:sz w:val="24"/>
                <w:szCs w:val="24"/>
              </w:rPr>
              <w:t>：国投中鲁领导您好，我们主要产品销售市场在欧美，近年国际汇率市场波动明显，对我们经营业绩以及报表的影响主要体现在哪些方面？</w:t>
            </w:r>
          </w:p>
          <w:p>
            <w:pPr>
              <w:spacing w:line="360" w:lineRule="auto"/>
              <w:ind w:firstLine="480" w:firstLineChars="200"/>
              <w:rPr>
                <w:rFonts w:hint="eastAsia" w:ascii="宋体" w:hAnsi="宋体" w:eastAsia="宋体"/>
                <w:b/>
                <w:bCs/>
                <w:sz w:val="24"/>
                <w:szCs w:val="24"/>
              </w:rPr>
            </w:pPr>
            <w:r>
              <w:rPr>
                <w:rFonts w:hint="eastAsia" w:ascii="宋体" w:hAnsi="宋体" w:eastAsia="宋体"/>
                <w:sz w:val="24"/>
                <w:szCs w:val="24"/>
              </w:rPr>
              <w:t>尊敬的投资者您好，公司产品出口占比较高，美元为主要结算币种，汇率波动影响公司收益，外币升值形成正向效应。公司加强汇率风险管控，动态监控汇率趋势，审慎开展即期结汇，同时，利用远期结售汇等套期保值工具锁定结算汇率，防范汇率波动对公司经营造成的影响，公司汇兑净收益实现了持续为正。感谢您的关注和提问。</w:t>
            </w:r>
          </w:p>
          <w:p>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问题</w:t>
            </w:r>
            <w:r>
              <w:rPr>
                <w:rFonts w:hint="eastAsia" w:ascii="宋体" w:hAnsi="宋体" w:eastAsia="宋体"/>
                <w:b/>
                <w:bCs/>
                <w:sz w:val="24"/>
                <w:szCs w:val="24"/>
                <w:lang w:val="en-US" w:eastAsia="zh-CN"/>
              </w:rPr>
              <w:t>5</w:t>
            </w:r>
            <w:r>
              <w:rPr>
                <w:rFonts w:hint="eastAsia" w:ascii="宋体" w:hAnsi="宋体" w:eastAsia="宋体"/>
                <w:b/>
                <w:bCs/>
                <w:sz w:val="24"/>
                <w:szCs w:val="24"/>
              </w:rPr>
              <w:t>：作为A级央企企业一级控股子公司，十多年未分红，在目前的政策环境下，贵公司采取什么措施来回报股东，谢谢！</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尊敬的投资者您好，公司高度重视中小投资者的利益，未来公司将继续努力做好各项经营管理工作，增强企业核心竞争力，持续改善和提升公司的盈利能力，致力于实现高质量发展，以更好地回报投资者。感谢您的关注和提问。</w:t>
            </w:r>
          </w:p>
          <w:p>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问题</w:t>
            </w:r>
            <w:r>
              <w:rPr>
                <w:rFonts w:hint="eastAsia" w:ascii="宋体" w:hAnsi="宋体" w:eastAsia="宋体"/>
                <w:b/>
                <w:bCs/>
                <w:sz w:val="24"/>
                <w:szCs w:val="24"/>
                <w:lang w:val="en-US" w:eastAsia="zh-CN"/>
              </w:rPr>
              <w:t>6</w:t>
            </w:r>
            <w:r>
              <w:rPr>
                <w:rFonts w:hint="eastAsia" w:ascii="宋体" w:hAnsi="宋体" w:eastAsia="宋体"/>
                <w:b/>
                <w:bCs/>
                <w:sz w:val="24"/>
                <w:szCs w:val="24"/>
              </w:rPr>
              <w:t>：公司作为央企子公司，集团内部对于市值管理是否提出了考核要求？目前公司是如何看待市值管理的？未来是否会采取措施积极的进行市值管理？</w:t>
            </w:r>
          </w:p>
          <w:p>
            <w:pPr>
              <w:spacing w:line="360" w:lineRule="auto"/>
              <w:ind w:firstLine="480" w:firstLineChars="200"/>
              <w:rPr>
                <w:rFonts w:hint="eastAsia" w:ascii="宋体" w:hAnsi="宋体" w:eastAsia="宋体"/>
                <w:b/>
                <w:bCs/>
                <w:sz w:val="24"/>
                <w:szCs w:val="24"/>
              </w:rPr>
            </w:pPr>
            <w:r>
              <w:rPr>
                <w:rFonts w:hint="eastAsia" w:ascii="宋体" w:hAnsi="宋体" w:eastAsia="宋体"/>
                <w:sz w:val="24"/>
                <w:szCs w:val="24"/>
              </w:rPr>
              <w:t>尊敬的投资者您好，公司作为央企控股上市公司，高度重视市值管理工作。未来公司将聚焦主业，积极采取丰富产品结构、拓展市场份额、提升生产效率等举措，不断提升经营质效和盈利能力，实现稳健发展。同时，公司将持续提高信息披露质量，并通过业绩说明会、投资者热线、上交所E互动等方式加强与资本市场的沟通交流，积极有效地向市场传递公司经营发展成果，增强投资者对公司价值的理解与认同，让公司内在价值更好地在资本市场市值上有所体现。感谢您的关注和提问。</w:t>
            </w:r>
          </w:p>
          <w:p>
            <w:pPr>
              <w:spacing w:line="360" w:lineRule="auto"/>
              <w:ind w:firstLine="482" w:firstLineChars="200"/>
              <w:rPr>
                <w:rFonts w:hint="eastAsia" w:ascii="宋体" w:hAnsi="宋体" w:eastAsia="宋体" w:cstheme="minorBidi"/>
                <w:b/>
                <w:bCs/>
                <w:i w:val="0"/>
                <w:iCs w:val="0"/>
                <w:caps w:val="0"/>
                <w:spacing w:val="0"/>
                <w:sz w:val="24"/>
                <w:szCs w:val="24"/>
                <w:shd w:val="clear"/>
              </w:rPr>
            </w:pPr>
            <w:r>
              <w:rPr>
                <w:rFonts w:hint="eastAsia" w:ascii="宋体" w:hAnsi="宋体" w:eastAsia="宋体"/>
                <w:b/>
                <w:bCs/>
                <w:sz w:val="24"/>
                <w:szCs w:val="24"/>
              </w:rPr>
              <w:t>问题</w:t>
            </w:r>
            <w:r>
              <w:rPr>
                <w:rFonts w:hint="eastAsia" w:ascii="宋体" w:hAnsi="宋体" w:eastAsia="宋体"/>
                <w:b/>
                <w:bCs/>
                <w:sz w:val="24"/>
                <w:szCs w:val="24"/>
                <w:lang w:val="en-US" w:eastAsia="zh-CN"/>
              </w:rPr>
              <w:t>7</w:t>
            </w:r>
            <w:r>
              <w:rPr>
                <w:rFonts w:hint="eastAsia" w:ascii="宋体" w:hAnsi="宋体" w:eastAsia="宋体"/>
                <w:b/>
                <w:bCs/>
                <w:sz w:val="24"/>
                <w:szCs w:val="24"/>
              </w:rPr>
              <w:t>：</w:t>
            </w:r>
            <w:r>
              <w:rPr>
                <w:rFonts w:hint="eastAsia" w:ascii="宋体" w:hAnsi="宋体" w:eastAsia="宋体" w:cstheme="minorBidi"/>
                <w:b/>
                <w:bCs/>
                <w:i w:val="0"/>
                <w:iCs w:val="0"/>
                <w:caps w:val="0"/>
                <w:spacing w:val="0"/>
                <w:sz w:val="24"/>
                <w:szCs w:val="24"/>
                <w:shd w:val="clear"/>
              </w:rPr>
              <w:t>领导您好，请问，国投中鲁相较于业内同行，具有哪些竞争优势？</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尊敬的投资者您好，公司作为国内浓缩苹果汁领域的先行者，多年积淀形成以下核心竞争力：</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一是知名品牌客户群与全球影响力。目前公司已与可口可乐、雀巢、卡夫等世界知名饮料及食品公司建立深厚且稳定的战略合作，其不仅彰显了公司的产品品质的国际认可度与品牌的全球影响力，更为公司的业务拓展及产业链延伸提供了发展机遇。</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二是全球化生产和销售网络布局。通过在中国与波兰的生产基地布局，公司有效整合资源，确保产量的稳定供给。同时，公司在北京、美国和波兰设有销售团队联动协作，构建了覆盖全球的销售网络，实现产品远销全球三十余个国家和地区，为进一步加强国内外市场拓展打下坚实基础。</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三是技术积累深厚，产品质量过硬。公司在果蔬加工领域的技术积累深厚，研发经验丰富，具备多元化经营基础，为公司新业务探索提供有力支持。同时，公司拥有数十年生产管理经验，产品品质稳定，通过全球多个食品标准认证，为产品畅销海外市场提供坚实的保障。</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未来，公司将依托核心竞争优势，继续坚定不移地推进发展战略，强化优势市场领先地位，积极开拓新兴市场，实现主业稳健发展。同时，积极探索和拓展新的业务领域，拓宽发展空间。并且，公司将进一步深化精益管理，不断提升经营质效，实现高质量长期发展。感谢您的关注和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spacing w:line="360" w:lineRule="auto"/>
              <w:rPr>
                <w:rFonts w:ascii="宋体" w:hAnsi="宋体" w:eastAsia="宋体"/>
                <w:b/>
                <w:sz w:val="24"/>
                <w:szCs w:val="24"/>
              </w:rPr>
            </w:pPr>
            <w:r>
              <w:rPr>
                <w:rFonts w:ascii="宋体" w:hAnsi="宋体" w:eastAsia="宋体"/>
                <w:b/>
                <w:sz w:val="24"/>
                <w:szCs w:val="24"/>
              </w:rPr>
              <w:t>应当披露</w:t>
            </w:r>
            <w:r>
              <w:rPr>
                <w:rFonts w:hint="eastAsia" w:ascii="宋体" w:hAnsi="宋体" w:eastAsia="宋体"/>
                <w:b/>
                <w:sz w:val="24"/>
                <w:szCs w:val="24"/>
                <w:lang w:val="en-US" w:eastAsia="zh-CN"/>
              </w:rPr>
              <w:t>的</w:t>
            </w:r>
            <w:bookmarkStart w:id="1" w:name="_GoBack"/>
            <w:bookmarkEnd w:id="1"/>
            <w:r>
              <w:rPr>
                <w:rFonts w:ascii="宋体" w:hAnsi="宋体" w:eastAsia="宋体"/>
                <w:b/>
                <w:sz w:val="24"/>
                <w:szCs w:val="24"/>
              </w:rPr>
              <w:t>重大信息</w:t>
            </w:r>
          </w:p>
        </w:tc>
        <w:tc>
          <w:tcPr>
            <w:tcW w:w="6741" w:type="dxa"/>
            <w:vAlign w:val="center"/>
          </w:tcPr>
          <w:p>
            <w:pPr>
              <w:spacing w:line="360" w:lineRule="auto"/>
              <w:rPr>
                <w:rFonts w:ascii="宋体" w:hAnsi="宋体" w:eastAsia="宋体"/>
                <w:sz w:val="24"/>
                <w:szCs w:val="24"/>
              </w:rPr>
            </w:pPr>
            <w:r>
              <w:rPr>
                <w:rFonts w:hint="eastAsia" w:ascii="宋体" w:hAnsi="宋体" w:eastAsia="宋体"/>
                <w:sz w:val="24"/>
                <w:szCs w:val="24"/>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spacing w:line="360" w:lineRule="auto"/>
              <w:rPr>
                <w:rFonts w:ascii="宋体" w:hAnsi="宋体" w:eastAsia="宋体"/>
                <w:b/>
                <w:sz w:val="24"/>
                <w:szCs w:val="24"/>
              </w:rPr>
            </w:pPr>
            <w:r>
              <w:rPr>
                <w:rFonts w:ascii="宋体" w:hAnsi="宋体" w:eastAsia="宋体"/>
                <w:b/>
                <w:sz w:val="24"/>
                <w:szCs w:val="24"/>
              </w:rPr>
              <w:t>附件清单</w:t>
            </w:r>
          </w:p>
        </w:tc>
        <w:tc>
          <w:tcPr>
            <w:tcW w:w="6741" w:type="dxa"/>
          </w:tcPr>
          <w:p>
            <w:pPr>
              <w:spacing w:line="360" w:lineRule="auto"/>
              <w:rPr>
                <w:rFonts w:hint="default" w:ascii="宋体" w:hAnsi="宋体" w:eastAsia="宋体"/>
                <w:sz w:val="24"/>
                <w:szCs w:val="24"/>
              </w:rPr>
            </w:pPr>
            <w:r>
              <w:rPr>
                <w:rFonts w:ascii="宋体" w:hAnsi="宋体" w:eastAsia="宋体"/>
                <w:sz w:val="24"/>
                <w:szCs w:val="24"/>
              </w:rPr>
              <w:t>无</w:t>
            </w:r>
          </w:p>
        </w:tc>
      </w:tr>
    </w:tbl>
    <w:p>
      <w:pPr>
        <w:spacing w:line="360" w:lineRule="auto"/>
        <w:rPr>
          <w:rFonts w:ascii="宋体" w:hAnsi="宋体" w:eastAsia="宋体" w:cs="宋体"/>
          <w:sz w:val="24"/>
          <w:szCs w:val="24"/>
        </w:rPr>
      </w:pPr>
    </w:p>
    <w:p>
      <w:pPr>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882EF6"/>
    <w:multiLevelType w:val="singleLevel"/>
    <w:tmpl w:val="49882E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CB4765"/>
    <w:rsid w:val="00001514"/>
    <w:rsid w:val="000079A9"/>
    <w:rsid w:val="00007DAC"/>
    <w:rsid w:val="00011FBF"/>
    <w:rsid w:val="00012853"/>
    <w:rsid w:val="00013919"/>
    <w:rsid w:val="00062F73"/>
    <w:rsid w:val="00072531"/>
    <w:rsid w:val="000A1CBF"/>
    <w:rsid w:val="000A7C99"/>
    <w:rsid w:val="000B3499"/>
    <w:rsid w:val="001137D0"/>
    <w:rsid w:val="001324DF"/>
    <w:rsid w:val="001333BD"/>
    <w:rsid w:val="001B0EEF"/>
    <w:rsid w:val="001B1F6D"/>
    <w:rsid w:val="001B6569"/>
    <w:rsid w:val="001D4915"/>
    <w:rsid w:val="0021367A"/>
    <w:rsid w:val="00226A80"/>
    <w:rsid w:val="00280BA4"/>
    <w:rsid w:val="002877FC"/>
    <w:rsid w:val="002B3CC5"/>
    <w:rsid w:val="002D146B"/>
    <w:rsid w:val="002D1FAC"/>
    <w:rsid w:val="002F3F4B"/>
    <w:rsid w:val="002F7972"/>
    <w:rsid w:val="00356756"/>
    <w:rsid w:val="0039058F"/>
    <w:rsid w:val="0039387A"/>
    <w:rsid w:val="003C0CD8"/>
    <w:rsid w:val="003D37FF"/>
    <w:rsid w:val="003D3979"/>
    <w:rsid w:val="0040617D"/>
    <w:rsid w:val="004B7073"/>
    <w:rsid w:val="004E75D2"/>
    <w:rsid w:val="00500904"/>
    <w:rsid w:val="00526748"/>
    <w:rsid w:val="0053105E"/>
    <w:rsid w:val="00556C49"/>
    <w:rsid w:val="00561714"/>
    <w:rsid w:val="005914DF"/>
    <w:rsid w:val="005B7258"/>
    <w:rsid w:val="005D1692"/>
    <w:rsid w:val="005D61E0"/>
    <w:rsid w:val="005E25BD"/>
    <w:rsid w:val="00635B25"/>
    <w:rsid w:val="006529E0"/>
    <w:rsid w:val="00667FA5"/>
    <w:rsid w:val="00691085"/>
    <w:rsid w:val="006B1B26"/>
    <w:rsid w:val="006C5C0D"/>
    <w:rsid w:val="006D0A7D"/>
    <w:rsid w:val="006E06CB"/>
    <w:rsid w:val="006E30DE"/>
    <w:rsid w:val="006F1502"/>
    <w:rsid w:val="00726ED1"/>
    <w:rsid w:val="00737D38"/>
    <w:rsid w:val="007405C7"/>
    <w:rsid w:val="00766F13"/>
    <w:rsid w:val="007A1E76"/>
    <w:rsid w:val="007C1996"/>
    <w:rsid w:val="007E2974"/>
    <w:rsid w:val="00815D19"/>
    <w:rsid w:val="008256CA"/>
    <w:rsid w:val="00832697"/>
    <w:rsid w:val="00835FA1"/>
    <w:rsid w:val="008378D8"/>
    <w:rsid w:val="00851899"/>
    <w:rsid w:val="00872AC7"/>
    <w:rsid w:val="008A6E03"/>
    <w:rsid w:val="008A7683"/>
    <w:rsid w:val="008B22C7"/>
    <w:rsid w:val="008F203D"/>
    <w:rsid w:val="008F26D5"/>
    <w:rsid w:val="008F3B39"/>
    <w:rsid w:val="00902E77"/>
    <w:rsid w:val="0090412C"/>
    <w:rsid w:val="00915088"/>
    <w:rsid w:val="009255D0"/>
    <w:rsid w:val="00954F7D"/>
    <w:rsid w:val="00972E5B"/>
    <w:rsid w:val="00977989"/>
    <w:rsid w:val="00980FF0"/>
    <w:rsid w:val="0099132B"/>
    <w:rsid w:val="00992DF2"/>
    <w:rsid w:val="009C3229"/>
    <w:rsid w:val="009C3230"/>
    <w:rsid w:val="009C7787"/>
    <w:rsid w:val="00A25234"/>
    <w:rsid w:val="00A45832"/>
    <w:rsid w:val="00A4765C"/>
    <w:rsid w:val="00A94EBB"/>
    <w:rsid w:val="00AB49E4"/>
    <w:rsid w:val="00AE31F5"/>
    <w:rsid w:val="00AF1FB6"/>
    <w:rsid w:val="00AF6BB7"/>
    <w:rsid w:val="00AF738F"/>
    <w:rsid w:val="00B311A7"/>
    <w:rsid w:val="00B36D24"/>
    <w:rsid w:val="00B47A3D"/>
    <w:rsid w:val="00B47C30"/>
    <w:rsid w:val="00B64C9D"/>
    <w:rsid w:val="00BA041A"/>
    <w:rsid w:val="00BB75D4"/>
    <w:rsid w:val="00BF173E"/>
    <w:rsid w:val="00C06E2F"/>
    <w:rsid w:val="00C42A93"/>
    <w:rsid w:val="00C767D3"/>
    <w:rsid w:val="00C92BB0"/>
    <w:rsid w:val="00CB4765"/>
    <w:rsid w:val="00CC75A3"/>
    <w:rsid w:val="00D20B9A"/>
    <w:rsid w:val="00D267B5"/>
    <w:rsid w:val="00D26E35"/>
    <w:rsid w:val="00D420A6"/>
    <w:rsid w:val="00D63944"/>
    <w:rsid w:val="00D7231F"/>
    <w:rsid w:val="00DC4C92"/>
    <w:rsid w:val="00E003BA"/>
    <w:rsid w:val="00E22684"/>
    <w:rsid w:val="00E50182"/>
    <w:rsid w:val="00E55EFC"/>
    <w:rsid w:val="00E6402B"/>
    <w:rsid w:val="00E709FD"/>
    <w:rsid w:val="00E946E2"/>
    <w:rsid w:val="00E95821"/>
    <w:rsid w:val="00E959F8"/>
    <w:rsid w:val="00EA4DAE"/>
    <w:rsid w:val="00EA7547"/>
    <w:rsid w:val="00ED57A9"/>
    <w:rsid w:val="00EE0F37"/>
    <w:rsid w:val="00EF0210"/>
    <w:rsid w:val="00F043AF"/>
    <w:rsid w:val="00F07D3E"/>
    <w:rsid w:val="00F21E57"/>
    <w:rsid w:val="00F2344B"/>
    <w:rsid w:val="00F25DD5"/>
    <w:rsid w:val="00F8022F"/>
    <w:rsid w:val="00FB18CB"/>
    <w:rsid w:val="00FC796E"/>
    <w:rsid w:val="00FD2500"/>
    <w:rsid w:val="0DC90F4E"/>
    <w:rsid w:val="185C1D1C"/>
    <w:rsid w:val="2D854875"/>
    <w:rsid w:val="377F387D"/>
    <w:rsid w:val="3E907376"/>
    <w:rsid w:val="3F893B6B"/>
    <w:rsid w:val="6FFBFDA9"/>
    <w:rsid w:val="7E4FB792"/>
    <w:rsid w:val="DFFF6EF9"/>
    <w:rsid w:val="E8D728FB"/>
    <w:rsid w:val="FF5F620B"/>
    <w:rsid w:val="FFDE02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autoRedefine/>
    <w:qFormat/>
    <w:uiPriority w:val="99"/>
    <w:rPr>
      <w:sz w:val="18"/>
      <w:szCs w:val="18"/>
    </w:rPr>
  </w:style>
  <w:style w:type="character" w:customStyle="1" w:styleId="13">
    <w:name w:val="批注框文本 字符"/>
    <w:basedOn w:val="9"/>
    <w:link w:val="3"/>
    <w:autoRedefine/>
    <w:semiHidden/>
    <w:qFormat/>
    <w:uiPriority w:val="99"/>
    <w:rPr>
      <w:sz w:val="18"/>
      <w:szCs w:val="18"/>
    </w:rPr>
  </w:style>
  <w:style w:type="character" w:customStyle="1" w:styleId="14">
    <w:name w:val="批注文字 字符"/>
    <w:basedOn w:val="9"/>
    <w:link w:val="2"/>
    <w:autoRedefine/>
    <w:semiHidden/>
    <w:qFormat/>
    <w:uiPriority w:val="99"/>
  </w:style>
  <w:style w:type="character" w:customStyle="1" w:styleId="15">
    <w:name w:val="批注主题 字符"/>
    <w:basedOn w:val="14"/>
    <w:link w:val="6"/>
    <w:autoRedefine/>
    <w:semiHidden/>
    <w:qFormat/>
    <w:uiPriority w:val="99"/>
    <w:rPr>
      <w:b/>
      <w:bCs/>
    </w:rPr>
  </w:style>
  <w:style w:type="paragraph" w:customStyle="1" w:styleId="16">
    <w:name w:val="修订1"/>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429A5379-BA8E-4D95-A1C5-B7A266F76604}">
  <ds:schemaRefs/>
</ds:datastoreItem>
</file>

<file path=docProps/app.xml><?xml version="1.0" encoding="utf-8"?>
<Properties xmlns="http://schemas.openxmlformats.org/officeDocument/2006/extended-properties" xmlns:vt="http://schemas.openxmlformats.org/officeDocument/2006/docPropsVTypes">
  <Pages>6</Pages>
  <Words>84</Words>
  <Characters>479</Characters>
  <Lines>3</Lines>
  <Paragraphs>1</Paragraphs>
  <TotalTime>7</TotalTime>
  <ScaleCrop>false</ScaleCrop>
  <LinksUpToDate>false</LinksUpToDate>
  <CharactersWithSpaces>562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2023-06-13T22:02:00Z</dcterms:created>
  <dc:creator>姚铁龙</dc:creator>
  <cp:lastModifiedBy>刘念</cp:lastModifiedBy>
  <dcterms:modified xsi:type="dcterms:W3CDTF">2024-05-17T07:32:29Z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6EA5B5D2149345FD885F65DDD41770E9_12</vt:lpwstr>
  </property>
</Properties>
</file>