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345" w:rsidRDefault="00D147BE">
      <w:pPr>
        <w:pStyle w:val="1"/>
        <w:spacing w:after="100"/>
        <w:ind w:right="240"/>
        <w:jc w:val="right"/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12700</wp:posOffset>
                </wp:positionV>
                <wp:extent cx="1258570" cy="19812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0345" w:rsidRDefault="00D147BE">
                            <w:pPr>
                              <w:pStyle w:val="1"/>
                              <w:spacing w:after="0"/>
                              <w:rPr>
                                <w:lang w:eastAsia="zh-CN"/>
                              </w:rPr>
                            </w:pPr>
                            <w:r>
                              <w:t>证券代码：60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3239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8.8pt;margin-top:1pt;width:99.1pt;height:15.6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" filled="f" stroked="f">
                <v:textbox inset="0,0,0,0">
                  <w:txbxContent>
                    <w:p w:rsidR="00650345" w:rsidRDefault="00D147BE">
                      <w:pPr>
                        <w:pStyle w:val="1"/>
                        <w:spacing w:after="0"/>
                        <w:rPr>
                          <w:lang w:eastAsia="zh-CN"/>
                        </w:rPr>
                      </w:pPr>
                      <w:r>
                        <w:t>证券代码：60</w:t>
                      </w:r>
                      <w:r>
                        <w:rPr>
                          <w:rFonts w:hint="eastAsia"/>
                          <w:lang w:eastAsia="zh-CN"/>
                        </w:rPr>
                        <w:t>3239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eastAsia="zh-CN"/>
        </w:rPr>
        <w:t>证券简称：</w:t>
      </w:r>
      <w:r>
        <w:rPr>
          <w:rFonts w:hint="eastAsia"/>
          <w:lang w:eastAsia="zh-CN"/>
        </w:rPr>
        <w:t>浙江仙通</w:t>
      </w:r>
    </w:p>
    <w:p w:rsidR="00650345" w:rsidRDefault="00D147BE">
      <w:pPr>
        <w:pStyle w:val="11"/>
        <w:keepNext/>
        <w:keepLines/>
        <w:rPr>
          <w:lang w:eastAsia="zh-CN"/>
        </w:rPr>
      </w:pPr>
      <w:bookmarkStart w:id="0" w:name="bookmark1"/>
      <w:bookmarkStart w:id="1" w:name="bookmark2"/>
      <w:bookmarkStart w:id="2" w:name="bookmark0"/>
      <w:r>
        <w:rPr>
          <w:rFonts w:hint="eastAsia"/>
          <w:lang w:eastAsia="zh-CN"/>
        </w:rPr>
        <w:t>浙江仙通橡塑</w:t>
      </w:r>
      <w:r>
        <w:rPr>
          <w:lang w:eastAsia="zh-CN"/>
        </w:rPr>
        <w:t>股份有限公司</w:t>
      </w:r>
      <w:r>
        <w:rPr>
          <w:lang w:eastAsia="zh-CN"/>
        </w:rPr>
        <w:br/>
        <w:t>投资者关系活动记录表</w:t>
      </w:r>
      <w:bookmarkEnd w:id="0"/>
      <w:bookmarkEnd w:id="1"/>
      <w:bookmarkEnd w:id="2"/>
    </w:p>
    <w:p w:rsidR="007B0B46" w:rsidRDefault="007B0B46">
      <w:pPr>
        <w:widowControl/>
        <w:rPr>
          <w:rFonts w:eastAsiaTheme="minorEastAsia"/>
          <w:lang w:eastAsia="zh-C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6148"/>
      </w:tblGrid>
      <w:tr w:rsidR="007B0B46" w:rsidTr="00816408">
        <w:trPr>
          <w:trHeight w:val="1546"/>
        </w:trPr>
        <w:tc>
          <w:tcPr>
            <w:tcW w:w="2376" w:type="dxa"/>
            <w:vAlign w:val="center"/>
          </w:tcPr>
          <w:p w:rsidR="007B0B46" w:rsidRPr="00816408" w:rsidRDefault="007B0B46" w:rsidP="007B0B46">
            <w:pPr>
              <w:pStyle w:val="a5"/>
              <w:spacing w:line="466" w:lineRule="exact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816408">
              <w:rPr>
                <w:b/>
                <w:bCs/>
                <w:sz w:val="28"/>
                <w:szCs w:val="28"/>
              </w:rPr>
              <w:t>投资者关系</w:t>
            </w:r>
          </w:p>
          <w:p w:rsidR="007B0B46" w:rsidRPr="00816408" w:rsidRDefault="007B0B46" w:rsidP="007B0B46">
            <w:pPr>
              <w:pStyle w:val="a5"/>
              <w:spacing w:line="466" w:lineRule="exact"/>
              <w:jc w:val="center"/>
              <w:rPr>
                <w:sz w:val="28"/>
                <w:szCs w:val="28"/>
              </w:rPr>
            </w:pPr>
            <w:r w:rsidRPr="00816408">
              <w:rPr>
                <w:b/>
                <w:bCs/>
                <w:sz w:val="28"/>
                <w:szCs w:val="28"/>
              </w:rPr>
              <w:t>活动类别</w:t>
            </w:r>
          </w:p>
        </w:tc>
        <w:tc>
          <w:tcPr>
            <w:tcW w:w="6148" w:type="dxa"/>
          </w:tcPr>
          <w:p w:rsidR="007B0B46" w:rsidRPr="00816408" w:rsidRDefault="007B0B46" w:rsidP="00CB6F13">
            <w:pPr>
              <w:pStyle w:val="a5"/>
              <w:tabs>
                <w:tab w:val="left" w:pos="2475"/>
              </w:tabs>
              <w:spacing w:after="120" w:line="240" w:lineRule="auto"/>
              <w:rPr>
                <w:sz w:val="28"/>
                <w:szCs w:val="28"/>
                <w:bdr w:val="single" w:sz="4" w:space="0" w:color="auto"/>
                <w:lang w:eastAsia="zh-CN"/>
              </w:rPr>
            </w:pPr>
          </w:p>
          <w:p w:rsidR="007B0B46" w:rsidRPr="00816408" w:rsidRDefault="007B0B46" w:rsidP="00CB6F13">
            <w:pPr>
              <w:pStyle w:val="a5"/>
              <w:tabs>
                <w:tab w:val="left" w:pos="2475"/>
              </w:tabs>
              <w:spacing w:after="120" w:line="240" w:lineRule="auto"/>
              <w:rPr>
                <w:sz w:val="28"/>
                <w:szCs w:val="28"/>
                <w:lang w:eastAsia="zh-CN"/>
              </w:rPr>
            </w:pPr>
            <w:r w:rsidRPr="00816408">
              <w:rPr>
                <w:rFonts w:hint="eastAsia"/>
                <w:sz w:val="28"/>
                <w:szCs w:val="28"/>
                <w:bdr w:val="single" w:sz="4" w:space="0" w:color="auto"/>
                <w:lang w:eastAsia="zh-CN"/>
              </w:rPr>
              <w:t>√</w:t>
            </w:r>
            <w:r w:rsidRPr="00816408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Pr="00816408">
              <w:rPr>
                <w:sz w:val="28"/>
                <w:szCs w:val="28"/>
                <w:lang w:eastAsia="zh-CN"/>
              </w:rPr>
              <w:t>特定对象调研</w:t>
            </w:r>
            <w:r w:rsidRPr="00816408">
              <w:rPr>
                <w:sz w:val="28"/>
                <w:szCs w:val="28"/>
                <w:lang w:eastAsia="zh-CN"/>
              </w:rPr>
              <w:tab/>
              <w:t>□</w:t>
            </w:r>
            <w:r w:rsidRPr="00816408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Pr="00816408">
              <w:rPr>
                <w:sz w:val="28"/>
                <w:szCs w:val="28"/>
                <w:lang w:eastAsia="zh-CN"/>
              </w:rPr>
              <w:t>分析师会议</w:t>
            </w:r>
          </w:p>
          <w:p w:rsidR="007B0B46" w:rsidRPr="00816408" w:rsidRDefault="007B0B46" w:rsidP="00CB6F13">
            <w:pPr>
              <w:pStyle w:val="a5"/>
              <w:tabs>
                <w:tab w:val="left" w:pos="2490"/>
              </w:tabs>
              <w:spacing w:after="120" w:line="240" w:lineRule="auto"/>
              <w:rPr>
                <w:sz w:val="28"/>
                <w:szCs w:val="28"/>
                <w:lang w:eastAsia="zh-CN"/>
              </w:rPr>
            </w:pPr>
            <w:r w:rsidRPr="00816408">
              <w:rPr>
                <w:sz w:val="28"/>
                <w:szCs w:val="28"/>
                <w:lang w:eastAsia="zh-CN"/>
              </w:rPr>
              <w:t>口</w:t>
            </w:r>
            <w:r w:rsidRPr="00816408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Pr="00816408">
              <w:rPr>
                <w:sz w:val="28"/>
                <w:szCs w:val="28"/>
                <w:lang w:eastAsia="zh-CN"/>
              </w:rPr>
              <w:t>媒体采访</w:t>
            </w:r>
            <w:r w:rsidRPr="00816408">
              <w:rPr>
                <w:sz w:val="28"/>
                <w:szCs w:val="28"/>
                <w:lang w:eastAsia="zh-CN"/>
              </w:rPr>
              <w:tab/>
              <w:t>□</w:t>
            </w:r>
            <w:r w:rsidRPr="00816408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Pr="00816408">
              <w:rPr>
                <w:sz w:val="28"/>
                <w:szCs w:val="28"/>
                <w:lang w:eastAsia="zh-CN"/>
              </w:rPr>
              <w:t>业绩说明会</w:t>
            </w:r>
          </w:p>
          <w:p w:rsidR="007B0B46" w:rsidRPr="00816408" w:rsidRDefault="007B0B46" w:rsidP="00CB6F13">
            <w:pPr>
              <w:pStyle w:val="a5"/>
              <w:tabs>
                <w:tab w:val="left" w:pos="2460"/>
              </w:tabs>
              <w:spacing w:after="120" w:line="240" w:lineRule="auto"/>
              <w:rPr>
                <w:sz w:val="28"/>
                <w:szCs w:val="28"/>
                <w:lang w:eastAsia="zh-CN"/>
              </w:rPr>
            </w:pPr>
            <w:r w:rsidRPr="00816408">
              <w:rPr>
                <w:sz w:val="28"/>
                <w:szCs w:val="28"/>
                <w:lang w:eastAsia="zh-CN"/>
              </w:rPr>
              <w:t>口</w:t>
            </w:r>
            <w:r w:rsidRPr="00816408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Pr="00816408">
              <w:rPr>
                <w:sz w:val="28"/>
                <w:szCs w:val="28"/>
                <w:lang w:eastAsia="zh-CN"/>
              </w:rPr>
              <w:t>新闻发布会</w:t>
            </w:r>
            <w:r w:rsidRPr="00816408">
              <w:rPr>
                <w:sz w:val="28"/>
                <w:szCs w:val="28"/>
                <w:lang w:eastAsia="zh-CN"/>
              </w:rPr>
              <w:tab/>
            </w:r>
            <w:r w:rsidRPr="00816408">
              <w:rPr>
                <w:rFonts w:hint="eastAsia"/>
                <w:sz w:val="28"/>
                <w:szCs w:val="28"/>
                <w:bdr w:val="single" w:sz="4" w:space="0" w:color="auto"/>
                <w:lang w:eastAsia="zh-CN"/>
              </w:rPr>
              <w:t>√</w:t>
            </w:r>
            <w:r w:rsidRPr="00816408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Pr="00816408">
              <w:rPr>
                <w:sz w:val="28"/>
                <w:szCs w:val="28"/>
                <w:lang w:eastAsia="zh-CN"/>
              </w:rPr>
              <w:t>路演活动</w:t>
            </w:r>
          </w:p>
          <w:p w:rsidR="007B0B46" w:rsidRPr="00816408" w:rsidRDefault="007B0B46" w:rsidP="00CB6F13">
            <w:pPr>
              <w:pStyle w:val="a5"/>
              <w:tabs>
                <w:tab w:val="left" w:pos="2460"/>
              </w:tabs>
              <w:spacing w:after="120" w:line="240" w:lineRule="auto"/>
              <w:rPr>
                <w:sz w:val="28"/>
                <w:szCs w:val="28"/>
                <w:lang w:eastAsia="zh-CN"/>
              </w:rPr>
            </w:pPr>
            <w:r w:rsidRPr="00816408">
              <w:rPr>
                <w:rFonts w:hint="eastAsia"/>
                <w:sz w:val="28"/>
                <w:szCs w:val="28"/>
                <w:bdr w:val="single" w:sz="4" w:space="0" w:color="auto"/>
              </w:rPr>
              <w:t>√</w:t>
            </w:r>
            <w:r w:rsidRPr="00816408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Pr="00816408">
              <w:rPr>
                <w:sz w:val="28"/>
                <w:szCs w:val="28"/>
              </w:rPr>
              <w:t>现场参观</w:t>
            </w:r>
            <w:r w:rsidRPr="00816408">
              <w:rPr>
                <w:sz w:val="28"/>
                <w:szCs w:val="28"/>
              </w:rPr>
              <w:tab/>
              <w:t>□</w:t>
            </w:r>
            <w:r w:rsidRPr="00816408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Pr="00816408">
              <w:rPr>
                <w:sz w:val="28"/>
                <w:szCs w:val="28"/>
              </w:rPr>
              <w:t>其他</w:t>
            </w:r>
          </w:p>
          <w:p w:rsidR="007B0B46" w:rsidRPr="00816408" w:rsidRDefault="007B0B46" w:rsidP="00CB6F13">
            <w:pPr>
              <w:pStyle w:val="a5"/>
              <w:tabs>
                <w:tab w:val="left" w:pos="2460"/>
              </w:tabs>
              <w:spacing w:after="120" w:line="240" w:lineRule="auto"/>
              <w:rPr>
                <w:sz w:val="28"/>
                <w:szCs w:val="28"/>
                <w:lang w:eastAsia="zh-CN"/>
              </w:rPr>
            </w:pPr>
          </w:p>
        </w:tc>
      </w:tr>
      <w:tr w:rsidR="007B0B46" w:rsidTr="00816408">
        <w:trPr>
          <w:trHeight w:val="3731"/>
        </w:trPr>
        <w:tc>
          <w:tcPr>
            <w:tcW w:w="2376" w:type="dxa"/>
            <w:vAlign w:val="center"/>
          </w:tcPr>
          <w:p w:rsidR="007B0B46" w:rsidRPr="00816408" w:rsidRDefault="007B0B46" w:rsidP="007B0B46">
            <w:pPr>
              <w:pStyle w:val="a5"/>
              <w:spacing w:after="20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816408">
              <w:rPr>
                <w:rFonts w:hint="eastAsia"/>
                <w:b/>
                <w:bCs/>
                <w:sz w:val="28"/>
                <w:szCs w:val="28"/>
                <w:lang w:eastAsia="zh-CN"/>
              </w:rPr>
              <w:t>近期调研</w:t>
            </w:r>
            <w:r w:rsidRPr="00816408">
              <w:rPr>
                <w:b/>
                <w:bCs/>
                <w:sz w:val="28"/>
                <w:szCs w:val="28"/>
                <w:lang w:eastAsia="zh-CN"/>
              </w:rPr>
              <w:t>参与单位名称</w:t>
            </w:r>
          </w:p>
          <w:p w:rsidR="007B0B46" w:rsidRPr="00816408" w:rsidRDefault="007B0B46" w:rsidP="007B0B46">
            <w:pPr>
              <w:pStyle w:val="a5"/>
              <w:spacing w:after="200" w:line="240" w:lineRule="auto"/>
              <w:rPr>
                <w:sz w:val="28"/>
                <w:szCs w:val="28"/>
                <w:lang w:eastAsia="zh-CN"/>
              </w:rPr>
            </w:pPr>
            <w:r w:rsidRPr="00816408">
              <w:rPr>
                <w:b/>
                <w:bCs/>
                <w:sz w:val="28"/>
                <w:szCs w:val="28"/>
                <w:lang w:eastAsia="zh-CN"/>
              </w:rPr>
              <w:t>（排名不分</w:t>
            </w:r>
            <w:r w:rsidRPr="00816408">
              <w:rPr>
                <w:rFonts w:hint="eastAsia"/>
                <w:b/>
                <w:bCs/>
                <w:sz w:val="28"/>
                <w:szCs w:val="28"/>
                <w:lang w:eastAsia="zh-CN"/>
              </w:rPr>
              <w:t>先</w:t>
            </w:r>
            <w:r w:rsidRPr="00816408">
              <w:rPr>
                <w:b/>
                <w:bCs/>
                <w:sz w:val="28"/>
                <w:szCs w:val="28"/>
                <w:lang w:eastAsia="zh-CN"/>
              </w:rPr>
              <w:t>后）</w:t>
            </w:r>
          </w:p>
        </w:tc>
        <w:tc>
          <w:tcPr>
            <w:tcW w:w="6148" w:type="dxa"/>
            <w:vAlign w:val="center"/>
          </w:tcPr>
          <w:p w:rsidR="007B0B46" w:rsidRPr="00816408" w:rsidRDefault="007B0B46" w:rsidP="00816408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16408">
              <w:rPr>
                <w:rFonts w:eastAsiaTheme="minorEastAsia" w:hint="eastAsia"/>
                <w:sz w:val="28"/>
                <w:szCs w:val="28"/>
                <w:lang w:eastAsia="zh-CN"/>
              </w:rPr>
              <w:t>长江建材、易方达、国盛汽车、中泰汽车、海通证券、华安汽车、融通基金、民生汽车、德邦汽车、大成基金、恒越基金、建信养老、华泰柏瑞、鹏扬基金、华夏基金、国新基金、浙商证券、南方基金、西南汽车、开源证券、平安资管、泉果基金、华安基金、华宝基金、国泰安保、创金合信、淳厚基金、国融证券、金元顺安、广发基金、国金证券、衡策资本、招商汽车</w:t>
            </w:r>
          </w:p>
        </w:tc>
      </w:tr>
      <w:tr w:rsidR="007B0B46" w:rsidTr="00816408">
        <w:trPr>
          <w:trHeight w:val="1084"/>
        </w:trPr>
        <w:tc>
          <w:tcPr>
            <w:tcW w:w="2376" w:type="dxa"/>
            <w:vAlign w:val="center"/>
          </w:tcPr>
          <w:p w:rsidR="007B0B46" w:rsidRPr="00816408" w:rsidRDefault="007B0B46" w:rsidP="00CB6F13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16408">
              <w:rPr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6148" w:type="dxa"/>
            <w:vAlign w:val="center"/>
          </w:tcPr>
          <w:p w:rsidR="007B0B46" w:rsidRPr="00816408" w:rsidRDefault="007B0B46" w:rsidP="00CB6F13">
            <w:pPr>
              <w:pStyle w:val="a5"/>
              <w:spacing w:line="240" w:lineRule="auto"/>
              <w:jc w:val="both"/>
              <w:rPr>
                <w:sz w:val="28"/>
                <w:szCs w:val="28"/>
                <w:lang w:eastAsia="zh-CN"/>
              </w:rPr>
            </w:pPr>
            <w:r w:rsidRPr="00816408">
              <w:rPr>
                <w:rFonts w:hint="eastAsia"/>
                <w:sz w:val="28"/>
                <w:szCs w:val="28"/>
                <w:lang w:eastAsia="zh-CN"/>
              </w:rPr>
              <w:t>浙江仙通公司办公楼（现场调研、线上电话会议交流）</w:t>
            </w:r>
          </w:p>
        </w:tc>
      </w:tr>
      <w:tr w:rsidR="007B0B46" w:rsidTr="00816408">
        <w:trPr>
          <w:trHeight w:val="1115"/>
        </w:trPr>
        <w:tc>
          <w:tcPr>
            <w:tcW w:w="2376" w:type="dxa"/>
            <w:vAlign w:val="center"/>
          </w:tcPr>
          <w:p w:rsidR="007B0B46" w:rsidRPr="00816408" w:rsidRDefault="007B0B46" w:rsidP="00CB6F13">
            <w:pPr>
              <w:pStyle w:val="a5"/>
              <w:spacing w:after="200" w:line="240" w:lineRule="auto"/>
              <w:jc w:val="center"/>
              <w:rPr>
                <w:sz w:val="28"/>
                <w:szCs w:val="28"/>
              </w:rPr>
            </w:pPr>
            <w:r w:rsidRPr="00816408">
              <w:rPr>
                <w:b/>
                <w:bCs/>
                <w:sz w:val="28"/>
                <w:szCs w:val="28"/>
              </w:rPr>
              <w:t>上市公司</w:t>
            </w:r>
          </w:p>
          <w:p w:rsidR="007B0B46" w:rsidRPr="00816408" w:rsidRDefault="007B0B46" w:rsidP="00CB6F13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16408">
              <w:rPr>
                <w:rFonts w:hint="eastAsia"/>
                <w:b/>
                <w:bCs/>
                <w:sz w:val="28"/>
                <w:szCs w:val="28"/>
                <w:lang w:eastAsia="zh-CN"/>
              </w:rPr>
              <w:t>接待</w:t>
            </w:r>
            <w:r w:rsidRPr="00816408">
              <w:rPr>
                <w:b/>
                <w:bCs/>
                <w:sz w:val="28"/>
                <w:szCs w:val="28"/>
              </w:rPr>
              <w:t>人员</w:t>
            </w:r>
          </w:p>
        </w:tc>
        <w:tc>
          <w:tcPr>
            <w:tcW w:w="6148" w:type="dxa"/>
            <w:vAlign w:val="center"/>
          </w:tcPr>
          <w:p w:rsidR="007B0B46" w:rsidRPr="00816408" w:rsidRDefault="007B0B46" w:rsidP="00CB6F13">
            <w:pPr>
              <w:pStyle w:val="a5"/>
              <w:spacing w:after="180" w:line="240" w:lineRule="auto"/>
              <w:jc w:val="both"/>
              <w:rPr>
                <w:sz w:val="28"/>
                <w:szCs w:val="28"/>
                <w:lang w:eastAsia="zh-CN"/>
              </w:rPr>
            </w:pPr>
            <w:r w:rsidRPr="00816408">
              <w:rPr>
                <w:sz w:val="28"/>
                <w:szCs w:val="28"/>
                <w:lang w:eastAsia="zh-CN"/>
              </w:rPr>
              <w:t>董事会秘书</w:t>
            </w:r>
            <w:r w:rsidRPr="00816408">
              <w:rPr>
                <w:rFonts w:hint="eastAsia"/>
                <w:sz w:val="28"/>
                <w:szCs w:val="28"/>
                <w:lang w:eastAsia="zh-CN"/>
              </w:rPr>
              <w:t xml:space="preserve">    项青锋</w:t>
            </w:r>
          </w:p>
        </w:tc>
      </w:tr>
      <w:tr w:rsidR="007B0B46" w:rsidTr="00816408">
        <w:trPr>
          <w:trHeight w:val="12886"/>
        </w:trPr>
        <w:tc>
          <w:tcPr>
            <w:tcW w:w="2376" w:type="dxa"/>
            <w:vAlign w:val="center"/>
          </w:tcPr>
          <w:p w:rsidR="00140DB6" w:rsidRPr="00140DB6" w:rsidRDefault="00816408" w:rsidP="00816408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  <w:lang w:eastAsia="zh-CN"/>
              </w:rPr>
            </w:pPr>
            <w:r w:rsidRPr="00140DB6">
              <w:rPr>
                <w:rFonts w:ascii="宋体" w:eastAsia="宋体" w:hAnsi="宋体"/>
                <w:b/>
                <w:bCs/>
                <w:sz w:val="28"/>
                <w:szCs w:val="28"/>
                <w:lang w:eastAsia="zh-CN"/>
              </w:rPr>
              <w:lastRenderedPageBreak/>
              <w:t xml:space="preserve">投资者关系活动 </w:t>
            </w:r>
          </w:p>
          <w:p w:rsidR="007B0B46" w:rsidRPr="00816408" w:rsidRDefault="00816408" w:rsidP="00816408">
            <w:pPr>
              <w:widowControl/>
              <w:jc w:val="center"/>
              <w:rPr>
                <w:rFonts w:ascii="宋体" w:eastAsia="宋体" w:hAnsi="宋体"/>
                <w:lang w:eastAsia="zh-CN"/>
              </w:rPr>
            </w:pPr>
            <w:r w:rsidRPr="00140DB6">
              <w:rPr>
                <w:rFonts w:ascii="宋体" w:eastAsia="宋体" w:hAnsi="宋体"/>
                <w:b/>
                <w:bCs/>
                <w:sz w:val="28"/>
                <w:szCs w:val="28"/>
                <w:lang w:eastAsia="zh-CN"/>
              </w:rPr>
              <w:t>主</w:t>
            </w:r>
            <w:bookmarkStart w:id="3" w:name="_GoBack"/>
            <w:bookmarkEnd w:id="3"/>
            <w:r w:rsidRPr="00140DB6">
              <w:rPr>
                <w:rFonts w:ascii="宋体" w:eastAsia="宋体" w:hAnsi="宋体"/>
                <w:b/>
                <w:bCs/>
                <w:sz w:val="28"/>
                <w:szCs w:val="28"/>
                <w:lang w:eastAsia="zh-CN"/>
              </w:rPr>
              <w:t>要内容介绍</w:t>
            </w:r>
          </w:p>
        </w:tc>
        <w:tc>
          <w:tcPr>
            <w:tcW w:w="6148" w:type="dxa"/>
          </w:tcPr>
          <w:p w:rsidR="007B0B46" w:rsidRPr="00816408" w:rsidRDefault="007B0B46" w:rsidP="007B0B46">
            <w:pPr>
              <w:numPr>
                <w:ilvl w:val="0"/>
                <w:numId w:val="2"/>
              </w:numPr>
              <w:jc w:val="both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816408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今年有哪些无边框车型量产或者将量产？</w:t>
            </w:r>
          </w:p>
          <w:p w:rsidR="007B0B46" w:rsidRPr="00816408" w:rsidRDefault="007B0B46" w:rsidP="00816408">
            <w:pPr>
              <w:ind w:firstLineChars="150" w:firstLine="420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81640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今年量产或将量产的无边框车型有极氪001、极氪007，华为与奇瑞合作的智界S7、智界S9，华为与北汽合作的享界S9，这些车型均为我公司独家供货。</w:t>
            </w:r>
          </w:p>
          <w:p w:rsidR="007B0B46" w:rsidRPr="00816408" w:rsidRDefault="007B0B46" w:rsidP="007B0B46">
            <w:pPr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  <w:p w:rsidR="007B0B46" w:rsidRPr="00816408" w:rsidRDefault="007B0B46" w:rsidP="007B0B46">
            <w:pPr>
              <w:numPr>
                <w:ilvl w:val="0"/>
                <w:numId w:val="2"/>
              </w:numPr>
              <w:jc w:val="both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816408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今年新项目定点情况如何？对于全年新项目开发有何规划？</w:t>
            </w:r>
          </w:p>
          <w:p w:rsidR="007B0B46" w:rsidRPr="00816408" w:rsidRDefault="007B0B46" w:rsidP="00195882">
            <w:pPr>
              <w:ind w:firstLineChars="200" w:firstLine="560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81640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今年截止五月底，公司新定点开发的项目已经达到去年承接项目的总和。未来，公司将加速扩大营收规模，今年规划承接新定点项目为2023年全年项目总数的200%左右。</w:t>
            </w:r>
          </w:p>
          <w:p w:rsidR="007B0B46" w:rsidRPr="00816408" w:rsidRDefault="007B0B46" w:rsidP="007B0B46">
            <w:pPr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  <w:p w:rsidR="007B0B46" w:rsidRPr="00816408" w:rsidRDefault="007B0B46" w:rsidP="007B0B46">
            <w:pPr>
              <w:numPr>
                <w:ilvl w:val="0"/>
                <w:numId w:val="2"/>
              </w:numPr>
              <w:jc w:val="both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816408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公司目前的客户以传统的头部车企为主，如何看待造车新势力？</w:t>
            </w:r>
          </w:p>
          <w:p w:rsidR="007B0B46" w:rsidRPr="00816408" w:rsidRDefault="007B0B46" w:rsidP="007B0B46">
            <w:pPr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81640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 xml:space="preserve">  </w:t>
            </w:r>
            <w:r w:rsidR="00195882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 xml:space="preserve"> </w:t>
            </w:r>
            <w:r w:rsidRPr="0081640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公司以牢牢锁定国内头部车企为战略，包含新能源汽车厂商和造车新势力。今年公司将积极谋求破局，加快与新能源头部车企和优秀造车新势力开展合作，尽快获取定点进行开发，打造仙通未来增长第二曲线。</w:t>
            </w:r>
          </w:p>
          <w:p w:rsidR="007B0B46" w:rsidRPr="00816408" w:rsidRDefault="007B0B46" w:rsidP="007B0B46">
            <w:pPr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  <w:p w:rsidR="007B0B46" w:rsidRPr="00816408" w:rsidRDefault="007B0B46" w:rsidP="007B0B46">
            <w:pPr>
              <w:numPr>
                <w:ilvl w:val="0"/>
                <w:numId w:val="2"/>
              </w:numPr>
              <w:jc w:val="both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816408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从毛利率来看，公司2023年第三季度、第四季度，以及今年一季度持续向好，请分析一下未来几年公司毛利率大致趋势？</w:t>
            </w:r>
          </w:p>
          <w:p w:rsidR="007B0B46" w:rsidRPr="00816408" w:rsidRDefault="007B0B46" w:rsidP="00195882">
            <w:pPr>
              <w:ind w:firstLineChars="200" w:firstLine="560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81640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未来几年，随着公司在原材料高位接的项目持续放量，毛利率将持续向上修复。</w:t>
            </w:r>
          </w:p>
          <w:p w:rsidR="007B0B46" w:rsidRPr="00816408" w:rsidRDefault="007B0B46" w:rsidP="007B0B46">
            <w:pPr>
              <w:ind w:firstLine="560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  <w:p w:rsidR="007B0B46" w:rsidRPr="00816408" w:rsidRDefault="007B0B46" w:rsidP="007B0B46">
            <w:pPr>
              <w:numPr>
                <w:ilvl w:val="0"/>
                <w:numId w:val="2"/>
              </w:numPr>
              <w:jc w:val="both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816408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公司上市以来一直高分红，未来是否持续？</w:t>
            </w:r>
          </w:p>
          <w:p w:rsidR="007B0B46" w:rsidRPr="00816408" w:rsidRDefault="007B0B46" w:rsidP="00195882">
            <w:pPr>
              <w:ind w:firstLineChars="200" w:firstLine="560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81640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公司自2016年12月30日上市以来，每年保持高分红。上市以来公司共计派发红利超过 8.094 亿元，为上市募集资金净额4.463 亿元的1.81倍，年平均分红比例接近 80%，积极回馈投资者，分享发展成果。未来，公司将根据经营情况继续保持高分红，做新国九条指引下的上市公司分红典范。</w:t>
            </w:r>
          </w:p>
          <w:p w:rsidR="007B0B46" w:rsidRPr="007B0B46" w:rsidRDefault="007B0B46">
            <w:pPr>
              <w:widowControl/>
              <w:rPr>
                <w:rFonts w:eastAsiaTheme="minorEastAsia"/>
                <w:lang w:eastAsia="zh-CN"/>
              </w:rPr>
            </w:pPr>
          </w:p>
        </w:tc>
      </w:tr>
      <w:tr w:rsidR="007B0B46" w:rsidTr="00816408">
        <w:trPr>
          <w:trHeight w:val="6223"/>
        </w:trPr>
        <w:tc>
          <w:tcPr>
            <w:tcW w:w="2376" w:type="dxa"/>
          </w:tcPr>
          <w:p w:rsidR="007B0B46" w:rsidRDefault="007B0B46">
            <w:pPr>
              <w:widowControl/>
              <w:rPr>
                <w:rFonts w:eastAsiaTheme="minorEastAsia"/>
                <w:lang w:eastAsia="zh-CN"/>
              </w:rPr>
            </w:pPr>
          </w:p>
        </w:tc>
        <w:tc>
          <w:tcPr>
            <w:tcW w:w="6148" w:type="dxa"/>
          </w:tcPr>
          <w:p w:rsidR="007B0B46" w:rsidRPr="00816408" w:rsidRDefault="007B0B46" w:rsidP="007B0B46">
            <w:pPr>
              <w:numPr>
                <w:ilvl w:val="0"/>
                <w:numId w:val="2"/>
              </w:numPr>
              <w:jc w:val="both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816408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公司对未来5年资本运作、产能建设等方面是否有相关的规划？</w:t>
            </w:r>
          </w:p>
          <w:p w:rsidR="007B0B46" w:rsidRPr="00816408" w:rsidRDefault="007B0B46" w:rsidP="007B0B46">
            <w:pPr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81640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 xml:space="preserve">    未来五年，随着汽车行业竞争更趋激烈的格局，对于处于国内汽车密封条龙头的浙江仙通来说，迎来巨大的发展机遇。公司将以强大的成本控制优势、技术开发优势为突破口，抓住行业洗牌的良机，集中优势资源，加快国产替代步伐，加快扩大在头部车企的市场份额，同时进入更多国际头部车企。</w:t>
            </w:r>
          </w:p>
          <w:p w:rsidR="007B0B46" w:rsidRPr="00816408" w:rsidRDefault="007B0B46" w:rsidP="00816408">
            <w:pPr>
              <w:ind w:firstLineChars="200" w:firstLine="560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81640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1）未来五年，公司将积极利用控股股东台州科创集团的资金和资源优势，积极采取措施响应管理层市值管理要求，深耕主营，开展资本运作，寻找外延发展机遇，不断提升企业的行业地位和市场占有率；</w:t>
            </w:r>
          </w:p>
          <w:p w:rsidR="007B0B46" w:rsidRPr="00816408" w:rsidRDefault="007B0B46" w:rsidP="00816408">
            <w:pPr>
              <w:ind w:firstLineChars="200" w:firstLine="560"/>
              <w:rPr>
                <w:rFonts w:eastAsiaTheme="minorEastAsia"/>
                <w:sz w:val="28"/>
                <w:szCs w:val="28"/>
                <w:lang w:eastAsia="zh-CN"/>
              </w:rPr>
            </w:pPr>
            <w:r w:rsidRPr="0081640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2）牢牢</w:t>
            </w:r>
            <w:r w:rsidRPr="00816408">
              <w:rPr>
                <w:rFonts w:ascii="宋体" w:eastAsia="宋体" w:hAnsi="宋体"/>
                <w:sz w:val="28"/>
                <w:szCs w:val="28"/>
                <w:lang w:eastAsia="zh-CN"/>
              </w:rPr>
              <w:t>锁定</w:t>
            </w:r>
            <w:r w:rsidRPr="0081640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行业</w:t>
            </w:r>
            <w:r w:rsidRPr="00816408">
              <w:rPr>
                <w:rFonts w:ascii="宋体" w:eastAsia="宋体" w:hAnsi="宋体"/>
                <w:sz w:val="28"/>
                <w:szCs w:val="28"/>
                <w:lang w:eastAsia="zh-CN"/>
              </w:rPr>
              <w:t>头部</w:t>
            </w:r>
            <w:r w:rsidRPr="0081640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优秀客户</w:t>
            </w:r>
            <w:r w:rsidRPr="00816408">
              <w:rPr>
                <w:rFonts w:ascii="宋体" w:eastAsia="宋体" w:hAnsi="宋体"/>
                <w:sz w:val="28"/>
                <w:szCs w:val="28"/>
                <w:lang w:eastAsia="zh-CN"/>
              </w:rPr>
              <w:t>，根据高端客户的定制需求，加快引进和配置国际国内一流生产设备</w:t>
            </w:r>
            <w:r w:rsidRPr="0081640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、研发设备</w:t>
            </w:r>
            <w:r w:rsidRPr="00816408">
              <w:rPr>
                <w:rFonts w:ascii="宋体" w:eastAsia="宋体" w:hAnsi="宋体"/>
                <w:sz w:val="28"/>
                <w:szCs w:val="28"/>
                <w:lang w:eastAsia="zh-CN"/>
              </w:rPr>
              <w:t>，推进产能建设</w:t>
            </w:r>
            <w:r w:rsidRPr="0081640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和研发能力</w:t>
            </w:r>
            <w:r w:rsidRPr="00816408">
              <w:rPr>
                <w:rFonts w:ascii="宋体" w:eastAsia="宋体" w:hAnsi="宋体"/>
                <w:sz w:val="28"/>
                <w:szCs w:val="28"/>
                <w:lang w:eastAsia="zh-CN"/>
              </w:rPr>
              <w:t>提质提速，三年内建成 25 亿先进产能，以满足未来业务爆发式增长的良好局面</w:t>
            </w:r>
            <w:r w:rsidRPr="0081640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。公司同时上报当地政府，争取今年拿到公司北面近 90 亩土地，预计明年可开工建设，未来可在仙居形成40亿总产能规模。</w:t>
            </w:r>
          </w:p>
        </w:tc>
      </w:tr>
      <w:tr w:rsidR="00816408" w:rsidTr="00816408">
        <w:trPr>
          <w:trHeight w:val="1262"/>
        </w:trPr>
        <w:tc>
          <w:tcPr>
            <w:tcW w:w="2376" w:type="dxa"/>
            <w:vAlign w:val="center"/>
          </w:tcPr>
          <w:p w:rsidR="00816408" w:rsidRPr="00816408" w:rsidRDefault="00816408" w:rsidP="00CB6F13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16408">
              <w:rPr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6148" w:type="dxa"/>
            <w:vAlign w:val="center"/>
          </w:tcPr>
          <w:p w:rsidR="00816408" w:rsidRPr="00816408" w:rsidRDefault="00816408" w:rsidP="00CB6F13">
            <w:pPr>
              <w:pStyle w:val="a5"/>
              <w:spacing w:line="240" w:lineRule="auto"/>
              <w:jc w:val="both"/>
              <w:rPr>
                <w:sz w:val="28"/>
                <w:szCs w:val="28"/>
              </w:rPr>
            </w:pPr>
            <w:r w:rsidRPr="00816408">
              <w:rPr>
                <w:sz w:val="28"/>
                <w:szCs w:val="28"/>
              </w:rPr>
              <w:t>2024.5.29</w:t>
            </w:r>
          </w:p>
        </w:tc>
      </w:tr>
    </w:tbl>
    <w:p w:rsidR="007B0B46" w:rsidRDefault="007B0B46">
      <w:pPr>
        <w:widowControl/>
        <w:rPr>
          <w:rFonts w:eastAsiaTheme="minorEastAsia"/>
          <w:lang w:eastAsia="zh-CN"/>
        </w:rPr>
      </w:pPr>
    </w:p>
    <w:p w:rsidR="00650345" w:rsidRDefault="00650345">
      <w:pPr>
        <w:spacing w:line="1" w:lineRule="exact"/>
        <w:rPr>
          <w:rFonts w:eastAsiaTheme="minorEastAsia"/>
          <w:lang w:eastAsia="zh-CN"/>
        </w:rPr>
      </w:pPr>
    </w:p>
    <w:sectPr w:rsidR="00650345">
      <w:pgSz w:w="11900" w:h="16840"/>
      <w:pgMar w:top="1472" w:right="1796" w:bottom="1550" w:left="1796" w:header="1044" w:footer="112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AB3" w:rsidRDefault="00D44AB3"/>
  </w:endnote>
  <w:endnote w:type="continuationSeparator" w:id="0">
    <w:p w:rsidR="00D44AB3" w:rsidRDefault="00D44A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AB3" w:rsidRDefault="00D44AB3"/>
  </w:footnote>
  <w:footnote w:type="continuationSeparator" w:id="0">
    <w:p w:rsidR="00D44AB3" w:rsidRDefault="00D44A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9FAEA0"/>
    <w:multiLevelType w:val="singleLevel"/>
    <w:tmpl w:val="A89FAEA0"/>
    <w:lvl w:ilvl="0">
      <w:start w:val="1"/>
      <w:numFmt w:val="decimal"/>
      <w:suff w:val="nothing"/>
      <w:lvlText w:val="%1、"/>
      <w:lvlJc w:val="left"/>
    </w:lvl>
  </w:abstractNum>
  <w:abstractNum w:abstractNumId="1">
    <w:nsid w:val="7B541A88"/>
    <w:multiLevelType w:val="multilevel"/>
    <w:tmpl w:val="7B541A88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docVars>
    <w:docVar w:name="commondata" w:val="eyJoZGlkIjoiYzVkYTRjZjBjYmM2ZWZiYjg2NDNlMjg2ZTdhZTE1M2MifQ=="/>
  </w:docVars>
  <w:rsids>
    <w:rsidRoot w:val="004D1861"/>
    <w:rsid w:val="0002481F"/>
    <w:rsid w:val="000353CE"/>
    <w:rsid w:val="00051143"/>
    <w:rsid w:val="000662E5"/>
    <w:rsid w:val="000B0B84"/>
    <w:rsid w:val="001233ED"/>
    <w:rsid w:val="00140DB6"/>
    <w:rsid w:val="00176264"/>
    <w:rsid w:val="00195882"/>
    <w:rsid w:val="001A0B37"/>
    <w:rsid w:val="001B774E"/>
    <w:rsid w:val="001C524E"/>
    <w:rsid w:val="001C64BB"/>
    <w:rsid w:val="001F3126"/>
    <w:rsid w:val="002228E2"/>
    <w:rsid w:val="00252910"/>
    <w:rsid w:val="00265B94"/>
    <w:rsid w:val="00267374"/>
    <w:rsid w:val="00290E8D"/>
    <w:rsid w:val="00292FE9"/>
    <w:rsid w:val="002A4744"/>
    <w:rsid w:val="002E7E7D"/>
    <w:rsid w:val="003611DA"/>
    <w:rsid w:val="003756E2"/>
    <w:rsid w:val="00387049"/>
    <w:rsid w:val="003E598D"/>
    <w:rsid w:val="003F72BA"/>
    <w:rsid w:val="004154EE"/>
    <w:rsid w:val="00442EDF"/>
    <w:rsid w:val="00447F8B"/>
    <w:rsid w:val="0046052C"/>
    <w:rsid w:val="0046177D"/>
    <w:rsid w:val="00492A75"/>
    <w:rsid w:val="004D1861"/>
    <w:rsid w:val="0050617D"/>
    <w:rsid w:val="00570552"/>
    <w:rsid w:val="005779E4"/>
    <w:rsid w:val="00595A44"/>
    <w:rsid w:val="005A4C16"/>
    <w:rsid w:val="00613893"/>
    <w:rsid w:val="006177B2"/>
    <w:rsid w:val="00650345"/>
    <w:rsid w:val="00673829"/>
    <w:rsid w:val="006810B2"/>
    <w:rsid w:val="0070444D"/>
    <w:rsid w:val="00710BDD"/>
    <w:rsid w:val="007210BD"/>
    <w:rsid w:val="00767636"/>
    <w:rsid w:val="007756E4"/>
    <w:rsid w:val="00783DC1"/>
    <w:rsid w:val="007B0B46"/>
    <w:rsid w:val="007D226C"/>
    <w:rsid w:val="007E738A"/>
    <w:rsid w:val="00801B27"/>
    <w:rsid w:val="00816408"/>
    <w:rsid w:val="0081676D"/>
    <w:rsid w:val="0082573E"/>
    <w:rsid w:val="00847CD9"/>
    <w:rsid w:val="00856279"/>
    <w:rsid w:val="008661D8"/>
    <w:rsid w:val="00867327"/>
    <w:rsid w:val="008B08A6"/>
    <w:rsid w:val="008F44C3"/>
    <w:rsid w:val="008F54CE"/>
    <w:rsid w:val="00932EE7"/>
    <w:rsid w:val="00951294"/>
    <w:rsid w:val="0099578E"/>
    <w:rsid w:val="009B32BD"/>
    <w:rsid w:val="009C76A0"/>
    <w:rsid w:val="009F182B"/>
    <w:rsid w:val="00A24DAB"/>
    <w:rsid w:val="00A74837"/>
    <w:rsid w:val="00A75FD4"/>
    <w:rsid w:val="00B078EF"/>
    <w:rsid w:val="00B141F6"/>
    <w:rsid w:val="00B408C9"/>
    <w:rsid w:val="00BC62C8"/>
    <w:rsid w:val="00BF0E8A"/>
    <w:rsid w:val="00C05CE5"/>
    <w:rsid w:val="00C33DF6"/>
    <w:rsid w:val="00C3548B"/>
    <w:rsid w:val="00C430E8"/>
    <w:rsid w:val="00C546E6"/>
    <w:rsid w:val="00C63CA2"/>
    <w:rsid w:val="00C92946"/>
    <w:rsid w:val="00CD68D2"/>
    <w:rsid w:val="00CE19F5"/>
    <w:rsid w:val="00D003F0"/>
    <w:rsid w:val="00D147BE"/>
    <w:rsid w:val="00D23010"/>
    <w:rsid w:val="00D302A5"/>
    <w:rsid w:val="00D44AB3"/>
    <w:rsid w:val="00D757E6"/>
    <w:rsid w:val="00D85E35"/>
    <w:rsid w:val="00DA2C48"/>
    <w:rsid w:val="00DC4573"/>
    <w:rsid w:val="00DC6E69"/>
    <w:rsid w:val="00DD0050"/>
    <w:rsid w:val="00E25770"/>
    <w:rsid w:val="00E3459C"/>
    <w:rsid w:val="00E77B5E"/>
    <w:rsid w:val="00E83F02"/>
    <w:rsid w:val="00E96311"/>
    <w:rsid w:val="00EA006C"/>
    <w:rsid w:val="00F32EE2"/>
    <w:rsid w:val="00F46C87"/>
    <w:rsid w:val="00F53334"/>
    <w:rsid w:val="00F647D7"/>
    <w:rsid w:val="00F66355"/>
    <w:rsid w:val="00F75F2A"/>
    <w:rsid w:val="00F90E77"/>
    <w:rsid w:val="00FD2595"/>
    <w:rsid w:val="00FD7C06"/>
    <w:rsid w:val="00FE28B1"/>
    <w:rsid w:val="00FF574B"/>
    <w:rsid w:val="02510197"/>
    <w:rsid w:val="077C5356"/>
    <w:rsid w:val="19AE7C08"/>
    <w:rsid w:val="1F0C1B11"/>
    <w:rsid w:val="28F408DE"/>
    <w:rsid w:val="36FA25D0"/>
    <w:rsid w:val="6E660509"/>
    <w:rsid w:val="7FE1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EastAsia" w:hAnsi="Courier New" w:cs="Courier New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eastAsia="Courier New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1"/>
    <w:qFormat/>
    <w:rPr>
      <w:rFonts w:ascii="宋体" w:eastAsia="宋体" w:hAnsi="宋体" w:cs="宋体"/>
      <w:b/>
      <w:bCs/>
      <w:u w:val="none"/>
      <w:shd w:val="clear" w:color="auto" w:fill="auto"/>
    </w:rPr>
  </w:style>
  <w:style w:type="paragraph" w:customStyle="1" w:styleId="1">
    <w:name w:val="正文文本1"/>
    <w:basedOn w:val="a"/>
    <w:link w:val="a3"/>
    <w:qFormat/>
    <w:pPr>
      <w:spacing w:after="50"/>
    </w:pPr>
    <w:rPr>
      <w:rFonts w:ascii="宋体" w:eastAsia="宋体" w:hAnsi="宋体" w:cs="宋体"/>
      <w:b/>
      <w:bCs/>
    </w:rPr>
  </w:style>
  <w:style w:type="character" w:customStyle="1" w:styleId="10">
    <w:name w:val="标题 #1_"/>
    <w:basedOn w:val="a0"/>
    <w:link w:val="11"/>
    <w:qFormat/>
    <w:rPr>
      <w:rFonts w:ascii="宋体" w:eastAsia="宋体" w:hAnsi="宋体" w:cs="宋体"/>
      <w:b/>
      <w:bCs/>
      <w:sz w:val="32"/>
      <w:szCs w:val="32"/>
      <w:u w:val="none"/>
      <w:shd w:val="clear" w:color="auto" w:fill="auto"/>
    </w:rPr>
  </w:style>
  <w:style w:type="paragraph" w:customStyle="1" w:styleId="11">
    <w:name w:val="标题 #1"/>
    <w:basedOn w:val="a"/>
    <w:link w:val="10"/>
    <w:qFormat/>
    <w:pPr>
      <w:spacing w:after="260" w:line="638" w:lineRule="exact"/>
      <w:jc w:val="center"/>
      <w:outlineLvl w:val="0"/>
    </w:pPr>
    <w:rPr>
      <w:rFonts w:ascii="宋体" w:eastAsia="宋体" w:hAnsi="宋体" w:cs="宋体"/>
      <w:b/>
      <w:bCs/>
      <w:sz w:val="32"/>
      <w:szCs w:val="32"/>
    </w:rPr>
  </w:style>
  <w:style w:type="character" w:customStyle="1" w:styleId="a4">
    <w:name w:val="其他_"/>
    <w:basedOn w:val="a0"/>
    <w:link w:val="a5"/>
    <w:qFormat/>
    <w:rPr>
      <w:rFonts w:ascii="宋体" w:eastAsia="宋体" w:hAnsi="宋体" w:cs="宋体"/>
      <w:u w:val="none"/>
      <w:shd w:val="clear" w:color="auto" w:fill="auto"/>
    </w:rPr>
  </w:style>
  <w:style w:type="paragraph" w:customStyle="1" w:styleId="a5">
    <w:name w:val="其他"/>
    <w:basedOn w:val="a"/>
    <w:link w:val="a4"/>
    <w:qFormat/>
    <w:pPr>
      <w:spacing w:line="252" w:lineRule="auto"/>
    </w:pPr>
    <w:rPr>
      <w:rFonts w:ascii="宋体" w:eastAsia="宋体" w:hAnsi="宋体" w:cs="宋体"/>
    </w:rPr>
  </w:style>
  <w:style w:type="table" w:styleId="a6">
    <w:name w:val="Table Grid"/>
    <w:basedOn w:val="a1"/>
    <w:uiPriority w:val="59"/>
    <w:rsid w:val="007B0B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EastAsia" w:hAnsi="Courier New" w:cs="Courier New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eastAsia="Courier New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1"/>
    <w:qFormat/>
    <w:rPr>
      <w:rFonts w:ascii="宋体" w:eastAsia="宋体" w:hAnsi="宋体" w:cs="宋体"/>
      <w:b/>
      <w:bCs/>
      <w:u w:val="none"/>
      <w:shd w:val="clear" w:color="auto" w:fill="auto"/>
    </w:rPr>
  </w:style>
  <w:style w:type="paragraph" w:customStyle="1" w:styleId="1">
    <w:name w:val="正文文本1"/>
    <w:basedOn w:val="a"/>
    <w:link w:val="a3"/>
    <w:qFormat/>
    <w:pPr>
      <w:spacing w:after="50"/>
    </w:pPr>
    <w:rPr>
      <w:rFonts w:ascii="宋体" w:eastAsia="宋体" w:hAnsi="宋体" w:cs="宋体"/>
      <w:b/>
      <w:bCs/>
    </w:rPr>
  </w:style>
  <w:style w:type="character" w:customStyle="1" w:styleId="10">
    <w:name w:val="标题 #1_"/>
    <w:basedOn w:val="a0"/>
    <w:link w:val="11"/>
    <w:qFormat/>
    <w:rPr>
      <w:rFonts w:ascii="宋体" w:eastAsia="宋体" w:hAnsi="宋体" w:cs="宋体"/>
      <w:b/>
      <w:bCs/>
      <w:sz w:val="32"/>
      <w:szCs w:val="32"/>
      <w:u w:val="none"/>
      <w:shd w:val="clear" w:color="auto" w:fill="auto"/>
    </w:rPr>
  </w:style>
  <w:style w:type="paragraph" w:customStyle="1" w:styleId="11">
    <w:name w:val="标题 #1"/>
    <w:basedOn w:val="a"/>
    <w:link w:val="10"/>
    <w:qFormat/>
    <w:pPr>
      <w:spacing w:after="260" w:line="638" w:lineRule="exact"/>
      <w:jc w:val="center"/>
      <w:outlineLvl w:val="0"/>
    </w:pPr>
    <w:rPr>
      <w:rFonts w:ascii="宋体" w:eastAsia="宋体" w:hAnsi="宋体" w:cs="宋体"/>
      <w:b/>
      <w:bCs/>
      <w:sz w:val="32"/>
      <w:szCs w:val="32"/>
    </w:rPr>
  </w:style>
  <w:style w:type="character" w:customStyle="1" w:styleId="a4">
    <w:name w:val="其他_"/>
    <w:basedOn w:val="a0"/>
    <w:link w:val="a5"/>
    <w:qFormat/>
    <w:rPr>
      <w:rFonts w:ascii="宋体" w:eastAsia="宋体" w:hAnsi="宋体" w:cs="宋体"/>
      <w:u w:val="none"/>
      <w:shd w:val="clear" w:color="auto" w:fill="auto"/>
    </w:rPr>
  </w:style>
  <w:style w:type="paragraph" w:customStyle="1" w:styleId="a5">
    <w:name w:val="其他"/>
    <w:basedOn w:val="a"/>
    <w:link w:val="a4"/>
    <w:qFormat/>
    <w:pPr>
      <w:spacing w:line="252" w:lineRule="auto"/>
    </w:pPr>
    <w:rPr>
      <w:rFonts w:ascii="宋体" w:eastAsia="宋体" w:hAnsi="宋体" w:cs="宋体"/>
    </w:rPr>
  </w:style>
  <w:style w:type="table" w:styleId="a6">
    <w:name w:val="Table Grid"/>
    <w:basedOn w:val="a1"/>
    <w:uiPriority w:val="59"/>
    <w:rsid w:val="007B0B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60AB93-3453-4359-B158-3FC951A6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郑岩 张</dc:creator>
  <cp:lastModifiedBy>吴杰2</cp:lastModifiedBy>
  <cp:revision>7</cp:revision>
  <cp:lastPrinted>2022-09-30T07:13:00Z</cp:lastPrinted>
  <dcterms:created xsi:type="dcterms:W3CDTF">2023-11-03T09:01:00Z</dcterms:created>
  <dcterms:modified xsi:type="dcterms:W3CDTF">2024-05-29T06:41:00Z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26E4CD6BDE264170925CB1B18E8252E4_13</vt:lpwstr>
  </property>
</Properties>
</file>