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40BB0" w14:textId="77777777" w:rsidR="00BC078E" w:rsidRDefault="00000000">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证券代码：603172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证券简称：万丰股份</w:t>
      </w:r>
    </w:p>
    <w:p w14:paraId="594161B0" w14:textId="77777777" w:rsidR="00BC078E" w:rsidRDefault="00BC078E">
      <w:pPr>
        <w:spacing w:line="360" w:lineRule="auto"/>
        <w:jc w:val="center"/>
        <w:rPr>
          <w:rFonts w:ascii="宋体" w:eastAsia="宋体" w:hAnsi="宋体" w:cs="宋体"/>
          <w:b/>
          <w:bCs/>
          <w:sz w:val="44"/>
          <w:szCs w:val="44"/>
        </w:rPr>
      </w:pPr>
    </w:p>
    <w:p w14:paraId="3C4D756E" w14:textId="77777777" w:rsidR="00BC078E" w:rsidRDefault="0000000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浙江万丰化工股份有限公司</w:t>
      </w:r>
    </w:p>
    <w:p w14:paraId="029EC44C" w14:textId="77777777" w:rsidR="00BC078E" w:rsidRDefault="0000000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1FDD4817" w14:textId="5B92A182" w:rsidR="00BC078E" w:rsidRDefault="00000000">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sidR="0095671E">
        <w:rPr>
          <w:rFonts w:ascii="宋体" w:eastAsia="宋体" w:hAnsi="宋体" w:cs="宋体" w:hint="eastAsia"/>
          <w:sz w:val="20"/>
          <w:szCs w:val="20"/>
        </w:rPr>
        <w:t xml:space="preserve"> 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BC078E" w14:paraId="09E43875" w14:textId="77777777">
        <w:trPr>
          <w:trHeight w:val="2801"/>
          <w:jc w:val="center"/>
        </w:trPr>
        <w:tc>
          <w:tcPr>
            <w:tcW w:w="2580" w:type="dxa"/>
          </w:tcPr>
          <w:p w14:paraId="072361D8" w14:textId="77777777" w:rsidR="00BC078E" w:rsidRDefault="00BC078E">
            <w:pPr>
              <w:pStyle w:val="TableParagraph"/>
              <w:spacing w:before="7"/>
              <w:rPr>
                <w:rFonts w:ascii="宋体" w:eastAsia="宋体" w:hAnsi="宋体" w:cs="宋体"/>
                <w:b/>
                <w:bCs/>
                <w:sz w:val="20"/>
                <w:szCs w:val="20"/>
              </w:rPr>
            </w:pPr>
          </w:p>
          <w:p w14:paraId="736D4A85" w14:textId="77777777" w:rsidR="00BC078E"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2D0D337" w14:textId="77777777" w:rsidR="00BC078E" w:rsidRDefault="00BC078E">
            <w:pPr>
              <w:pStyle w:val="TableParagraph"/>
              <w:spacing w:before="7"/>
              <w:rPr>
                <w:rFonts w:ascii="宋体" w:eastAsia="宋体" w:hAnsi="宋体" w:cs="宋体"/>
                <w:sz w:val="20"/>
                <w:szCs w:val="20"/>
              </w:rPr>
            </w:pPr>
          </w:p>
          <w:p w14:paraId="6043CB68" w14:textId="77777777" w:rsidR="00BC078E" w:rsidRDefault="00000000">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23DF3A3C" w14:textId="77777777" w:rsidR="00BC078E" w:rsidRDefault="00BC078E">
            <w:pPr>
              <w:pStyle w:val="TableParagraph"/>
              <w:spacing w:before="11"/>
              <w:rPr>
                <w:rFonts w:ascii="宋体" w:eastAsia="宋体" w:hAnsi="宋体" w:cs="宋体"/>
                <w:sz w:val="20"/>
                <w:szCs w:val="20"/>
              </w:rPr>
            </w:pPr>
          </w:p>
          <w:p w14:paraId="45C9E763" w14:textId="77777777" w:rsidR="00BC078E"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DBEA7C4" w14:textId="77777777" w:rsidR="00BC078E" w:rsidRDefault="00BC078E">
            <w:pPr>
              <w:pStyle w:val="TableParagraph"/>
              <w:spacing w:before="8"/>
              <w:rPr>
                <w:rFonts w:ascii="宋体" w:eastAsia="宋体" w:hAnsi="宋体" w:cs="宋体"/>
                <w:sz w:val="20"/>
                <w:szCs w:val="20"/>
              </w:rPr>
            </w:pPr>
          </w:p>
          <w:p w14:paraId="4636EC22" w14:textId="77777777" w:rsidR="00BC078E"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440DBDC7" w14:textId="77777777" w:rsidR="00BC078E" w:rsidRDefault="00BC078E">
            <w:pPr>
              <w:pStyle w:val="TableParagraph"/>
              <w:spacing w:before="8"/>
              <w:rPr>
                <w:rFonts w:ascii="宋体" w:eastAsia="宋体" w:hAnsi="宋体" w:cs="宋体"/>
                <w:sz w:val="20"/>
                <w:szCs w:val="20"/>
              </w:rPr>
            </w:pPr>
          </w:p>
          <w:p w14:paraId="5E364492" w14:textId="77777777" w:rsidR="00BC078E" w:rsidRDefault="00000000">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62F1879A" w14:textId="77777777" w:rsidR="00BC078E" w:rsidRDefault="00BC078E">
            <w:pPr>
              <w:pStyle w:val="TableParagraph"/>
              <w:spacing w:before="11"/>
              <w:rPr>
                <w:rFonts w:ascii="宋体" w:eastAsia="宋体" w:hAnsi="宋体" w:cs="宋体"/>
                <w:sz w:val="20"/>
                <w:szCs w:val="20"/>
              </w:rPr>
            </w:pPr>
          </w:p>
          <w:p w14:paraId="66EC14BB" w14:textId="77777777" w:rsidR="00BC078E" w:rsidRDefault="00000000">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BC078E" w14:paraId="160D166F" w14:textId="77777777">
        <w:trPr>
          <w:trHeight w:val="1120"/>
          <w:jc w:val="center"/>
        </w:trPr>
        <w:tc>
          <w:tcPr>
            <w:tcW w:w="2580" w:type="dxa"/>
            <w:vAlign w:val="center"/>
          </w:tcPr>
          <w:p w14:paraId="135690E9" w14:textId="77777777" w:rsidR="00BC078E" w:rsidRDefault="0000000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B01FB28" w14:textId="77777777" w:rsidR="00BC078E" w:rsidRDefault="00000000">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线上参与万丰股份2023年度暨2024年第一季度业绩说明会的投资者</w:t>
            </w:r>
          </w:p>
        </w:tc>
      </w:tr>
      <w:tr w:rsidR="00BC078E" w14:paraId="10689137" w14:textId="77777777">
        <w:trPr>
          <w:trHeight w:val="558"/>
          <w:jc w:val="center"/>
        </w:trPr>
        <w:tc>
          <w:tcPr>
            <w:tcW w:w="2580" w:type="dxa"/>
            <w:vAlign w:val="center"/>
          </w:tcPr>
          <w:p w14:paraId="0F225F31" w14:textId="77777777" w:rsidR="00BC078E" w:rsidRDefault="0000000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34AA9D7D" w14:textId="77777777" w:rsidR="00BC078E" w:rsidRDefault="00000000">
            <w:pPr>
              <w:spacing w:before="100" w:beforeAutospacing="1" w:line="360" w:lineRule="auto"/>
              <w:rPr>
                <w:sz w:val="20"/>
                <w:szCs w:val="20"/>
              </w:rPr>
            </w:pPr>
            <w:r>
              <w:rPr>
                <w:rFonts w:asciiTheme="minorEastAsia" w:eastAsiaTheme="minorEastAsia" w:hAnsiTheme="minorEastAsia" w:cstheme="minorEastAsia" w:hint="eastAsia"/>
                <w:sz w:val="20"/>
                <w:szCs w:val="20"/>
              </w:rPr>
              <w:t>2024年05月29日 15:00-16:30</w:t>
            </w:r>
          </w:p>
        </w:tc>
      </w:tr>
      <w:tr w:rsidR="00BC078E" w14:paraId="14BBCF92" w14:textId="77777777">
        <w:trPr>
          <w:trHeight w:val="561"/>
          <w:jc w:val="center"/>
        </w:trPr>
        <w:tc>
          <w:tcPr>
            <w:tcW w:w="2580" w:type="dxa"/>
            <w:vAlign w:val="center"/>
          </w:tcPr>
          <w:p w14:paraId="1697A56D" w14:textId="77777777" w:rsidR="00BC078E" w:rsidRDefault="0000000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2B21426" w14:textId="77777777" w:rsidR="00BC078E" w:rsidRDefault="0000000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BC078E" w14:paraId="55C3E19E" w14:textId="77777777">
        <w:trPr>
          <w:trHeight w:val="558"/>
          <w:jc w:val="center"/>
        </w:trPr>
        <w:tc>
          <w:tcPr>
            <w:tcW w:w="2580" w:type="dxa"/>
            <w:vAlign w:val="center"/>
          </w:tcPr>
          <w:p w14:paraId="0416DEBF" w14:textId="77777777" w:rsidR="00BC078E"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C6BFC88" w14:textId="77777777" w:rsidR="00BC078E" w:rsidRDefault="00000000">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董事长兼总经理 俞杏英</w:t>
            </w:r>
            <w:r>
              <w:rPr>
                <w:rFonts w:ascii="宋体" w:eastAsia="宋体" w:hAnsi="宋体" w:cs="宋体"/>
                <w:sz w:val="20"/>
                <w:szCs w:val="20"/>
              </w:rPr>
              <w:br/>
              <w:t>独立董事 王众</w:t>
            </w:r>
            <w:r>
              <w:rPr>
                <w:rFonts w:ascii="宋体" w:eastAsia="宋体" w:hAnsi="宋体" w:cs="宋体"/>
                <w:sz w:val="20"/>
                <w:szCs w:val="20"/>
              </w:rPr>
              <w:br/>
              <w:t>董事会秘书 卢枫青</w:t>
            </w:r>
            <w:r>
              <w:rPr>
                <w:rFonts w:ascii="宋体" w:eastAsia="宋体" w:hAnsi="宋体" w:cs="宋体"/>
                <w:sz w:val="20"/>
                <w:szCs w:val="20"/>
              </w:rPr>
              <w:br/>
              <w:t>财务总监 徐文芝</w:t>
            </w:r>
          </w:p>
        </w:tc>
      </w:tr>
      <w:tr w:rsidR="00BC078E" w14:paraId="5A7E26BF" w14:textId="77777777">
        <w:trPr>
          <w:trHeight w:val="2800"/>
          <w:jc w:val="center"/>
        </w:trPr>
        <w:tc>
          <w:tcPr>
            <w:tcW w:w="2580" w:type="dxa"/>
          </w:tcPr>
          <w:p w14:paraId="56B3601C" w14:textId="77777777" w:rsidR="00BC078E" w:rsidRDefault="00BC078E">
            <w:pPr>
              <w:pStyle w:val="TableParagraph"/>
              <w:rPr>
                <w:rFonts w:ascii="宋体" w:eastAsia="宋体" w:hAnsi="宋体" w:cs="宋体"/>
                <w:b/>
                <w:bCs/>
                <w:sz w:val="20"/>
                <w:szCs w:val="20"/>
              </w:rPr>
            </w:pPr>
          </w:p>
          <w:p w14:paraId="3A7AF9B9" w14:textId="77777777" w:rsidR="00BC078E" w:rsidRDefault="00BC078E">
            <w:pPr>
              <w:pStyle w:val="TableParagraph"/>
              <w:rPr>
                <w:rFonts w:ascii="宋体" w:eastAsia="宋体" w:hAnsi="宋体" w:cs="宋体"/>
                <w:b/>
                <w:bCs/>
                <w:sz w:val="20"/>
                <w:szCs w:val="20"/>
              </w:rPr>
            </w:pPr>
          </w:p>
          <w:p w14:paraId="1ACB0919" w14:textId="77777777" w:rsidR="00BC078E" w:rsidRDefault="00BC078E">
            <w:pPr>
              <w:pStyle w:val="TableParagraph"/>
              <w:spacing w:before="5"/>
              <w:rPr>
                <w:rFonts w:ascii="宋体" w:eastAsia="宋体" w:hAnsi="宋体" w:cs="宋体"/>
                <w:b/>
                <w:bCs/>
                <w:sz w:val="20"/>
                <w:szCs w:val="20"/>
              </w:rPr>
            </w:pPr>
          </w:p>
          <w:p w14:paraId="7A28C438" w14:textId="77777777" w:rsidR="00BC078E" w:rsidRDefault="0000000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8FC84C5" w14:textId="5204956A" w:rsidR="00BC078E" w:rsidRDefault="005017CD">
            <w:pPr>
              <w:pStyle w:val="TableParagraph"/>
              <w:spacing w:before="100" w:beforeAutospacing="1" w:line="360" w:lineRule="auto"/>
              <w:rPr>
                <w:rFonts w:ascii="宋体" w:eastAsia="宋体" w:hAnsi="宋体" w:cs="宋体"/>
                <w:sz w:val="20"/>
                <w:szCs w:val="20"/>
              </w:rPr>
            </w:pPr>
            <w:r>
              <w:rPr>
                <w:rFonts w:ascii="宋体" w:eastAsia="宋体" w:hAnsi="宋体" w:cs="宋体" w:hint="eastAsia"/>
                <w:b/>
                <w:sz w:val="20"/>
              </w:rPr>
              <w:t>问题</w:t>
            </w:r>
            <w:r w:rsidR="00000000">
              <w:rPr>
                <w:rFonts w:ascii="宋体" w:eastAsia="宋体" w:hAnsi="宋体" w:cs="宋体"/>
                <w:b/>
                <w:sz w:val="20"/>
              </w:rPr>
              <w:t>1.为什么没有预告</w:t>
            </w:r>
            <w:r>
              <w:rPr>
                <w:rFonts w:ascii="宋体" w:eastAsia="宋体" w:hAnsi="宋体" w:cs="宋体" w:hint="eastAsia"/>
                <w:b/>
                <w:sz w:val="20"/>
              </w:rPr>
              <w:t>？</w:t>
            </w:r>
            <w:r w:rsidR="00000000">
              <w:rPr>
                <w:rFonts w:ascii="宋体" w:eastAsia="宋体" w:hAnsi="宋体" w:cs="宋体"/>
                <w:b/>
                <w:sz w:val="20"/>
              </w:rPr>
              <w:br/>
            </w:r>
            <w:r w:rsidR="00000000">
              <w:rPr>
                <w:rFonts w:ascii="宋体" w:eastAsia="宋体" w:hAnsi="宋体" w:cs="宋体"/>
                <w:sz w:val="20"/>
              </w:rPr>
              <w:t>答:尊敬的投资者您好！公司严格按照《上海证券交易所股票上市规则》等关于业绩预告的相关规定履行信息披露义务。感谢您对公司的关注与支持！</w:t>
            </w:r>
            <w:r w:rsidR="00000000">
              <w:rPr>
                <w:rFonts w:ascii="宋体" w:eastAsia="宋体" w:hAnsi="宋体" w:cs="宋体"/>
                <w:sz w:val="20"/>
              </w:rPr>
              <w:br/>
            </w:r>
            <w:r>
              <w:rPr>
                <w:rFonts w:ascii="宋体" w:eastAsia="宋体" w:hAnsi="宋体" w:cs="宋体" w:hint="eastAsia"/>
                <w:b/>
                <w:sz w:val="20"/>
              </w:rPr>
              <w:t>问题</w:t>
            </w:r>
            <w:r w:rsidR="00000000">
              <w:rPr>
                <w:rFonts w:ascii="宋体" w:eastAsia="宋体" w:hAnsi="宋体" w:cs="宋体"/>
                <w:b/>
                <w:sz w:val="20"/>
              </w:rPr>
              <w:t>2.业绩亏损状态</w:t>
            </w:r>
            <w:r>
              <w:rPr>
                <w:rFonts w:ascii="宋体" w:eastAsia="宋体" w:hAnsi="宋体" w:cs="宋体" w:hint="eastAsia"/>
                <w:b/>
                <w:sz w:val="20"/>
              </w:rPr>
              <w:t>？</w:t>
            </w:r>
            <w:r w:rsidR="00000000">
              <w:rPr>
                <w:rFonts w:ascii="宋体" w:eastAsia="宋体" w:hAnsi="宋体" w:cs="宋体"/>
                <w:b/>
                <w:sz w:val="20"/>
              </w:rPr>
              <w:br/>
            </w:r>
            <w:r w:rsidR="00000000">
              <w:rPr>
                <w:rFonts w:ascii="宋体" w:eastAsia="宋体" w:hAnsi="宋体" w:cs="宋体"/>
                <w:sz w:val="20"/>
              </w:rPr>
              <w:t>答:尊敬的投资者您好！2023各季度、2023年年度及2024年第一季度，公司未发生亏损。感谢您对公司的关注与支持！</w:t>
            </w:r>
            <w:r w:rsidR="00000000">
              <w:rPr>
                <w:rFonts w:ascii="宋体" w:eastAsia="宋体" w:hAnsi="宋体" w:cs="宋体"/>
                <w:sz w:val="20"/>
              </w:rPr>
              <w:br/>
            </w:r>
            <w:r>
              <w:rPr>
                <w:rFonts w:ascii="宋体" w:eastAsia="宋体" w:hAnsi="宋体" w:cs="宋体" w:hint="eastAsia"/>
                <w:b/>
                <w:sz w:val="20"/>
              </w:rPr>
              <w:t>问题</w:t>
            </w:r>
            <w:r w:rsidR="00000000">
              <w:rPr>
                <w:rFonts w:ascii="宋体" w:eastAsia="宋体" w:hAnsi="宋体" w:cs="宋体"/>
                <w:b/>
                <w:sz w:val="20"/>
              </w:rPr>
              <w:t>3.您好  可以就万丰股份未来的发展规划和投资战略进行一个阐述吗？</w:t>
            </w:r>
            <w:r w:rsidR="00000000">
              <w:rPr>
                <w:rFonts w:ascii="宋体" w:eastAsia="宋体" w:hAnsi="宋体" w:cs="宋体"/>
                <w:b/>
                <w:sz w:val="20"/>
              </w:rPr>
              <w:br/>
            </w:r>
            <w:r w:rsidR="00000000">
              <w:rPr>
                <w:rFonts w:ascii="宋体" w:eastAsia="宋体" w:hAnsi="宋体" w:cs="宋体"/>
                <w:sz w:val="20"/>
              </w:rPr>
              <w:t>答:尊敬的投资者您好！未来几年，公司将持续专注于中高端分散</w:t>
            </w:r>
            <w:r w:rsidR="00000000">
              <w:rPr>
                <w:rFonts w:ascii="宋体" w:eastAsia="宋体" w:hAnsi="宋体" w:cs="宋体"/>
                <w:sz w:val="20"/>
              </w:rPr>
              <w:lastRenderedPageBreak/>
              <w:t>染料细分领域，立足现有产品及其应用领域，以市场需求为导向，加强中高端产品的研发投入，充分发挥在细分市场的比较优势，为客户提供定制化产品和技术服务，实施产品特色化、市场高端化的差异化竞争策略，打造“万丰”自主品牌的中高端形象，努力将公司建设成为国内领先的中高端分散染料研发与生产企业。 1、技术创新计划 2024年，公司将持续专注于主营产品分散染料的研发投入，尤其是公司特色产品高牢度系列分散染料产品的研发投入，并主要通过以下措施来进一步提升公司的研发及创新能力：（1）增加研发投入，扩大外部交流合作；（2）与时俱进，加大新质生产力的研发投入；（3）完善激励机制，培养一支精干的研发团队。 2、市场扩张计划 公司在进行内部资源和能力分析、外部竞争环境研究的基础上，有选择性地扩张，即在未来通过对中高端分散染料的市场渗透、市场开发、产品开发等途径，将时间、资源和精力集中于企业的核心业务上，巩固和扩大公司在国内中高端分散染料市场的占有率，有侧重地拓展国外市场。 3、</w:t>
            </w:r>
            <w:proofErr w:type="gramStart"/>
            <w:r w:rsidR="00000000">
              <w:rPr>
                <w:rFonts w:ascii="宋体" w:eastAsia="宋体" w:hAnsi="宋体" w:cs="宋体"/>
                <w:sz w:val="20"/>
              </w:rPr>
              <w:t>募投项目</w:t>
            </w:r>
            <w:proofErr w:type="gramEnd"/>
            <w:r w:rsidR="00000000">
              <w:rPr>
                <w:rFonts w:ascii="宋体" w:eastAsia="宋体" w:hAnsi="宋体" w:cs="宋体"/>
                <w:sz w:val="20"/>
              </w:rPr>
              <w:t>建设计划 公司募集资金投资项目包括“年产1万吨分散染料技改提升项目”、“研发中心建设项目”和“补充流动资金”。其中“补充流动资金”已全部投入完成，“年产1万吨分散染料技改提升项目” 和“研发中心建设项目”正在按照进度计划推进实施。 4、品牌营销计划 经过多年发展，万丰股份的公司品牌及产品品牌在印染加工行业已经具有良好的市场认知度。公司力求以国际一流企业作为发展目标，使公司品牌知名度、美誉</w:t>
            </w:r>
            <w:proofErr w:type="gramStart"/>
            <w:r w:rsidR="00000000">
              <w:rPr>
                <w:rFonts w:ascii="宋体" w:eastAsia="宋体" w:hAnsi="宋体" w:cs="宋体"/>
                <w:sz w:val="20"/>
              </w:rPr>
              <w:t>度显著</w:t>
            </w:r>
            <w:proofErr w:type="gramEnd"/>
            <w:r w:rsidR="00000000">
              <w:rPr>
                <w:rFonts w:ascii="宋体" w:eastAsia="宋体" w:hAnsi="宋体" w:cs="宋体"/>
                <w:sz w:val="20"/>
              </w:rPr>
              <w:t>提升，保持客户长久的品牌忠诚。公司将继续加强品牌建设，不断通过提升产品质量、参加国内外专业展会、品牌推广、利用国内外专业媒体加强宣传等方式，进一步提高公司品牌知名度，打造染料行业一流企业的形象。同时，公司将尝试建立与服装品牌商的业务关系，获得服装品牌商对“万丰”品牌的认可，成为其指定的印染加工染料供应商。 5、管理提升计划 随着业务规模、资产、人员的扩大，公司将进一步提升内部管理水平，具体的计划有：（1）在不断完善现有管理制度的基础上，按照发展阶段稳步推进现代化的企业管理体系建设，优化管理流程，加强内控管理；（2）强化全员质量意识，突出过程控制，提高产销协调效率，继续加强成本控制及安全生产监控体系；（3）建立完善的人力资源管理机制，做好人才储备，为公司持续发展提供人才保障，根据公司发展战略，确定薪酬激励水平，建立健激励机制，吸引更多的优秀人才，不断增强企业的核心竞争</w:t>
            </w:r>
            <w:r w:rsidR="00000000">
              <w:rPr>
                <w:rFonts w:ascii="宋体" w:eastAsia="宋体" w:hAnsi="宋体" w:cs="宋体"/>
                <w:sz w:val="20"/>
              </w:rPr>
              <w:lastRenderedPageBreak/>
              <w:t>力。 感谢您对公司的关注与支持！</w:t>
            </w:r>
            <w:r w:rsidR="00000000">
              <w:rPr>
                <w:rFonts w:ascii="宋体" w:eastAsia="宋体" w:hAnsi="宋体" w:cs="宋体"/>
                <w:sz w:val="20"/>
              </w:rPr>
              <w:br/>
            </w:r>
            <w:r>
              <w:rPr>
                <w:rFonts w:ascii="宋体" w:eastAsia="宋体" w:hAnsi="宋体" w:cs="宋体" w:hint="eastAsia"/>
                <w:b/>
                <w:sz w:val="20"/>
              </w:rPr>
              <w:t>问题</w:t>
            </w:r>
            <w:r w:rsidR="00000000">
              <w:rPr>
                <w:rFonts w:ascii="宋体" w:eastAsia="宋体" w:hAnsi="宋体" w:cs="宋体"/>
                <w:b/>
                <w:sz w:val="20"/>
              </w:rPr>
              <w:t>4.公司订单目前状态如何。</w:t>
            </w:r>
            <w:r w:rsidR="00000000">
              <w:rPr>
                <w:rFonts w:ascii="宋体" w:eastAsia="宋体" w:hAnsi="宋体" w:cs="宋体"/>
                <w:b/>
                <w:sz w:val="20"/>
              </w:rPr>
              <w:br/>
            </w:r>
            <w:r w:rsidR="00000000">
              <w:rPr>
                <w:rFonts w:ascii="宋体" w:eastAsia="宋体" w:hAnsi="宋体" w:cs="宋体"/>
                <w:sz w:val="20"/>
              </w:rPr>
              <w:t>答:尊敬的投资者您好！公司在手订单情况正常，生产有序运作，具体销售情况请关注公司披露的定期报告。感谢您对公司的关注与支持！</w:t>
            </w:r>
            <w:r w:rsidR="00000000">
              <w:rPr>
                <w:rFonts w:ascii="宋体" w:eastAsia="宋体" w:hAnsi="宋体" w:cs="宋体"/>
                <w:sz w:val="20"/>
              </w:rPr>
              <w:br/>
            </w:r>
            <w:r>
              <w:rPr>
                <w:rFonts w:ascii="宋体" w:eastAsia="宋体" w:hAnsi="宋体" w:cs="宋体" w:hint="eastAsia"/>
                <w:b/>
                <w:sz w:val="20"/>
              </w:rPr>
              <w:t>问题</w:t>
            </w:r>
            <w:r w:rsidR="00000000">
              <w:rPr>
                <w:rFonts w:ascii="宋体" w:eastAsia="宋体" w:hAnsi="宋体" w:cs="宋体"/>
                <w:b/>
                <w:sz w:val="20"/>
              </w:rPr>
              <w:t>5.公司</w:t>
            </w:r>
            <w:proofErr w:type="gramStart"/>
            <w:r w:rsidR="00000000">
              <w:rPr>
                <w:rFonts w:ascii="宋体" w:eastAsia="宋体" w:hAnsi="宋体" w:cs="宋体"/>
                <w:b/>
                <w:sz w:val="20"/>
              </w:rPr>
              <w:t>24</w:t>
            </w:r>
            <w:proofErr w:type="gramEnd"/>
            <w:r w:rsidR="00000000">
              <w:rPr>
                <w:rFonts w:ascii="宋体" w:eastAsia="宋体" w:hAnsi="宋体" w:cs="宋体"/>
                <w:b/>
                <w:sz w:val="20"/>
              </w:rPr>
              <w:t>年度在印染方面研发预期投入多少钱</w:t>
            </w:r>
            <w:r>
              <w:rPr>
                <w:rFonts w:ascii="宋体" w:eastAsia="宋体" w:hAnsi="宋体" w:cs="宋体" w:hint="eastAsia"/>
                <w:b/>
                <w:sz w:val="20"/>
              </w:rPr>
              <w:t>？</w:t>
            </w:r>
            <w:r w:rsidR="00000000">
              <w:rPr>
                <w:rFonts w:ascii="宋体" w:eastAsia="宋体" w:hAnsi="宋体" w:cs="宋体"/>
                <w:b/>
                <w:sz w:val="20"/>
              </w:rPr>
              <w:br/>
            </w:r>
            <w:r w:rsidR="00000000">
              <w:rPr>
                <w:rFonts w:ascii="宋体" w:eastAsia="宋体" w:hAnsi="宋体" w:cs="宋体"/>
                <w:sz w:val="20"/>
              </w:rPr>
              <w:t>答:尊敬的投资者您好！公司高度重视研发投入，2024年，公司将持续专注于主营产品分散染料的研发投入，尤其是公司特色产品高牢度系列分散染料产品的研发投入。具体金额请关注公司后续的定期报告。感谢您对公司的关注与支持！</w:t>
            </w:r>
            <w:r w:rsidR="00000000">
              <w:rPr>
                <w:rFonts w:ascii="宋体" w:eastAsia="宋体" w:hAnsi="宋体" w:cs="宋体"/>
                <w:sz w:val="20"/>
              </w:rPr>
              <w:br/>
            </w:r>
            <w:r>
              <w:rPr>
                <w:rFonts w:ascii="宋体" w:eastAsia="宋体" w:hAnsi="宋体" w:cs="宋体" w:hint="eastAsia"/>
                <w:b/>
                <w:sz w:val="20"/>
              </w:rPr>
              <w:t>问题</w:t>
            </w:r>
            <w:r w:rsidR="00000000">
              <w:rPr>
                <w:rFonts w:ascii="宋体" w:eastAsia="宋体" w:hAnsi="宋体" w:cs="宋体"/>
                <w:b/>
                <w:sz w:val="20"/>
              </w:rPr>
              <w:t>6.贵公司主打产品市场占有率是多少？</w:t>
            </w:r>
            <w:r w:rsidR="00000000">
              <w:rPr>
                <w:rFonts w:ascii="宋体" w:eastAsia="宋体" w:hAnsi="宋体" w:cs="宋体"/>
                <w:b/>
                <w:sz w:val="20"/>
              </w:rPr>
              <w:br/>
            </w:r>
            <w:r w:rsidR="00000000">
              <w:rPr>
                <w:rFonts w:ascii="宋体" w:eastAsia="宋体" w:hAnsi="宋体" w:cs="宋体"/>
                <w:sz w:val="20"/>
              </w:rPr>
              <w:t>答:尊敬的投资者您好！国内分散染料市场集中度高，竞争较为激烈。公司专注于中高端分散染料细分领域，以市场需求为导向，为客户提供定制化产品和技术服务，实施产品特色化、市场高端化的差异化竞争策略；以国家产业政策、环保政策为导向，持续对中高端产品进行研发投入，保持与科研院校交流合作，促进研发与生产的双向转化，以提高产品附加值，提高生产效率，降低生产成本及环保成本。2023年，公司分散染料生产量为9,243.14吨，同比增长3.41%，销售量为9,092.56吨，同比增长5.69%。感谢您对公司的关注与支持！</w:t>
            </w:r>
          </w:p>
        </w:tc>
      </w:tr>
      <w:tr w:rsidR="00BC078E" w14:paraId="3CDB63C8" w14:textId="77777777">
        <w:trPr>
          <w:trHeight w:val="561"/>
          <w:jc w:val="center"/>
        </w:trPr>
        <w:tc>
          <w:tcPr>
            <w:tcW w:w="2580" w:type="dxa"/>
            <w:vAlign w:val="center"/>
          </w:tcPr>
          <w:p w14:paraId="34A15B88" w14:textId="77777777" w:rsidR="00BC078E"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5945" w:type="dxa"/>
            <w:vAlign w:val="center"/>
          </w:tcPr>
          <w:p w14:paraId="2D414AB2" w14:textId="34693129" w:rsidR="00BC078E" w:rsidRDefault="005017CD">
            <w:pPr>
              <w:pStyle w:val="TableParagraph"/>
              <w:spacing w:before="100" w:beforeAutospacing="1" w:line="360" w:lineRule="auto"/>
              <w:rPr>
                <w:rFonts w:ascii="宋体" w:eastAsia="宋体" w:hAnsi="宋体" w:cs="宋体"/>
                <w:sz w:val="20"/>
                <w:szCs w:val="20"/>
              </w:rPr>
            </w:pPr>
            <w:r>
              <w:rPr>
                <w:rFonts w:ascii="宋体" w:eastAsia="宋体" w:hAnsi="宋体" w:cs="宋体" w:hint="eastAsia"/>
                <w:sz w:val="20"/>
                <w:szCs w:val="20"/>
              </w:rPr>
              <w:t>无</w:t>
            </w:r>
          </w:p>
        </w:tc>
      </w:tr>
      <w:tr w:rsidR="00BC078E" w14:paraId="4EA65158" w14:textId="77777777">
        <w:trPr>
          <w:trHeight w:val="558"/>
          <w:jc w:val="center"/>
        </w:trPr>
        <w:tc>
          <w:tcPr>
            <w:tcW w:w="2580" w:type="dxa"/>
            <w:vAlign w:val="center"/>
          </w:tcPr>
          <w:p w14:paraId="478FD6AF" w14:textId="77777777" w:rsidR="00BC078E" w:rsidRDefault="0000000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42BC80B" w14:textId="77777777" w:rsidR="00BC078E" w:rsidRDefault="00000000">
            <w:pPr>
              <w:pStyle w:val="TableParagraph"/>
              <w:spacing w:before="100" w:beforeAutospacing="1"/>
              <w:rPr>
                <w:rFonts w:ascii="宋体" w:eastAsia="宋体" w:hAnsi="宋体" w:cs="宋体"/>
                <w:sz w:val="20"/>
                <w:szCs w:val="20"/>
              </w:rPr>
            </w:pPr>
            <w:r>
              <w:rPr>
                <w:rFonts w:ascii="宋体" w:eastAsia="宋体" w:hAnsi="宋体" w:cs="宋体"/>
                <w:sz w:val="20"/>
                <w:szCs w:val="20"/>
              </w:rPr>
              <w:t>2024年05月29日</w:t>
            </w:r>
          </w:p>
        </w:tc>
      </w:tr>
    </w:tbl>
    <w:p w14:paraId="5D8B86D7" w14:textId="77777777" w:rsidR="00BC078E" w:rsidRDefault="00BC078E">
      <w:pPr>
        <w:rPr>
          <w:rFonts w:ascii="宋体" w:eastAsia="宋体" w:hAnsi="宋体" w:cs="宋体"/>
          <w:sz w:val="28"/>
          <w:szCs w:val="36"/>
        </w:rPr>
      </w:pPr>
    </w:p>
    <w:sectPr w:rsidR="00BC078E">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zNjdhNWI1OTEyZDMyYjBkMmQ2NTY2NTNkYTY4ODM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017CD"/>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86619"/>
    <w:rsid w:val="00893F25"/>
    <w:rsid w:val="00895035"/>
    <w:rsid w:val="008B2B14"/>
    <w:rsid w:val="008C6AED"/>
    <w:rsid w:val="008C7604"/>
    <w:rsid w:val="008E1B27"/>
    <w:rsid w:val="00903379"/>
    <w:rsid w:val="00906975"/>
    <w:rsid w:val="00917F0B"/>
    <w:rsid w:val="00917F8B"/>
    <w:rsid w:val="0095671E"/>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C078E"/>
    <w:rsid w:val="00BF132F"/>
    <w:rsid w:val="00C13878"/>
    <w:rsid w:val="00C415D2"/>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DD5C00"/>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0510A"/>
  <w15:docId w15:val="{B3E945D2-67BD-48A1-8C65-97473A13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ss1</cp:lastModifiedBy>
  <cp:revision>9</cp:revision>
  <dcterms:created xsi:type="dcterms:W3CDTF">2022-04-12T06:10:00Z</dcterms:created>
  <dcterms:modified xsi:type="dcterms:W3CDTF">2024-05-29T09:11:00Z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57D148DF2F764966BF4E1C38A6255FA2</vt:lpwstr>
  </property>
</Properties>
</file>