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E1CEE" w14:textId="400677AB" w:rsidR="0097481F" w:rsidRDefault="00000000">
      <w:pPr>
        <w:spacing w:beforeLines="50" w:before="156" w:afterLines="50" w:after="156" w:line="400" w:lineRule="exact"/>
        <w:jc w:val="lef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 xml:space="preserve">股票代码：603159              </w:t>
      </w:r>
      <w:r>
        <w:rPr>
          <w:rFonts w:ascii="宋体" w:hAnsi="宋体" w:hint="eastAsia"/>
          <w:bCs/>
          <w:iCs/>
          <w:sz w:val="24"/>
        </w:rPr>
        <w:tab/>
      </w:r>
      <w:r>
        <w:rPr>
          <w:rFonts w:ascii="宋体" w:hAnsi="宋体" w:hint="eastAsia"/>
          <w:bCs/>
          <w:iCs/>
          <w:sz w:val="24"/>
        </w:rPr>
        <w:tab/>
      </w:r>
      <w:r>
        <w:rPr>
          <w:rFonts w:ascii="宋体" w:hAnsi="宋体" w:hint="eastAsia"/>
          <w:bCs/>
          <w:iCs/>
          <w:sz w:val="24"/>
        </w:rPr>
        <w:tab/>
      </w:r>
      <w:r w:rsidR="000962F0">
        <w:rPr>
          <w:rFonts w:ascii="宋体" w:hAnsi="宋体"/>
          <w:bCs/>
          <w:iCs/>
          <w:sz w:val="24"/>
        </w:rPr>
        <w:t xml:space="preserve">            </w:t>
      </w:r>
      <w:r>
        <w:rPr>
          <w:rFonts w:ascii="宋体" w:hAnsi="宋体" w:hint="eastAsia"/>
          <w:bCs/>
          <w:iCs/>
          <w:sz w:val="24"/>
        </w:rPr>
        <w:t>股票简称：上海亚虹</w:t>
      </w:r>
    </w:p>
    <w:p w14:paraId="60369AF0" w14:textId="77777777" w:rsidR="00934355" w:rsidRPr="000962F0" w:rsidRDefault="00934355">
      <w:pPr>
        <w:spacing w:beforeLines="50" w:before="156" w:afterLines="50" w:after="156" w:line="400" w:lineRule="exact"/>
        <w:jc w:val="center"/>
        <w:rPr>
          <w:rFonts w:ascii="宋体" w:hAnsi="宋体"/>
          <w:bCs/>
          <w:iCs/>
          <w:sz w:val="24"/>
        </w:rPr>
      </w:pPr>
    </w:p>
    <w:p w14:paraId="12046497" w14:textId="3E5BBB8B" w:rsidR="0097481F" w:rsidRDefault="00000000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28"/>
          <w:szCs w:val="28"/>
        </w:rPr>
      </w:pPr>
      <w:r>
        <w:rPr>
          <w:rFonts w:ascii="宋体" w:hAnsi="宋体" w:hint="eastAsia"/>
          <w:b/>
          <w:bCs/>
          <w:iCs/>
          <w:sz w:val="28"/>
          <w:szCs w:val="28"/>
        </w:rPr>
        <w:t>上海亚虹模具股份有限公司投资者关系活动记录表</w:t>
      </w:r>
    </w:p>
    <w:p w14:paraId="4D93BD50" w14:textId="4A72ED02" w:rsidR="0097481F" w:rsidRDefault="00000000" w:rsidP="00206E6D">
      <w:pPr>
        <w:spacing w:line="400" w:lineRule="exact"/>
        <w:jc w:val="right"/>
        <w:rPr>
          <w:rFonts w:ascii="宋体" w:hAnsi="宋体"/>
          <w:bCs/>
          <w:iCs/>
          <w:sz w:val="24"/>
          <w:szCs w:val="24"/>
          <w:highlight w:val="yellow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</w:t>
      </w:r>
      <w:r w:rsidR="00206E6D" w:rsidRPr="00206E6D">
        <w:rPr>
          <w:rFonts w:ascii="宋体" w:hAnsi="宋体" w:hint="eastAsia"/>
          <w:bCs/>
          <w:iCs/>
          <w:sz w:val="24"/>
          <w:szCs w:val="24"/>
        </w:rPr>
        <w:t>编号：2024-00</w:t>
      </w:r>
      <w:r w:rsidR="00206E6D">
        <w:rPr>
          <w:rFonts w:ascii="宋体" w:hAnsi="宋体" w:hint="eastAsia"/>
          <w:bCs/>
          <w:iCs/>
          <w:sz w:val="24"/>
          <w:szCs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5973"/>
      </w:tblGrid>
      <w:tr w:rsidR="0097481F" w14:paraId="28A459D9" w14:textId="77777777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7257" w14:textId="77777777" w:rsidR="0097481F" w:rsidRDefault="00000000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4A00" w14:textId="77777777" w:rsidR="0097481F" w:rsidRDefault="00000000">
            <w:pPr>
              <w:spacing w:line="48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□特定对象调研        □分析师会议</w:t>
            </w:r>
          </w:p>
          <w:p w14:paraId="0B18A60A" w14:textId="77777777" w:rsidR="0097481F" w:rsidRDefault="00000000">
            <w:pPr>
              <w:spacing w:line="48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/>
                <w:sz w:val="24"/>
                <w:szCs w:val="24"/>
              </w:rPr>
              <w:t>业绩说明会</w:t>
            </w:r>
          </w:p>
          <w:p w14:paraId="4BA67E69" w14:textId="77777777" w:rsidR="0097481F" w:rsidRDefault="00000000">
            <w:pPr>
              <w:spacing w:line="48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□新闻发布会          □路演活动</w:t>
            </w:r>
          </w:p>
          <w:p w14:paraId="4D4C6580" w14:textId="77777777" w:rsidR="0097481F" w:rsidRDefault="00000000">
            <w:pPr>
              <w:spacing w:line="48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□现场参观</w:t>
            </w:r>
            <w:r>
              <w:rPr>
                <w:rFonts w:ascii="宋体" w:hAnsi="宋体"/>
                <w:sz w:val="24"/>
                <w:szCs w:val="24"/>
              </w:rPr>
              <w:tab/>
            </w:r>
          </w:p>
          <w:p w14:paraId="06DEB3CC" w14:textId="77777777" w:rsidR="0097481F" w:rsidRDefault="00000000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□其他 （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请文字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说明其他活动内容）</w:t>
            </w:r>
          </w:p>
        </w:tc>
      </w:tr>
      <w:tr w:rsidR="0097481F" w14:paraId="6C9D5E6B" w14:textId="77777777">
        <w:trPr>
          <w:trHeight w:val="1011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B146" w14:textId="77777777" w:rsidR="0097481F" w:rsidRDefault="00000000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A34B" w14:textId="6E3C571F" w:rsidR="0097481F" w:rsidRDefault="00000000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线上参与公司202</w:t>
            </w:r>
            <w:r w:rsidR="008803FA"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年度</w:t>
            </w:r>
            <w:r w:rsidR="008803FA">
              <w:rPr>
                <w:rFonts w:ascii="宋体" w:hAnsi="宋体" w:hint="eastAsia"/>
                <w:sz w:val="24"/>
                <w:szCs w:val="24"/>
              </w:rPr>
              <w:t>暨2024年第一季度</w:t>
            </w:r>
            <w:r>
              <w:rPr>
                <w:rFonts w:ascii="宋体" w:hAnsi="宋体" w:hint="eastAsia"/>
                <w:sz w:val="24"/>
                <w:szCs w:val="24"/>
              </w:rPr>
              <w:t>网上业绩说明会的投资者</w:t>
            </w:r>
          </w:p>
        </w:tc>
      </w:tr>
      <w:tr w:rsidR="0097481F" w14:paraId="0D5F3E50" w14:textId="77777777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1778" w14:textId="77777777" w:rsidR="0097481F" w:rsidRDefault="00000000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4650" w14:textId="15AA6EBB" w:rsidR="0097481F" w:rsidRDefault="00000000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934355">
              <w:rPr>
                <w:rFonts w:ascii="宋体" w:hAnsi="宋体"/>
                <w:sz w:val="24"/>
                <w:szCs w:val="24"/>
              </w:rPr>
              <w:t>202</w:t>
            </w:r>
            <w:r w:rsidR="008803FA"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年</w:t>
            </w:r>
            <w:r w:rsidRPr="00934355">
              <w:rPr>
                <w:rFonts w:ascii="宋体" w:hAnsi="宋体"/>
                <w:sz w:val="24"/>
                <w:szCs w:val="24"/>
              </w:rPr>
              <w:t>05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月</w:t>
            </w:r>
            <w:r w:rsidR="008803FA" w:rsidRPr="008803FA">
              <w:rPr>
                <w:rFonts w:ascii="宋体" w:hAnsi="宋体" w:hint="eastAsia"/>
                <w:sz w:val="24"/>
                <w:szCs w:val="24"/>
              </w:rPr>
              <w:t>31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日</w:t>
            </w:r>
            <w:r w:rsidRPr="00934355"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星期</w:t>
            </w:r>
            <w:r w:rsidR="008803FA">
              <w:rPr>
                <w:rFonts w:ascii="宋体" w:hAnsi="宋体" w:hint="eastAsia"/>
                <w:sz w:val="24"/>
                <w:szCs w:val="24"/>
                <w:lang w:val="zh-CN"/>
              </w:rPr>
              <w:t>五</w:t>
            </w:r>
            <w:r w:rsidRPr="00934355">
              <w:rPr>
                <w:rFonts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下午</w:t>
            </w:r>
            <w:r w:rsidRPr="00934355">
              <w:rPr>
                <w:rFonts w:ascii="宋体" w:hAnsi="宋体"/>
                <w:sz w:val="24"/>
                <w:szCs w:val="24"/>
              </w:rPr>
              <w:t>15:00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</w:t>
            </w:r>
            <w:r w:rsidRPr="00934355">
              <w:rPr>
                <w:rFonts w:ascii="宋体" w:hAnsi="宋体"/>
                <w:sz w:val="24"/>
                <w:szCs w:val="24"/>
              </w:rPr>
              <w:t>16:</w:t>
            </w:r>
            <w:r w:rsidR="008803FA">
              <w:rPr>
                <w:rFonts w:ascii="宋体" w:hAnsi="宋体" w:hint="eastAsia"/>
                <w:sz w:val="24"/>
                <w:szCs w:val="24"/>
              </w:rPr>
              <w:t>0</w:t>
            </w:r>
            <w:r w:rsidRPr="00934355">
              <w:rPr>
                <w:rFonts w:ascii="宋体" w:hAnsi="宋体"/>
                <w:sz w:val="24"/>
                <w:szCs w:val="24"/>
              </w:rPr>
              <w:t>0</w:t>
            </w:r>
          </w:p>
        </w:tc>
      </w:tr>
      <w:tr w:rsidR="0097481F" w14:paraId="03077A46" w14:textId="77777777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2EF9" w14:textId="77777777" w:rsidR="0097481F" w:rsidRDefault="00000000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4CADE" w14:textId="77777777" w:rsidR="0097481F" w:rsidRDefault="00000000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上海亚虹投资者关系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程序</w:t>
            </w:r>
          </w:p>
        </w:tc>
      </w:tr>
      <w:tr w:rsidR="0097481F" w14:paraId="72FD7C36" w14:textId="77777777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77D1" w14:textId="77777777" w:rsidR="0097481F" w:rsidRDefault="00000000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C680" w14:textId="77777777" w:rsidR="00FD789B" w:rsidRPr="002D790C" w:rsidRDefault="00000000" w:rsidP="00FD789B">
            <w:pPr>
              <w:pStyle w:val="a8"/>
              <w:overflowPunct w:val="0"/>
              <w:topLinePunct/>
              <w:autoSpaceDE/>
              <w:autoSpaceDN/>
              <w:adjustRightInd w:val="0"/>
              <w:snapToGrid w:val="0"/>
              <w:spacing w:line="360" w:lineRule="auto"/>
              <w:ind w:right="3"/>
              <w:jc w:val="both"/>
              <w:rPr>
                <w:lang w:val="en-US"/>
              </w:rPr>
            </w:pPr>
            <w:r>
              <w:rPr>
                <w:rFonts w:hint="eastAsia"/>
                <w:color w:val="000000"/>
              </w:rPr>
              <w:t>董事</w:t>
            </w:r>
            <w:r w:rsidR="00FD789B">
              <w:rPr>
                <w:rFonts w:hint="eastAsia"/>
                <w:color w:val="000000"/>
              </w:rPr>
              <w:t>、总经理：孙力先生</w:t>
            </w:r>
            <w:r>
              <w:rPr>
                <w:rFonts w:hint="eastAsia"/>
                <w:color w:val="000000"/>
              </w:rPr>
              <w:br/>
            </w:r>
            <w:r w:rsidR="00FD789B" w:rsidRPr="002D790C">
              <w:rPr>
                <w:rFonts w:hint="eastAsia"/>
                <w:lang w:val="en-US"/>
              </w:rPr>
              <w:t>常务副总经理：谢佳维</w:t>
            </w:r>
            <w:r w:rsidR="00FD789B">
              <w:rPr>
                <w:rFonts w:hint="eastAsia"/>
                <w:lang w:val="en-US"/>
              </w:rPr>
              <w:t>先生</w:t>
            </w:r>
          </w:p>
          <w:p w14:paraId="2FB3FC4C" w14:textId="77777777" w:rsidR="00FD789B" w:rsidRPr="002D790C" w:rsidRDefault="00FD789B" w:rsidP="00FD789B">
            <w:pPr>
              <w:pStyle w:val="a8"/>
              <w:overflowPunct w:val="0"/>
              <w:topLinePunct/>
              <w:autoSpaceDE/>
              <w:autoSpaceDN/>
              <w:adjustRightInd w:val="0"/>
              <w:snapToGrid w:val="0"/>
              <w:spacing w:line="360" w:lineRule="auto"/>
              <w:ind w:right="3"/>
              <w:jc w:val="both"/>
              <w:rPr>
                <w:lang w:val="en-US"/>
              </w:rPr>
            </w:pPr>
            <w:r w:rsidRPr="002D790C">
              <w:rPr>
                <w:rFonts w:hint="eastAsia"/>
                <w:lang w:val="en-US"/>
              </w:rPr>
              <w:t>财务总监：吴彬</w:t>
            </w:r>
            <w:r>
              <w:rPr>
                <w:rFonts w:hint="eastAsia"/>
                <w:lang w:val="en-US"/>
              </w:rPr>
              <w:t>女士</w:t>
            </w:r>
          </w:p>
          <w:p w14:paraId="33C602D9" w14:textId="77777777" w:rsidR="00FD789B" w:rsidRPr="002D790C" w:rsidRDefault="00FD789B" w:rsidP="00FD789B">
            <w:pPr>
              <w:pStyle w:val="a8"/>
              <w:overflowPunct w:val="0"/>
              <w:topLinePunct/>
              <w:autoSpaceDE/>
              <w:autoSpaceDN/>
              <w:adjustRightInd w:val="0"/>
              <w:snapToGrid w:val="0"/>
              <w:spacing w:line="360" w:lineRule="auto"/>
              <w:ind w:right="3"/>
              <w:jc w:val="both"/>
              <w:rPr>
                <w:lang w:val="en-US"/>
              </w:rPr>
            </w:pPr>
            <w:r w:rsidRPr="002D790C">
              <w:rPr>
                <w:rFonts w:hint="eastAsia"/>
                <w:lang w:val="en-US"/>
              </w:rPr>
              <w:t>独立董事：威震峰</w:t>
            </w:r>
            <w:r>
              <w:rPr>
                <w:rFonts w:hint="eastAsia"/>
                <w:lang w:val="en-US"/>
              </w:rPr>
              <w:t>先生</w:t>
            </w:r>
          </w:p>
          <w:p w14:paraId="4E036318" w14:textId="1ADCD4C1" w:rsidR="0097481F" w:rsidRPr="00FD789B" w:rsidRDefault="00FD789B" w:rsidP="00FD789B">
            <w:pPr>
              <w:pStyle w:val="a8"/>
              <w:overflowPunct w:val="0"/>
              <w:topLinePunct/>
              <w:autoSpaceDE/>
              <w:autoSpaceDN/>
              <w:adjustRightInd w:val="0"/>
              <w:snapToGrid w:val="0"/>
              <w:spacing w:line="360" w:lineRule="auto"/>
              <w:ind w:right="3"/>
              <w:jc w:val="both"/>
              <w:rPr>
                <w:lang w:val="en-US"/>
              </w:rPr>
            </w:pPr>
            <w:r w:rsidRPr="002D790C">
              <w:rPr>
                <w:rFonts w:hint="eastAsia"/>
                <w:lang w:val="en-US"/>
              </w:rPr>
              <w:t>董事会秘书：包晗</w:t>
            </w:r>
            <w:r>
              <w:rPr>
                <w:rFonts w:hint="eastAsia"/>
                <w:lang w:val="en-US"/>
              </w:rPr>
              <w:t>先生</w:t>
            </w:r>
          </w:p>
        </w:tc>
      </w:tr>
      <w:tr w:rsidR="0097481F" w14:paraId="79B1E5C0" w14:textId="77777777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46C" w14:textId="77777777" w:rsidR="0097481F" w:rsidRDefault="00000000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E01A" w14:textId="76A74AC4" w:rsidR="00FD789B" w:rsidRDefault="00000000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1、问：</w:t>
            </w:r>
            <w:r w:rsidR="00FD789B" w:rsidRP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公司面对营业收入的下降，在未来有哪些计划或策略来改善收入增长？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答：尊敬的投资</w:t>
            </w:r>
            <w:r w:rsidR="004D2E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者，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您好！感谢您的关注</w:t>
            </w:r>
            <w:r w:rsidR="006F60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  <w:r w:rsidR="00FD789B" w:rsidRP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2023年度，公司实现营业收入55,641.87万元，同比下降6.91%；实现归属于上市公司股东的净利润3,527.15万元，同比增长16.71%；实现归属于上市公司股东的</w:t>
            </w:r>
            <w:proofErr w:type="gramStart"/>
            <w:r w:rsidR="00FD789B" w:rsidRP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扣非净</w:t>
            </w:r>
            <w:proofErr w:type="gramEnd"/>
            <w:r w:rsidR="00FD789B" w:rsidRP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利润3,085.72万元，同比增长5.61%</w:t>
            </w:r>
            <w:r w:rsid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614698E7" w14:textId="77777777" w:rsidR="00FD789B" w:rsidRDefault="00FD789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在2023年，公司持续致力于提升制造技术、完善质量管理体系以及优化公司运营流程。重点改善公司治理结构，提高运营效率，并实施精细化管理策略。通过推动</w:t>
            </w:r>
            <w:r w:rsidRP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组织结构向扁平化转型，旨在激发员工的工作热情、积极性和创新能力。</w:t>
            </w:r>
          </w:p>
          <w:p w14:paraId="627BD507" w14:textId="77777777" w:rsidR="00720FB4" w:rsidRDefault="00FD789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在市场拓展方面，公司持续建设快速响应客户需求的体系，深化与现有客户的合作关系，并积极开拓新的市场领域，以此巩固并扩大我们的优质客户基础，增强公司在特定细分市场的竞争力。</w:t>
            </w:r>
          </w:p>
          <w:p w14:paraId="587730E0" w14:textId="4440EA07" w:rsidR="00FD789B" w:rsidRPr="00720FB4" w:rsidRDefault="00720FB4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一方面，</w:t>
            </w:r>
            <w:r w:rsidRPr="00720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公司将继续紧跟汽车行业发展步伐，积极开拓新能源汽车模具、精密注塑、SMT市场业务，开拓更多优质客户群体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。另一方面</w:t>
            </w:r>
            <w:r w:rsidRPr="00720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4D2E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着力</w:t>
            </w:r>
            <w:r w:rsidRPr="00720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扩大产品的客户范围，满足家电、医疗器材等行业的新需求</w:t>
            </w:r>
            <w:r w:rsidR="004D2E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。同时，</w:t>
            </w:r>
            <w:r w:rsidRPr="00720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在内部管理上继续深化调整</w:t>
            </w:r>
            <w:r w:rsidR="004D2E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720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强化管控，完善和健全精细化管理体系，在努力提高公司业绩的同时，提高管理效率，合理控制成本。</w:t>
            </w:r>
          </w:p>
          <w:p w14:paraId="779E83BA" w14:textId="62FE362E" w:rsidR="00FD789B" w:rsidRPr="00FD789B" w:rsidRDefault="00000000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2、问：</w:t>
            </w:r>
            <w:r w:rsidR="00FD789B" w:rsidRP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公司在扣除非经常性损益后的净利润增长5.61%，这是否意味着公司的核心业务表现良好？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答：</w:t>
            </w:r>
            <w:r w:rsidR="004D2E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尊敬的投资者，您好！感谢您的关注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  <w:r w:rsidR="00FD789B" w:rsidRP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2023年度，公司实现归属于上市公司股东的净利润3,527.15万元，同比增长16.71%；实现归属于上市公司股东的</w:t>
            </w:r>
            <w:proofErr w:type="gramStart"/>
            <w:r w:rsidR="00FD789B" w:rsidRP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扣非净</w:t>
            </w:r>
            <w:proofErr w:type="gramEnd"/>
            <w:r w:rsidR="00FD789B" w:rsidRP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利润3,085.72万元，同比增长5.61%</w:t>
            </w:r>
            <w:r w:rsid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。2023年，</w:t>
            </w:r>
            <w:r w:rsidR="00FD789B" w:rsidRP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公司致力于提高采购、生产、销售和财务等关键业务环节的效率。通过整合和优化供应链管理，降低生产成本和管理开支，从而实现成本节约和效率提升。</w:t>
            </w:r>
            <w:r w:rsid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2024年，公司在</w:t>
            </w:r>
            <w:r w:rsidR="00FD789B" w:rsidRP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运营中</w:t>
            </w:r>
            <w:r w:rsid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会</w:t>
            </w:r>
            <w:r w:rsidR="00FD789B" w:rsidRP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持续识别供应链中的潜在节约空间，推动成本降低的项目实施，并开展协同采购活动，以持续优化成本结构，进一步提升公司的市场竞争力。</w:t>
            </w:r>
          </w:p>
          <w:p w14:paraId="57D420CB" w14:textId="43A7AAE0" w:rsidR="00FD789B" w:rsidRDefault="00000000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3、问：请问公司</w:t>
            </w:r>
            <w:r w:rsid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现在的主要业务和客户都有哪些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答：</w:t>
            </w:r>
            <w:r w:rsidR="004D2E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尊敬的投资者，您好！感谢您的关注。</w:t>
            </w:r>
            <w:r w:rsidR="00FD789B" w:rsidRP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公司以精密</w:t>
            </w:r>
            <w:r w:rsidR="00FD789B" w:rsidRP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注塑模具的设计和制造、注塑、表面喷涂、装配、汽车电子产品SMT生产为主营业务。通过多年的经营，目前</w:t>
            </w:r>
            <w:r w:rsidR="00720FB4" w:rsidRPr="00720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公司客户主要以汽车零部件产业的一级供应商</w:t>
            </w:r>
            <w:r w:rsidR="00720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和家用电器生产</w:t>
            </w:r>
            <w:r w:rsidR="00720FB4" w:rsidRPr="00720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企业为主</w:t>
            </w:r>
            <w:r w:rsidR="00720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720FB4" w:rsidRPr="00720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主要产品包括精密模具、注塑</w:t>
            </w:r>
            <w:r w:rsidR="00720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产品</w:t>
            </w:r>
            <w:r w:rsidR="00720FB4" w:rsidRPr="00720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、电子SMT</w:t>
            </w:r>
            <w:r w:rsidR="00720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贴片</w:t>
            </w:r>
            <w:r w:rsidR="00720FB4" w:rsidRPr="00720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产品等，业务发展与下游行业高度相关。</w:t>
            </w:r>
          </w:p>
          <w:p w14:paraId="416D27DA" w14:textId="26FDD362" w:rsidR="00720FB4" w:rsidRDefault="00000000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4、问：</w:t>
            </w:r>
            <w:r w:rsidR="00720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公司在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技术和设备工艺方面有哪些优势？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答：</w:t>
            </w:r>
            <w:r w:rsidR="004D2E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尊敬的投资者，您好！感谢您的关注。</w:t>
            </w:r>
            <w:r w:rsidR="004D2EB6" w:rsidRPr="004D2E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公司拥有经验丰富的模具设计开发团队</w:t>
            </w:r>
            <w:r w:rsidR="004D2E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公司当前拥有先进的高速CNC加工中心、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五轴加工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中心和智能设备组成的全自动柔性加工流水线等加工设备，使得公司精密模具的适用性、稳定性，塑模型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尺寸精度、型腔表面粗糙度等指标达到国内先进水平，部分指标已经接近或达到国际先进水平。</w:t>
            </w:r>
          </w:p>
          <w:p w14:paraId="629296A2" w14:textId="1D92D075" w:rsidR="0097481F" w:rsidRDefault="00000000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5、问：</w:t>
            </w:r>
            <w:r w:rsidR="00720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公司在新能源汽车业务上有哪些布局？未来有什么计划？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答：</w:t>
            </w:r>
            <w:r w:rsidR="00493AA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尊敬的投资者，您好！感谢您的关注。</w:t>
            </w:r>
            <w:r w:rsidR="00720FB4" w:rsidRPr="00720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司将紧紧抓住汽车产业链和新能源汽车产业的发展机遇，坚持以技术驱动为核心，以服务客户为中心，充分发挥公司响应速度快、服务态度好的优良传统，加强同自主品牌的合作力度，进一步巩固和扩大国内市场</w:t>
            </w:r>
            <w:r w:rsidR="00720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720FB4" w:rsidRPr="00720F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积极开拓新能源汽车模具、精密注塑、SMT市场业务，开拓更多优质客户群体，增强公司在细分领域的竞争力。</w:t>
            </w:r>
          </w:p>
          <w:p w14:paraId="0478A41D" w14:textId="77777777" w:rsidR="00493AAC" w:rsidRDefault="00493AAC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0247211" w14:textId="77777777" w:rsidR="00493AAC" w:rsidRDefault="00493AAC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6、问：</w:t>
            </w:r>
            <w:r w:rsidRPr="00493AA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公司在供应链管理和成本控制方面采取了哪些有效措施？</w:t>
            </w:r>
          </w:p>
          <w:p w14:paraId="04E90001" w14:textId="2019EC9C" w:rsidR="00493AAC" w:rsidRPr="006F6019" w:rsidRDefault="00493AAC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答：尊敬的投资者，您好！感谢您的关注。</w:t>
            </w:r>
            <w:r w:rsidRPr="00493AA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持续努力</w:t>
            </w:r>
            <w:r w:rsidRPr="00493AA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提高采购、生产、销售和财务等关键业务环节的效率。</w:t>
            </w:r>
            <w:r w:rsidRPr="00493AA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通过整合和优化供应链管理，降低生产成本和管理开支，从而实现成本节约和效率提升。运营中持续识别供应链中的潜在节约空间，推动成本降低的项目实施，并开展协同采购活动，以持续优化成本结构，进一步提升公司的市场竞争力。</w:t>
            </w:r>
            <w:r w:rsidRPr="00726CC8">
              <w:rPr>
                <w:rFonts w:ascii="宋体" w:hAnsi="宋体" w:hint="eastAsia"/>
                <w:sz w:val="24"/>
                <w:szCs w:val="24"/>
              </w:rPr>
              <w:t>公司将继续提高管理效率，减少浪费，加强生产环节的组织，不断加强成本和各项费用控制。严格完成项目成本预算与管控机制，加强项目、客户成本分析与管控。同时加强信息化建设，提高工业化和信息化融合，使用精细化项目管控体系配合信息化管理系统，提高生产工作运营效率，提升项目精细化管理水平，持续降低生产及管理成本。</w:t>
            </w:r>
          </w:p>
        </w:tc>
      </w:tr>
      <w:tr w:rsidR="0097481F" w14:paraId="6DC92277" w14:textId="77777777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F5B6" w14:textId="77777777" w:rsidR="0097481F" w:rsidRDefault="00000000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248D" w14:textId="77777777" w:rsidR="0097481F" w:rsidRDefault="0097481F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7481F" w14:paraId="0F470B4E" w14:textId="77777777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28FD" w14:textId="77777777" w:rsidR="0097481F" w:rsidRPr="00934355" w:rsidRDefault="00000000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934355">
              <w:rPr>
                <w:rFonts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5232" w14:textId="699B42FD" w:rsidR="0097481F" w:rsidRPr="00934355" w:rsidRDefault="00000000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93435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93435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年05月</w:t>
            </w:r>
            <w:r w:rsidR="00FD78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  <w:r w:rsidRPr="0093435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33895939" w14:textId="77777777" w:rsidR="0097481F" w:rsidRDefault="0097481F"/>
    <w:sectPr w:rsidR="00974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3A"/>
    <w:rsid w:val="00000D3A"/>
    <w:rsid w:val="000962F0"/>
    <w:rsid w:val="001A3559"/>
    <w:rsid w:val="001B46F3"/>
    <w:rsid w:val="001E7E25"/>
    <w:rsid w:val="00206E6D"/>
    <w:rsid w:val="002137C4"/>
    <w:rsid w:val="00276D30"/>
    <w:rsid w:val="002D2F34"/>
    <w:rsid w:val="0032038B"/>
    <w:rsid w:val="00346C15"/>
    <w:rsid w:val="003571B2"/>
    <w:rsid w:val="003D4542"/>
    <w:rsid w:val="00445995"/>
    <w:rsid w:val="00493AAC"/>
    <w:rsid w:val="004A1D33"/>
    <w:rsid w:val="004D2EB6"/>
    <w:rsid w:val="00516326"/>
    <w:rsid w:val="005E3EE2"/>
    <w:rsid w:val="0062475E"/>
    <w:rsid w:val="00696ED0"/>
    <w:rsid w:val="006F6019"/>
    <w:rsid w:val="007171F3"/>
    <w:rsid w:val="00720FB4"/>
    <w:rsid w:val="00796659"/>
    <w:rsid w:val="007C5948"/>
    <w:rsid w:val="007F16D6"/>
    <w:rsid w:val="00831553"/>
    <w:rsid w:val="00835EE1"/>
    <w:rsid w:val="008803FA"/>
    <w:rsid w:val="00881C53"/>
    <w:rsid w:val="008B59EC"/>
    <w:rsid w:val="008F5347"/>
    <w:rsid w:val="00921591"/>
    <w:rsid w:val="00934355"/>
    <w:rsid w:val="0097481F"/>
    <w:rsid w:val="00992A79"/>
    <w:rsid w:val="009B4C8A"/>
    <w:rsid w:val="00A43F6C"/>
    <w:rsid w:val="00B013B8"/>
    <w:rsid w:val="00B6013C"/>
    <w:rsid w:val="00C0698E"/>
    <w:rsid w:val="00CC2661"/>
    <w:rsid w:val="00CF4339"/>
    <w:rsid w:val="00D254A0"/>
    <w:rsid w:val="00D31B9C"/>
    <w:rsid w:val="00D35117"/>
    <w:rsid w:val="00D74802"/>
    <w:rsid w:val="00DD073F"/>
    <w:rsid w:val="00DD1656"/>
    <w:rsid w:val="00E55844"/>
    <w:rsid w:val="00F95A5A"/>
    <w:rsid w:val="00FC55A2"/>
    <w:rsid w:val="00FD6735"/>
    <w:rsid w:val="00FD789B"/>
    <w:rsid w:val="03A54A28"/>
    <w:rsid w:val="044C50BA"/>
    <w:rsid w:val="04B769D7"/>
    <w:rsid w:val="053C5185"/>
    <w:rsid w:val="09D300DC"/>
    <w:rsid w:val="0ACA5ED1"/>
    <w:rsid w:val="0B3D575C"/>
    <w:rsid w:val="0B640F3B"/>
    <w:rsid w:val="0CFF716D"/>
    <w:rsid w:val="0D847672"/>
    <w:rsid w:val="0F6E5462"/>
    <w:rsid w:val="0F711E78"/>
    <w:rsid w:val="0F885383"/>
    <w:rsid w:val="10437371"/>
    <w:rsid w:val="11ED4BC1"/>
    <w:rsid w:val="1593461C"/>
    <w:rsid w:val="161D2412"/>
    <w:rsid w:val="164369A6"/>
    <w:rsid w:val="19AF3CC9"/>
    <w:rsid w:val="1B886580"/>
    <w:rsid w:val="1CE123EB"/>
    <w:rsid w:val="1E0D7210"/>
    <w:rsid w:val="2177331E"/>
    <w:rsid w:val="21BA320B"/>
    <w:rsid w:val="23705807"/>
    <w:rsid w:val="268128EF"/>
    <w:rsid w:val="2B487ADA"/>
    <w:rsid w:val="2CAE4BF5"/>
    <w:rsid w:val="2D263F00"/>
    <w:rsid w:val="2D9A5735"/>
    <w:rsid w:val="2DE27D71"/>
    <w:rsid w:val="2F1228D8"/>
    <w:rsid w:val="335F00B6"/>
    <w:rsid w:val="378B2BA5"/>
    <w:rsid w:val="385E093C"/>
    <w:rsid w:val="38832151"/>
    <w:rsid w:val="393778F4"/>
    <w:rsid w:val="39B32F0A"/>
    <w:rsid w:val="39BA6046"/>
    <w:rsid w:val="404C1ED7"/>
    <w:rsid w:val="41EE270A"/>
    <w:rsid w:val="45E76415"/>
    <w:rsid w:val="46603AD2"/>
    <w:rsid w:val="49687B95"/>
    <w:rsid w:val="49A44BED"/>
    <w:rsid w:val="4BCB7C3F"/>
    <w:rsid w:val="4E1F7FBC"/>
    <w:rsid w:val="4E974655"/>
    <w:rsid w:val="4FC275AB"/>
    <w:rsid w:val="50083210"/>
    <w:rsid w:val="51024103"/>
    <w:rsid w:val="51FC1024"/>
    <w:rsid w:val="522A084B"/>
    <w:rsid w:val="55144405"/>
    <w:rsid w:val="593B28A8"/>
    <w:rsid w:val="596F2552"/>
    <w:rsid w:val="5A897643"/>
    <w:rsid w:val="5B836EDA"/>
    <w:rsid w:val="6247504A"/>
    <w:rsid w:val="628E5F27"/>
    <w:rsid w:val="63FC70D8"/>
    <w:rsid w:val="64882719"/>
    <w:rsid w:val="6B97548F"/>
    <w:rsid w:val="6BFF7765"/>
    <w:rsid w:val="6EB07C61"/>
    <w:rsid w:val="6FB219DE"/>
    <w:rsid w:val="714A5429"/>
    <w:rsid w:val="7483192D"/>
    <w:rsid w:val="75E63744"/>
    <w:rsid w:val="7A6D61E2"/>
    <w:rsid w:val="7B1E74DC"/>
    <w:rsid w:val="7BD1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1C02E"/>
  <w15:docId w15:val="{CE44B6E2-EE8C-4FB2-BBFB-2F74516E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main-color1">
    <w:name w:val="main-color1"/>
    <w:basedOn w:val="a0"/>
    <w:qFormat/>
    <w:rPr>
      <w:color w:val="A4A4A4"/>
    </w:rPr>
  </w:style>
  <w:style w:type="paragraph" w:styleId="a8">
    <w:name w:val="Body Text"/>
    <w:basedOn w:val="a"/>
    <w:link w:val="a9"/>
    <w:uiPriority w:val="1"/>
    <w:qFormat/>
    <w:rsid w:val="00FD789B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FD789B"/>
    <w:rPr>
      <w:rFonts w:ascii="宋体" w:hAnsi="宋体" w:cs="宋体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宏艳</dc:creator>
  <cp:lastModifiedBy>Han Bao</cp:lastModifiedBy>
  <cp:revision>9</cp:revision>
  <dcterms:created xsi:type="dcterms:W3CDTF">2024-05-31T05:58:00Z</dcterms:created>
  <dcterms:modified xsi:type="dcterms:W3CDTF">2024-05-31T08:05:00Z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F3E088E950F4476FA70CDF6F5CE64161</vt:lpwstr>
  </property>
</Properties>
</file>