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国投中鲁果汁股份有限公司</w:t>
      </w:r>
    </w:p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投资者关系活动记录表</w:t>
      </w:r>
    </w:p>
    <w:p>
      <w:pPr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（</w:t>
      </w:r>
      <w:r>
        <w:rPr>
          <w:rFonts w:ascii="黑体" w:hAnsi="黑体" w:eastAsia="黑体"/>
          <w:b/>
          <w:color w:val="FF0000"/>
          <w:sz w:val="36"/>
          <w:szCs w:val="36"/>
        </w:rPr>
        <w:t>202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4</w:t>
      </w:r>
      <w:r>
        <w:rPr>
          <w:rFonts w:ascii="黑体" w:hAnsi="黑体" w:eastAsia="黑体"/>
          <w:b/>
          <w:color w:val="FF0000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FF0000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b/>
          <w:color w:val="FF0000"/>
          <w:sz w:val="36"/>
          <w:szCs w:val="36"/>
        </w:rPr>
        <w:t>月5日）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股票简称：国投中鲁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股票代码：600962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编号：202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-00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cr/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活动类别</w:t>
            </w:r>
          </w:p>
        </w:tc>
        <w:tc>
          <w:tcPr>
            <w:tcW w:w="4062" w:type="pct"/>
          </w:tcPr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>特定对象调研          □分析师会议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□媒体采访              □业绩说明会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□新闻发布会            □路演活动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□现场参观              </w:t>
            </w:r>
            <w:r>
              <w:rPr>
                <w:rFonts w:hint="eastAsia" w:ascii="Segoe UI Symbol" w:hAnsi="Segoe UI Symbol" w:eastAsia="宋体" w:cs="Segoe UI Symbol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sz w:val="24"/>
                <w:szCs w:val="24"/>
              </w:rPr>
              <w:t>其他(请文字说明)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参与单位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及人员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ind w:left="0" w:leftChars="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东北证券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参与时间</w:t>
            </w:r>
          </w:p>
        </w:tc>
        <w:tc>
          <w:tcPr>
            <w:tcW w:w="4062" w:type="pct"/>
          </w:tcPr>
          <w:p>
            <w:pPr>
              <w:spacing w:line="360" w:lineRule="auto"/>
              <w:ind w:left="0" w:leftChars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参与地点</w:t>
            </w:r>
          </w:p>
        </w:tc>
        <w:tc>
          <w:tcPr>
            <w:tcW w:w="4062" w:type="pct"/>
          </w:tcPr>
          <w:p>
            <w:pPr>
              <w:spacing w:line="360" w:lineRule="auto"/>
              <w:ind w:left="0"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北京市西城区阜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成门外大街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号万通金融中心B座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21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层公司会议室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副总经理、董事会秘书：殷实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董事会办公室：姚铁龙 刘念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406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介绍一下公司业务情况（发展历程、业务布局、未来战略规划）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国投中鲁成立于1991年，公司深耕浓缩果蔬汁行业30余年，2004年成为行业内第一家主板上市企业，随着规模持续扩大，公司先后收购新加坡上市企业新湖滨和波兰APPOL集团，成为国内浓缩苹果汁行业首家在海外布局的企业。近年来，公司大力开展市场化改革，深度参与“国企改革三年行动”，全面推行职业经理人制度，健全市场化经营机制，公司发展迈入新阶段。特别是2022年，面对复杂多变的严峻外部挑战，经营业绩创了新高。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目前，公司的产品卖到全球30个多国家和地区，包括北美、欧洲、亚洲、澳洲等，近年来在</w:t>
            </w:r>
            <w:bookmarkStart w:id="0" w:name="_GoBack"/>
            <w:bookmarkEnd w:id="0"/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南非的业务量也显著增长。公司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服务国家乡村振兴战略和“一带一路”倡议，以“安全、健康、天然”的产品理念，为客户提供高品质产品，致力于成为全球知名以及细分领域内领先的饮料企业，在确保现有主营业务稳定运营和领先地位的基础上，依托主业资源与内部优势，把握外部发展机遇，积极探索新的市场、客户、渠道、产品、业务以及新价值链条，从而开辟企业增长新路径，构建“第二增长曲线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行业的竞争格局如何？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国内浓缩果汁行业历经数十年的发展，从小而散到集中为四大家，又从四大家演变为现在的两大家为主、中等规模企业为辅的局面。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：原料是否有明显的周期变化？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作为农产品，苹果原料确实具有季节性收获特征，所以浓缩苹果汁企业的生产活动也具备季节性特征，榨季一般是每年7月份到12月份。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：对果汁行业未来的发展前景怎么判断？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我们认为未来浓缩苹果汁的需求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将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稳定增长，随着行业监管政策的日趋完善、消费者对食品饮料健康安全需求的升级、海内外市场的不断调整，行业的竞争格局预计将进一步集中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theme="minorBid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具备战略远见的、拥有高效管理水平的、符合市场需求的优质企业将有机会获取更大的市场份额。</w:t>
            </w:r>
            <w:r>
              <w:rPr>
                <w:rFonts w:ascii="宋体" w:hAnsi="宋体" w:eastAsia="宋体" w:cstheme="minorBidi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：公司的销售模式是怎么样的，经销和直销占比，下游以什么类型的客户为主？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公司商业模式是B2B，以直销为主，主要客户群体为食品饮料制造企业。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：一季度财务费用下降的原因是什么？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今年同期美元汇率呈升值趋势，主要受汇兑收益影响，财务费用下降。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应当披露重大信息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附件清单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CB4765"/>
    <w:rsid w:val="00007DAC"/>
    <w:rsid w:val="00011FBF"/>
    <w:rsid w:val="00012853"/>
    <w:rsid w:val="00013919"/>
    <w:rsid w:val="00062F73"/>
    <w:rsid w:val="00072531"/>
    <w:rsid w:val="000A1CBF"/>
    <w:rsid w:val="000A7C99"/>
    <w:rsid w:val="000B3499"/>
    <w:rsid w:val="001137D0"/>
    <w:rsid w:val="001324DF"/>
    <w:rsid w:val="001333BD"/>
    <w:rsid w:val="001B0EEF"/>
    <w:rsid w:val="001B6569"/>
    <w:rsid w:val="001D4915"/>
    <w:rsid w:val="0021367A"/>
    <w:rsid w:val="00226A80"/>
    <w:rsid w:val="00280BA4"/>
    <w:rsid w:val="002877FC"/>
    <w:rsid w:val="002B3CC5"/>
    <w:rsid w:val="002D146B"/>
    <w:rsid w:val="002D1FAC"/>
    <w:rsid w:val="002F3F4B"/>
    <w:rsid w:val="002F7972"/>
    <w:rsid w:val="00356756"/>
    <w:rsid w:val="0039058F"/>
    <w:rsid w:val="0039387A"/>
    <w:rsid w:val="003C0CD8"/>
    <w:rsid w:val="003D37FF"/>
    <w:rsid w:val="003D3979"/>
    <w:rsid w:val="0040617D"/>
    <w:rsid w:val="004B7073"/>
    <w:rsid w:val="004E75D2"/>
    <w:rsid w:val="00500904"/>
    <w:rsid w:val="00526748"/>
    <w:rsid w:val="0053105E"/>
    <w:rsid w:val="00556C49"/>
    <w:rsid w:val="00561714"/>
    <w:rsid w:val="005914DF"/>
    <w:rsid w:val="005B7258"/>
    <w:rsid w:val="005D1692"/>
    <w:rsid w:val="005D61E0"/>
    <w:rsid w:val="005E25BD"/>
    <w:rsid w:val="00635B25"/>
    <w:rsid w:val="006529E0"/>
    <w:rsid w:val="00667FA5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2AC7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A25234"/>
    <w:rsid w:val="00A45832"/>
    <w:rsid w:val="00A4765C"/>
    <w:rsid w:val="00A94EBB"/>
    <w:rsid w:val="00AB49E4"/>
    <w:rsid w:val="00AE31F5"/>
    <w:rsid w:val="00AF1FB6"/>
    <w:rsid w:val="00AF6BB7"/>
    <w:rsid w:val="00AF738F"/>
    <w:rsid w:val="00B311A7"/>
    <w:rsid w:val="00B36D24"/>
    <w:rsid w:val="00B47A3D"/>
    <w:rsid w:val="00B47C30"/>
    <w:rsid w:val="00B64C9D"/>
    <w:rsid w:val="00BA041A"/>
    <w:rsid w:val="00BB75D4"/>
    <w:rsid w:val="00BF173E"/>
    <w:rsid w:val="00C42A93"/>
    <w:rsid w:val="00C767D3"/>
    <w:rsid w:val="00C92BB0"/>
    <w:rsid w:val="00CB4765"/>
    <w:rsid w:val="00CC75A3"/>
    <w:rsid w:val="00D20B9A"/>
    <w:rsid w:val="00D267B5"/>
    <w:rsid w:val="00D26E35"/>
    <w:rsid w:val="00D420A6"/>
    <w:rsid w:val="00D63944"/>
    <w:rsid w:val="00D7231F"/>
    <w:rsid w:val="00DC4C92"/>
    <w:rsid w:val="00E003BA"/>
    <w:rsid w:val="00E22684"/>
    <w:rsid w:val="00E50182"/>
    <w:rsid w:val="00E55EFC"/>
    <w:rsid w:val="00E6402B"/>
    <w:rsid w:val="00E709FD"/>
    <w:rsid w:val="00E946E2"/>
    <w:rsid w:val="00E95821"/>
    <w:rsid w:val="00E959F8"/>
    <w:rsid w:val="00EA4DAE"/>
    <w:rsid w:val="00EA7547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0A5A6000"/>
    <w:rsid w:val="0A76D252"/>
    <w:rsid w:val="3FFC5717"/>
    <w:rsid w:val="597BA733"/>
    <w:rsid w:val="6BFEE918"/>
    <w:rsid w:val="75FBBE17"/>
    <w:rsid w:val="77EF736A"/>
    <w:rsid w:val="7E4FB792"/>
    <w:rsid w:val="7EFF5D4D"/>
    <w:rsid w:val="9B3E6848"/>
    <w:rsid w:val="BF795A03"/>
    <w:rsid w:val="DB3F0630"/>
    <w:rsid w:val="DE7E1DCD"/>
    <w:rsid w:val="E8D728FB"/>
    <w:rsid w:val="FA7FD636"/>
    <w:rsid w:val="FE7CB1E8"/>
    <w:rsid w:val="FEBE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29A5379-BA8E-4D95-A1C5-B7A266F76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1093</Words>
  <Characters>1130</Characters>
  <Lines>2</Lines>
  <Paragraphs>1</Paragraphs>
  <TotalTime>12</TotalTime>
  <ScaleCrop>false</ScaleCrop>
  <LinksUpToDate>false</LinksUpToDate>
  <CharactersWithSpaces>1188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2023-06-13T22:02:00Z</dcterms:created>
  <dc:creator>姚铁龙</dc:creator>
  <cp:lastModifiedBy>刘念</cp:lastModifiedBy>
  <dcterms:modified xsi:type="dcterms:W3CDTF">2024-06-06T09:26:36Z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172909C514B8420EAB655C18964E4601_12</vt:lpwstr>
  </property>
</Properties>
</file>