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color w:val="FF000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z w:val="36"/>
          <w:szCs w:val="36"/>
        </w:rPr>
        <w:t>国投中鲁果汁股份有限公司</w:t>
      </w:r>
    </w:p>
    <w:p>
      <w:pPr>
        <w:jc w:val="center"/>
        <w:rPr>
          <w:rFonts w:ascii="黑体" w:hAnsi="黑体" w:eastAsia="黑体"/>
          <w:b/>
          <w:color w:val="FF000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z w:val="36"/>
          <w:szCs w:val="36"/>
        </w:rPr>
        <w:t>投资者关系活动记录表</w:t>
      </w:r>
    </w:p>
    <w:p>
      <w:pPr>
        <w:jc w:val="center"/>
        <w:rPr>
          <w:rFonts w:ascii="黑体" w:hAnsi="黑体" w:eastAsia="黑体"/>
          <w:b/>
          <w:color w:val="FF000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z w:val="36"/>
          <w:szCs w:val="36"/>
        </w:rPr>
        <w:t>（</w:t>
      </w:r>
      <w:r>
        <w:rPr>
          <w:rFonts w:ascii="黑体" w:hAnsi="黑体" w:eastAsia="黑体"/>
          <w:b/>
          <w:color w:val="FF0000"/>
          <w:sz w:val="36"/>
          <w:szCs w:val="36"/>
        </w:rPr>
        <w:t>202</w:t>
      </w:r>
      <w:r>
        <w:rPr>
          <w:rFonts w:hint="eastAsia" w:ascii="黑体" w:hAnsi="黑体" w:eastAsia="黑体"/>
          <w:b/>
          <w:color w:val="FF0000"/>
          <w:sz w:val="36"/>
          <w:szCs w:val="36"/>
        </w:rPr>
        <w:t>4</w:t>
      </w:r>
      <w:r>
        <w:rPr>
          <w:rFonts w:ascii="黑体" w:hAnsi="黑体" w:eastAsia="黑体"/>
          <w:b/>
          <w:color w:val="FF0000"/>
          <w:sz w:val="36"/>
          <w:szCs w:val="36"/>
        </w:rPr>
        <w:t>年</w:t>
      </w:r>
      <w:r>
        <w:rPr>
          <w:rFonts w:hint="eastAsia" w:ascii="黑体" w:hAnsi="黑体" w:eastAsia="黑体"/>
          <w:b/>
          <w:color w:val="FF0000"/>
          <w:sz w:val="36"/>
          <w:szCs w:val="36"/>
          <w:lang w:val="en-US" w:eastAsia="zh-CN"/>
        </w:rPr>
        <w:t>6</w:t>
      </w:r>
      <w:r>
        <w:rPr>
          <w:rFonts w:ascii="黑体" w:hAnsi="黑体" w:eastAsia="黑体"/>
          <w:b/>
          <w:color w:val="FF0000"/>
          <w:sz w:val="36"/>
          <w:szCs w:val="36"/>
        </w:rPr>
        <w:t>月</w:t>
      </w:r>
      <w:r>
        <w:rPr>
          <w:rFonts w:hint="eastAsia" w:ascii="黑体" w:hAnsi="黑体" w:eastAsia="黑体"/>
          <w:b/>
          <w:color w:val="FF0000"/>
          <w:sz w:val="36"/>
          <w:szCs w:val="36"/>
          <w:lang w:val="en-US" w:eastAsia="zh-CN"/>
        </w:rPr>
        <w:t>14</w:t>
      </w:r>
      <w:r>
        <w:rPr>
          <w:rFonts w:ascii="黑体" w:hAnsi="黑体" w:eastAsia="黑体"/>
          <w:b/>
          <w:color w:val="FF0000"/>
          <w:sz w:val="36"/>
          <w:szCs w:val="36"/>
        </w:rPr>
        <w:t>日）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</w:p>
    <w:p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股票简称：国投中鲁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股票代码：600962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编号：202</w:t>
      </w:r>
      <w:r>
        <w:rPr>
          <w:rFonts w:hint="eastAsia" w:ascii="宋体" w:hAnsi="宋体" w:eastAsia="宋体"/>
          <w:sz w:val="24"/>
          <w:szCs w:val="24"/>
        </w:rPr>
        <w:t>4</w:t>
      </w:r>
      <w:r>
        <w:rPr>
          <w:rFonts w:ascii="宋体" w:hAnsi="宋体" w:eastAsia="宋体"/>
          <w:sz w:val="24"/>
          <w:szCs w:val="24"/>
        </w:rPr>
        <w:t>-00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sz w:val="24"/>
          <w:szCs w:val="24"/>
        </w:rPr>
        <w:cr/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6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投资者关系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活动类别</w:t>
            </w:r>
          </w:p>
        </w:tc>
        <w:tc>
          <w:tcPr>
            <w:tcW w:w="4062" w:type="pct"/>
          </w:tcPr>
          <w:p>
            <w:pPr>
              <w:spacing w:line="360" w:lineRule="auto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☑</w:t>
            </w:r>
            <w:r>
              <w:rPr>
                <w:rFonts w:ascii="宋体" w:hAnsi="宋体" w:eastAsia="宋体"/>
                <w:sz w:val="24"/>
                <w:szCs w:val="24"/>
              </w:rPr>
              <w:t>特定对象调研          □分析师会议</w:t>
            </w:r>
          </w:p>
          <w:p>
            <w:pPr>
              <w:spacing w:line="360" w:lineRule="auto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□媒体采访              □业绩说明会</w:t>
            </w:r>
          </w:p>
          <w:p>
            <w:pPr>
              <w:spacing w:line="360" w:lineRule="auto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□新闻发布会            □路演活动</w:t>
            </w:r>
          </w:p>
          <w:p>
            <w:pPr>
              <w:spacing w:line="360" w:lineRule="auto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□现场参观              </w:t>
            </w:r>
            <w:r>
              <w:rPr>
                <w:rFonts w:hint="eastAsia" w:ascii="Segoe UI Symbol" w:hAnsi="Segoe UI Symbol" w:eastAsia="宋体" w:cs="Segoe UI Symbol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sz w:val="24"/>
                <w:szCs w:val="24"/>
              </w:rPr>
              <w:t>其他(请文字说明)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参与单位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及人员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名称</w:t>
            </w:r>
          </w:p>
        </w:tc>
        <w:tc>
          <w:tcPr>
            <w:tcW w:w="4062" w:type="pct"/>
            <w:vAlign w:val="center"/>
          </w:tcPr>
          <w:p>
            <w:pPr>
              <w:spacing w:line="360" w:lineRule="auto"/>
              <w:ind w:left="0" w:leftChars="0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银华基金 诺安基金 东北证券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参与时间</w:t>
            </w:r>
          </w:p>
        </w:tc>
        <w:tc>
          <w:tcPr>
            <w:tcW w:w="4062" w:type="pct"/>
          </w:tcPr>
          <w:p>
            <w:pPr>
              <w:spacing w:line="360" w:lineRule="auto"/>
              <w:ind w:left="0" w:leftChars="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2024年6月14日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参与地点</w:t>
            </w:r>
          </w:p>
        </w:tc>
        <w:tc>
          <w:tcPr>
            <w:tcW w:w="4062" w:type="pct"/>
          </w:tcPr>
          <w:p>
            <w:pPr>
              <w:spacing w:line="360" w:lineRule="auto"/>
              <w:ind w:left="0" w:left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北京市西城区阜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成门外大街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号万通金融中心B座</w:t>
            </w:r>
            <w:r>
              <w:rPr>
                <w:rFonts w:hint="default" w:ascii="宋体" w:hAnsi="宋体" w:eastAsia="宋体"/>
                <w:sz w:val="24"/>
                <w:szCs w:val="24"/>
                <w:lang w:eastAsia="zh-CN"/>
              </w:rPr>
              <w:t>21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层公司会议室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公司接待人员姓名</w:t>
            </w:r>
          </w:p>
        </w:tc>
        <w:tc>
          <w:tcPr>
            <w:tcW w:w="4062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副总经理、董事会秘书：殷实</w:t>
            </w:r>
          </w:p>
          <w:p>
            <w:pPr>
              <w:spacing w:line="360" w:lineRule="auto"/>
              <w:jc w:val="both"/>
              <w:rPr>
                <w:rFonts w:hint="default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</w:rPr>
              <w:t>董事会办公室：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李美荣 </w:t>
            </w:r>
            <w:r>
              <w:rPr>
                <w:rFonts w:hint="default" w:ascii="宋体" w:hAnsi="宋体" w:eastAsia="宋体"/>
                <w:sz w:val="24"/>
                <w:szCs w:val="24"/>
                <w:lang w:eastAsia="zh-CN"/>
              </w:rPr>
              <w:t>姚铁龙 刘念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406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公司介绍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国投中鲁成立于1991年，公司深耕浓缩果蔬汁行业30余年，2004年成为行业内第一家主板上市企业，随着规模持续扩大，公司先后收购新加坡上市企业新湖滨和波兰APPOL集团，成为国内浓缩苹果汁行业首家在海外布局的企业。近年来，公司大力开展市场化改革，深度参与“国企改革三年行动”，全面推行职业经理人制度，健全市场化经营机制，公司发展迈入新阶段。特别是2022年，面对复杂多变的严峻外部挑战，经营业绩创了新高。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目前，公司的产品卖到全球30个多国家和地区，包括北美、欧洲、亚洲、澳洲等，近年来在南非的业务量也显著增长。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二、问答环节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问题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公司产品是否面向C端销售？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答：公司</w:t>
            </w:r>
            <w:r>
              <w:rPr>
                <w:rFonts w:hint="default" w:ascii="宋体" w:hAnsi="宋体" w:eastAsia="宋体"/>
                <w:sz w:val="24"/>
                <w:szCs w:val="24"/>
                <w:lang w:eastAsia="zh-CN"/>
              </w:rPr>
              <w:t>销售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模式是B2B，主要客户群体为食品饮料制造企业。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问题2：公司产品大部分出口是什么原因？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答：这与市场需求有关，浓缩苹果汁因其性质稳定、风味温和以及能保持果汁基本营养成分、适合工业化生产等特点而备受青睐，常作为世界各国浓缩还原果汁及各种果汁饮料的基础配料，西方国家对果汁饮料消费形成了习惯，因此公司产品主要出口至这些主要消费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问题3：公司对国内市场是怎么考虑的？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答：公司坚持贯彻“以国内大循环为主体、国内国际双循环相互促进”的发展精神，在稳定国际市场地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位不动摇的基础上，积极开发国内市场，以应对外部复杂环境。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：公司有什么优势？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答：公司优势主要包括以下方面：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一是知名品牌客户群与全球影响力。目前公司已与可口可乐、雀巢、卡夫等世界知名饮料及食品公司建立深厚且稳定的战略合作，其不仅彰显了公司的产品品质的国际认可度与品牌的全球影响力，更为公司的业务拓展及产业链延伸提供了发展机遇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是全球化生产和销售网络布局。通过在中国与波兰的生产基地布局，公司有效整合资源，确保产量的稳定供给。同时，公司在北京、美国和波兰设有销售团队联动协作，构建了覆盖全球的销售网络，实现产品远销全球三十余个国家和地区，为进一步加强国内外市场拓展打下坚实基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三是技术积累深厚，产品质量过硬。公司在果蔬加工领域的技术积累深厚，研发经验丰富，具备多元化经营基础，为公司新业务探索提供有力支持。同时，公司拥有数十年生产管理经验，产品品质稳定，通过全球多个食品标准认证，为产品畅销海外市场提供坚实的保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lang w:eastAsia="zh-CN"/>
              </w:rPr>
              <w:t>5</w:t>
            </w: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  <w:t>：公司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未来发展方向？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将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在确保现有主营业务稳定运营和领先地位的基础上，依托主业资源与内部优势，把握外部发展机遇，积极探索新的市场、客户、渠道、产品、业务以及新价值链条，从而开辟企业增长新路径，构建“第二增长曲线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应当披露重大信息</w:t>
            </w:r>
          </w:p>
        </w:tc>
        <w:tc>
          <w:tcPr>
            <w:tcW w:w="4062" w:type="pct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附件清单</w:t>
            </w:r>
          </w:p>
        </w:tc>
        <w:tc>
          <w:tcPr>
            <w:tcW w:w="4062" w:type="pc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sz w:val="24"/>
                <w:szCs w:val="24"/>
              </w:rPr>
              <w:t>无</w:t>
            </w: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zUzMWQ4OWI0YzBkYjYzMDRhZTY5ZjZkYmFmYTgifQ=="/>
  </w:docVars>
  <w:rsids>
    <w:rsidRoot w:val="00CB4765"/>
    <w:rsid w:val="00007DAC"/>
    <w:rsid w:val="00011FBF"/>
    <w:rsid w:val="00012853"/>
    <w:rsid w:val="00013919"/>
    <w:rsid w:val="00062F73"/>
    <w:rsid w:val="00072531"/>
    <w:rsid w:val="000A1CBF"/>
    <w:rsid w:val="000A7C99"/>
    <w:rsid w:val="000B3499"/>
    <w:rsid w:val="001137D0"/>
    <w:rsid w:val="001324DF"/>
    <w:rsid w:val="001333BD"/>
    <w:rsid w:val="001B0EEF"/>
    <w:rsid w:val="001B6569"/>
    <w:rsid w:val="001D4915"/>
    <w:rsid w:val="0021367A"/>
    <w:rsid w:val="00226A80"/>
    <w:rsid w:val="00280BA4"/>
    <w:rsid w:val="002877FC"/>
    <w:rsid w:val="002B3CC5"/>
    <w:rsid w:val="002D146B"/>
    <w:rsid w:val="002D1FAC"/>
    <w:rsid w:val="002F3F4B"/>
    <w:rsid w:val="002F7972"/>
    <w:rsid w:val="00356756"/>
    <w:rsid w:val="0039058F"/>
    <w:rsid w:val="0039387A"/>
    <w:rsid w:val="003C0CD8"/>
    <w:rsid w:val="003D37FF"/>
    <w:rsid w:val="003D3979"/>
    <w:rsid w:val="0040617D"/>
    <w:rsid w:val="004B7073"/>
    <w:rsid w:val="004E75D2"/>
    <w:rsid w:val="00500904"/>
    <w:rsid w:val="00526748"/>
    <w:rsid w:val="0053105E"/>
    <w:rsid w:val="00556C49"/>
    <w:rsid w:val="00561714"/>
    <w:rsid w:val="005914DF"/>
    <w:rsid w:val="005B7258"/>
    <w:rsid w:val="005D1692"/>
    <w:rsid w:val="005D61E0"/>
    <w:rsid w:val="005E25BD"/>
    <w:rsid w:val="00635B25"/>
    <w:rsid w:val="006529E0"/>
    <w:rsid w:val="00667FA5"/>
    <w:rsid w:val="00691085"/>
    <w:rsid w:val="006B1B26"/>
    <w:rsid w:val="006C5C0D"/>
    <w:rsid w:val="006D0A7D"/>
    <w:rsid w:val="006E06CB"/>
    <w:rsid w:val="006E30DE"/>
    <w:rsid w:val="006F1502"/>
    <w:rsid w:val="00726ED1"/>
    <w:rsid w:val="00737D38"/>
    <w:rsid w:val="007405C7"/>
    <w:rsid w:val="00766F13"/>
    <w:rsid w:val="007A1E76"/>
    <w:rsid w:val="007C1996"/>
    <w:rsid w:val="007E2974"/>
    <w:rsid w:val="00815D19"/>
    <w:rsid w:val="008256CA"/>
    <w:rsid w:val="00832697"/>
    <w:rsid w:val="00835FA1"/>
    <w:rsid w:val="008378D8"/>
    <w:rsid w:val="00851899"/>
    <w:rsid w:val="00872AC7"/>
    <w:rsid w:val="008A6E03"/>
    <w:rsid w:val="008A7683"/>
    <w:rsid w:val="008B22C7"/>
    <w:rsid w:val="008F203D"/>
    <w:rsid w:val="008F26D5"/>
    <w:rsid w:val="00902E77"/>
    <w:rsid w:val="0090412C"/>
    <w:rsid w:val="00915088"/>
    <w:rsid w:val="009255D0"/>
    <w:rsid w:val="00954F7D"/>
    <w:rsid w:val="00972E5B"/>
    <w:rsid w:val="00977989"/>
    <w:rsid w:val="00980FF0"/>
    <w:rsid w:val="0099132B"/>
    <w:rsid w:val="00992DF2"/>
    <w:rsid w:val="009C3229"/>
    <w:rsid w:val="009C3230"/>
    <w:rsid w:val="009C7787"/>
    <w:rsid w:val="00A25234"/>
    <w:rsid w:val="00A45832"/>
    <w:rsid w:val="00A4765C"/>
    <w:rsid w:val="00A94EBB"/>
    <w:rsid w:val="00AB49E4"/>
    <w:rsid w:val="00AE31F5"/>
    <w:rsid w:val="00AF1FB6"/>
    <w:rsid w:val="00AF6BB7"/>
    <w:rsid w:val="00AF738F"/>
    <w:rsid w:val="00B311A7"/>
    <w:rsid w:val="00B36D24"/>
    <w:rsid w:val="00B47A3D"/>
    <w:rsid w:val="00B47C30"/>
    <w:rsid w:val="00B64C9D"/>
    <w:rsid w:val="00BA041A"/>
    <w:rsid w:val="00BB75D4"/>
    <w:rsid w:val="00BF173E"/>
    <w:rsid w:val="00C42A93"/>
    <w:rsid w:val="00C767D3"/>
    <w:rsid w:val="00C92BB0"/>
    <w:rsid w:val="00CB4765"/>
    <w:rsid w:val="00CC75A3"/>
    <w:rsid w:val="00D20B9A"/>
    <w:rsid w:val="00D267B5"/>
    <w:rsid w:val="00D26E35"/>
    <w:rsid w:val="00D420A6"/>
    <w:rsid w:val="00D63944"/>
    <w:rsid w:val="00D7231F"/>
    <w:rsid w:val="00DC4C92"/>
    <w:rsid w:val="00E003BA"/>
    <w:rsid w:val="00E22684"/>
    <w:rsid w:val="00E50182"/>
    <w:rsid w:val="00E55EFC"/>
    <w:rsid w:val="00E6402B"/>
    <w:rsid w:val="00E709FD"/>
    <w:rsid w:val="00E946E2"/>
    <w:rsid w:val="00E95821"/>
    <w:rsid w:val="00E959F8"/>
    <w:rsid w:val="00EA4DAE"/>
    <w:rsid w:val="00EA7547"/>
    <w:rsid w:val="00ED57A9"/>
    <w:rsid w:val="00EE0F37"/>
    <w:rsid w:val="00EF0210"/>
    <w:rsid w:val="00F043AF"/>
    <w:rsid w:val="00F07D3E"/>
    <w:rsid w:val="00F21E57"/>
    <w:rsid w:val="00F2344B"/>
    <w:rsid w:val="00F25DD5"/>
    <w:rsid w:val="00F8022F"/>
    <w:rsid w:val="00FB18CB"/>
    <w:rsid w:val="00FC796E"/>
    <w:rsid w:val="00FD2500"/>
    <w:rsid w:val="0A5A6000"/>
    <w:rsid w:val="0A76D252"/>
    <w:rsid w:val="2B037E7E"/>
    <w:rsid w:val="3659CD22"/>
    <w:rsid w:val="3FFC5717"/>
    <w:rsid w:val="597BA733"/>
    <w:rsid w:val="5F3C45BE"/>
    <w:rsid w:val="6A0740E0"/>
    <w:rsid w:val="6BFEE918"/>
    <w:rsid w:val="75FBBE17"/>
    <w:rsid w:val="76270383"/>
    <w:rsid w:val="77EF736A"/>
    <w:rsid w:val="7E4FB792"/>
    <w:rsid w:val="7EFF5D4D"/>
    <w:rsid w:val="9B3E6848"/>
    <w:rsid w:val="BBF995BF"/>
    <w:rsid w:val="BF795A03"/>
    <w:rsid w:val="DB3F0630"/>
    <w:rsid w:val="DE7E1DCD"/>
    <w:rsid w:val="E7ED78CA"/>
    <w:rsid w:val="E8D728FB"/>
    <w:rsid w:val="FA7FD636"/>
    <w:rsid w:val="FBF7D4EC"/>
    <w:rsid w:val="FE7CB1E8"/>
    <w:rsid w:val="FEBED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uiPriority w:val="99"/>
  </w:style>
  <w:style w:type="character" w:customStyle="1" w:styleId="15">
    <w:name w:val="批注主题 字符"/>
    <w:basedOn w:val="14"/>
    <w:link w:val="6"/>
    <w:semiHidden/>
    <w:uiPriority w:val="99"/>
    <w:rPr>
      <w:b/>
      <w:bCs/>
    </w:rPr>
  </w:style>
  <w:style w:type="paragraph" w:customStyle="1" w:styleId="16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A5379-BA8E-4D95-A1C5-B7A266F766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1254</Words>
  <Characters>1292</Characters>
  <Lines>2</Lines>
  <Paragraphs>1</Paragraphs>
  <TotalTime>10</TotalTime>
  <ScaleCrop>false</ScaleCrop>
  <LinksUpToDate>false</LinksUpToDate>
  <CharactersWithSpaces>1354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2023-06-14T14:02:00Z</dcterms:created>
  <dc:creator>姚铁龙</dc:creator>
  <cp:lastModifiedBy>刘念</cp:lastModifiedBy>
  <dcterms:modified xsi:type="dcterms:W3CDTF">2024-06-17T07:20:37Z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7E00CA6C766C4626B51E82B6B7AD1379_13</vt:lpwstr>
  </property>
</Properties>
</file>