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51825" w14:textId="77777777" w:rsidR="00760BB9" w:rsidRDefault="00000000">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浙江物产环保能源股份有限公司</w:t>
      </w:r>
    </w:p>
    <w:p w14:paraId="4BEC449E" w14:textId="77777777" w:rsidR="00760BB9" w:rsidRDefault="00000000">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投资者关系活动记录表</w:t>
      </w:r>
    </w:p>
    <w:p w14:paraId="421140EF" w14:textId="77777777" w:rsidR="00760BB9" w:rsidRDefault="00000000">
      <w:pPr>
        <w:spacing w:line="360" w:lineRule="auto"/>
        <w:jc w:val="right"/>
        <w:rPr>
          <w:rFonts w:ascii="宋体" w:hAnsi="宋体" w:cs="宋体"/>
          <w:bCs/>
          <w:iCs/>
          <w:color w:val="000000"/>
          <w:sz w:val="28"/>
          <w:szCs w:val="28"/>
        </w:rPr>
      </w:pPr>
      <w:r>
        <w:rPr>
          <w:rFonts w:ascii="宋体" w:hAnsi="宋体" w:cs="宋体" w:hint="eastAsia"/>
          <w:bCs/>
          <w:iCs/>
          <w:color w:val="000000"/>
          <w:sz w:val="28"/>
          <w:szCs w:val="28"/>
        </w:rPr>
        <w:t>编号：202</w:t>
      </w:r>
      <w:r>
        <w:rPr>
          <w:rFonts w:ascii="宋体" w:hAnsi="宋体" w:cs="宋体"/>
          <w:bCs/>
          <w:iCs/>
          <w:color w:val="000000"/>
          <w:sz w:val="28"/>
          <w:szCs w:val="28"/>
        </w:rPr>
        <w:t>4</w:t>
      </w:r>
      <w:r>
        <w:rPr>
          <w:rFonts w:ascii="宋体" w:hAnsi="宋体" w:cs="宋体" w:hint="eastAsia"/>
          <w:bCs/>
          <w:iCs/>
          <w:color w:val="000000"/>
          <w:sz w:val="28"/>
          <w:szCs w:val="28"/>
        </w:rPr>
        <w:t>-003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760BB9" w14:paraId="3BA8964B" w14:textId="77777777">
        <w:tc>
          <w:tcPr>
            <w:tcW w:w="1908" w:type="dxa"/>
            <w:tcBorders>
              <w:top w:val="single" w:sz="4" w:space="0" w:color="auto"/>
              <w:left w:val="single" w:sz="4" w:space="0" w:color="auto"/>
              <w:bottom w:val="single" w:sz="4" w:space="0" w:color="auto"/>
              <w:right w:val="single" w:sz="4" w:space="0" w:color="auto"/>
            </w:tcBorders>
            <w:vAlign w:val="center"/>
          </w:tcPr>
          <w:p w14:paraId="2AF4DB01"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0E828876" w14:textId="77777777" w:rsidR="00760BB9" w:rsidRDefault="00760BB9">
            <w:pPr>
              <w:spacing w:line="360" w:lineRule="auto"/>
              <w:rPr>
                <w:rFonts w:ascii="宋体" w:hAnsi="宋体" w:cs="宋体"/>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40B9DB34"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分析师会议</w:t>
            </w:r>
          </w:p>
          <w:p w14:paraId="351B268B"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t>□</w:t>
            </w:r>
            <w:r>
              <w:rPr>
                <w:rFonts w:ascii="宋体" w:hAnsi="宋体" w:cs="宋体" w:hint="eastAsia"/>
                <w:color w:val="000000"/>
                <w:sz w:val="24"/>
                <w:szCs w:val="24"/>
              </w:rPr>
              <w:t>业绩说明会</w:t>
            </w:r>
          </w:p>
          <w:p w14:paraId="6DA2755D"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0C7D6CF2" w14:textId="77777777" w:rsidR="00760BB9" w:rsidRDefault="00000000">
            <w:pPr>
              <w:tabs>
                <w:tab w:val="left" w:pos="3045"/>
                <w:tab w:val="center" w:pos="3199"/>
              </w:tabs>
              <w:spacing w:line="360" w:lineRule="auto"/>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42C932A4" w14:textId="77777777" w:rsidR="00760BB9" w:rsidRDefault="00000000">
            <w:pPr>
              <w:tabs>
                <w:tab w:val="center" w:pos="3199"/>
              </w:tabs>
              <w:spacing w:line="360" w:lineRule="auto"/>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r>
              <w:rPr>
                <w:rFonts w:ascii="宋体" w:hAnsi="宋体" w:cs="宋体" w:hint="eastAsia"/>
                <w:color w:val="000000"/>
                <w:sz w:val="24"/>
                <w:szCs w:val="24"/>
                <w:u w:val="single"/>
              </w:rPr>
              <w:t>请文字说明其他活动内容）</w:t>
            </w:r>
          </w:p>
        </w:tc>
      </w:tr>
      <w:tr w:rsidR="00760BB9" w14:paraId="7FAEB229" w14:textId="77777777">
        <w:tc>
          <w:tcPr>
            <w:tcW w:w="1908" w:type="dxa"/>
            <w:tcBorders>
              <w:top w:val="single" w:sz="4" w:space="0" w:color="auto"/>
              <w:left w:val="single" w:sz="4" w:space="0" w:color="auto"/>
              <w:bottom w:val="single" w:sz="4" w:space="0" w:color="auto"/>
              <w:right w:val="single" w:sz="4" w:space="0" w:color="auto"/>
            </w:tcBorders>
            <w:vAlign w:val="center"/>
          </w:tcPr>
          <w:p w14:paraId="4D9A977B"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EB23A87" w14:textId="77777777" w:rsidR="00760BB9" w:rsidRDefault="00760BB9">
            <w:pPr>
              <w:spacing w:line="360" w:lineRule="auto"/>
              <w:rPr>
                <w:rFonts w:ascii="宋体" w:hAnsi="宋体" w:cs="宋体"/>
                <w:bCs/>
                <w:iCs/>
                <w:color w:val="000000"/>
                <w:sz w:val="24"/>
                <w:szCs w:val="24"/>
              </w:rPr>
            </w:pPr>
          </w:p>
          <w:p w14:paraId="567C15A6"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谢瑾贤  华泰证券股份有限公司研究所</w:t>
            </w:r>
          </w:p>
          <w:p w14:paraId="71575B84"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杨  波  台州市创收股权投资有限公司</w:t>
            </w:r>
          </w:p>
          <w:p w14:paraId="3F5ECB78"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姜忠兴  德合勤企业咨询（杭州）有限公司</w:t>
            </w:r>
          </w:p>
          <w:p w14:paraId="32B07F74"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冯浈浈  厦门纵横金鼎私募基金管理有限公司</w:t>
            </w:r>
          </w:p>
          <w:p w14:paraId="38165C35"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倪建成  浙江银万私募基金管理有限公司</w:t>
            </w:r>
          </w:p>
          <w:p w14:paraId="4CDC39A4"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郑怡佳  浙江沣收创业投资有限公司</w:t>
            </w:r>
          </w:p>
          <w:p w14:paraId="379C20FF"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尤筱璐  杭州商冉文化科技有限公司</w:t>
            </w:r>
          </w:p>
          <w:p w14:paraId="7BAA96FF"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张凯天  澳门国际银行股份有限公司杭州分行</w:t>
            </w:r>
          </w:p>
          <w:p w14:paraId="5A6FB5F6"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毕一平  浙江浙经律师事务所</w:t>
            </w:r>
          </w:p>
          <w:p w14:paraId="0AA48BFE"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马  骉  北京启星私募基金管理有限公司</w:t>
            </w:r>
          </w:p>
          <w:p w14:paraId="659B38C8"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郑达伟  海南敦朴私募基金管理有限公司</w:t>
            </w:r>
          </w:p>
          <w:p w14:paraId="0EDE42A0" w14:textId="77777777" w:rsidR="00760BB9" w:rsidRDefault="00760BB9">
            <w:pPr>
              <w:spacing w:line="360" w:lineRule="auto"/>
              <w:rPr>
                <w:rFonts w:ascii="宋体" w:hAnsi="宋体" w:cs="宋体"/>
                <w:bCs/>
                <w:iCs/>
                <w:color w:val="000000"/>
                <w:sz w:val="24"/>
                <w:szCs w:val="24"/>
              </w:rPr>
            </w:pPr>
          </w:p>
        </w:tc>
      </w:tr>
      <w:tr w:rsidR="00760BB9" w14:paraId="747FDE24" w14:textId="77777777">
        <w:tc>
          <w:tcPr>
            <w:tcW w:w="1908" w:type="dxa"/>
            <w:tcBorders>
              <w:top w:val="single" w:sz="4" w:space="0" w:color="auto"/>
              <w:left w:val="single" w:sz="4" w:space="0" w:color="auto"/>
              <w:bottom w:val="single" w:sz="4" w:space="0" w:color="auto"/>
              <w:right w:val="single" w:sz="4" w:space="0" w:color="auto"/>
            </w:tcBorders>
            <w:vAlign w:val="center"/>
          </w:tcPr>
          <w:p w14:paraId="6BF5DE61"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2612972"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202</w:t>
            </w:r>
            <w:r>
              <w:rPr>
                <w:rFonts w:ascii="宋体" w:hAnsi="宋体" w:cs="宋体"/>
                <w:bCs/>
                <w:iCs/>
                <w:color w:val="000000"/>
                <w:sz w:val="24"/>
                <w:szCs w:val="24"/>
              </w:rPr>
              <w:t>4</w:t>
            </w:r>
            <w:r>
              <w:rPr>
                <w:rFonts w:ascii="宋体" w:hAnsi="宋体" w:cs="宋体" w:hint="eastAsia"/>
                <w:bCs/>
                <w:iCs/>
                <w:color w:val="000000"/>
                <w:sz w:val="24"/>
                <w:szCs w:val="24"/>
              </w:rPr>
              <w:t>年6月19日</w:t>
            </w:r>
          </w:p>
        </w:tc>
      </w:tr>
      <w:tr w:rsidR="00760BB9" w14:paraId="2B714361" w14:textId="77777777">
        <w:tc>
          <w:tcPr>
            <w:tcW w:w="1908" w:type="dxa"/>
            <w:tcBorders>
              <w:top w:val="single" w:sz="4" w:space="0" w:color="auto"/>
              <w:left w:val="single" w:sz="4" w:space="0" w:color="auto"/>
              <w:bottom w:val="single" w:sz="4" w:space="0" w:color="auto"/>
              <w:right w:val="single" w:sz="4" w:space="0" w:color="auto"/>
            </w:tcBorders>
            <w:vAlign w:val="center"/>
          </w:tcPr>
          <w:p w14:paraId="687A0236"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2BB3CAA1"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杭州</w:t>
            </w:r>
          </w:p>
        </w:tc>
      </w:tr>
      <w:tr w:rsidR="00760BB9" w14:paraId="3CE390AF" w14:textId="77777777">
        <w:tc>
          <w:tcPr>
            <w:tcW w:w="1908" w:type="dxa"/>
            <w:tcBorders>
              <w:top w:val="single" w:sz="4" w:space="0" w:color="auto"/>
              <w:left w:val="single" w:sz="4" w:space="0" w:color="auto"/>
              <w:bottom w:val="single" w:sz="4" w:space="0" w:color="auto"/>
              <w:right w:val="single" w:sz="4" w:space="0" w:color="auto"/>
            </w:tcBorders>
            <w:vAlign w:val="center"/>
          </w:tcPr>
          <w:p w14:paraId="33329F41"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814513D"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副总经理兼董事会秘书王竹青先生</w:t>
            </w:r>
          </w:p>
          <w:p w14:paraId="7E7D55B7"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总经理助理李廉明先生</w:t>
            </w:r>
          </w:p>
          <w:p w14:paraId="294E5567"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财务总监张健先生</w:t>
            </w:r>
          </w:p>
          <w:p w14:paraId="3D2F1713"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证券事务代表朱磊倩女士</w:t>
            </w:r>
          </w:p>
          <w:p w14:paraId="529518C1" w14:textId="77777777" w:rsidR="00760BB9" w:rsidRDefault="00760BB9">
            <w:pPr>
              <w:spacing w:line="360" w:lineRule="auto"/>
              <w:rPr>
                <w:rFonts w:ascii="宋体" w:hAnsi="宋体" w:cs="宋体"/>
                <w:bCs/>
                <w:iCs/>
                <w:color w:val="000000"/>
                <w:sz w:val="24"/>
                <w:szCs w:val="24"/>
              </w:rPr>
            </w:pPr>
          </w:p>
        </w:tc>
      </w:tr>
      <w:tr w:rsidR="00760BB9" w14:paraId="40541400" w14:textId="77777777">
        <w:tc>
          <w:tcPr>
            <w:tcW w:w="1908" w:type="dxa"/>
            <w:tcBorders>
              <w:top w:val="single" w:sz="4" w:space="0" w:color="auto"/>
              <w:left w:val="single" w:sz="4" w:space="0" w:color="auto"/>
              <w:bottom w:val="single" w:sz="4" w:space="0" w:color="auto"/>
              <w:right w:val="single" w:sz="4" w:space="0" w:color="auto"/>
            </w:tcBorders>
            <w:vAlign w:val="center"/>
          </w:tcPr>
          <w:p w14:paraId="01326AFC"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lastRenderedPageBreak/>
              <w:t>投资者关系活动主要内容介绍</w:t>
            </w:r>
          </w:p>
        </w:tc>
        <w:tc>
          <w:tcPr>
            <w:tcW w:w="6614" w:type="dxa"/>
            <w:tcBorders>
              <w:top w:val="single" w:sz="4" w:space="0" w:color="auto"/>
              <w:left w:val="single" w:sz="4" w:space="0" w:color="auto"/>
              <w:bottom w:val="single" w:sz="4" w:space="0" w:color="auto"/>
              <w:right w:val="single" w:sz="4" w:space="0" w:color="auto"/>
            </w:tcBorders>
            <w:vAlign w:val="center"/>
          </w:tcPr>
          <w:p w14:paraId="063EFE1F" w14:textId="77777777" w:rsidR="00760BB9" w:rsidRDefault="00000000">
            <w:pPr>
              <w:spacing w:line="360" w:lineRule="auto"/>
              <w:rPr>
                <w:rFonts w:ascii="宋体" w:hAnsi="宋体" w:cs="宋体"/>
                <w:bCs/>
                <w:iCs/>
                <w:color w:val="000000"/>
                <w:sz w:val="24"/>
                <w:szCs w:val="24"/>
              </w:rPr>
            </w:pPr>
            <w:r>
              <w:rPr>
                <w:rFonts w:ascii="宋体" w:hAnsi="宋体" w:cs="宋体" w:hint="eastAsia"/>
                <w:b/>
                <w:iCs/>
                <w:color w:val="000000"/>
                <w:sz w:val="24"/>
                <w:szCs w:val="24"/>
              </w:rPr>
              <w:t>问题一：公司如何在煤价波动的情况下，保持毛利相对稳定、业绩较为稳健的？公司煤炭流通业务的销售经营策略是怎样的？</w:t>
            </w:r>
          </w:p>
          <w:p w14:paraId="39A7A40F" w14:textId="75F7B259"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答：煤炭流通业务</w:t>
            </w:r>
            <w:r w:rsidR="00343B53">
              <w:rPr>
                <w:rFonts w:ascii="宋体" w:hAnsi="宋体" w:cs="宋体" w:hint="eastAsia"/>
                <w:bCs/>
                <w:iCs/>
                <w:color w:val="000000"/>
                <w:sz w:val="24"/>
                <w:szCs w:val="24"/>
              </w:rPr>
              <w:t>的</w:t>
            </w:r>
            <w:r>
              <w:rPr>
                <w:rFonts w:ascii="宋体" w:hAnsi="宋体" w:cs="宋体" w:hint="eastAsia"/>
                <w:bCs/>
                <w:iCs/>
                <w:color w:val="000000"/>
                <w:sz w:val="24"/>
                <w:szCs w:val="24"/>
              </w:rPr>
              <w:t>核心是为煤炭终端用户高效配置煤炭资源，包括煤源寻找及组织、煤种调配、物流管理、信息咨询等。公司煤炭流通业务主要采用购销对接模式，严格控制敞口风险。历经74年发展，公司煤炭流通业务积累了以下优势：</w:t>
            </w:r>
          </w:p>
          <w:p w14:paraId="6F4DACA5" w14:textId="3A81FC0A"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1.</w:t>
            </w:r>
            <w:r>
              <w:rPr>
                <w:rFonts w:hint="eastAsia"/>
              </w:rPr>
              <w:t xml:space="preserve"> </w:t>
            </w:r>
            <w:r>
              <w:rPr>
                <w:rFonts w:ascii="宋体" w:hAnsi="宋体" w:cs="宋体" w:hint="eastAsia"/>
                <w:bCs/>
                <w:iCs/>
                <w:color w:val="000000"/>
                <w:sz w:val="24"/>
                <w:szCs w:val="24"/>
              </w:rPr>
              <w:t>规模优势：上市以来，公司煤炭每年销售规模均超过5,000万吨。作为行业最大的参与者之一，得益于规模优势，公司在经营过程中可以通过配煤、筛煤等方式降低经营成本、提升盈利能力</w:t>
            </w:r>
            <w:r w:rsidR="00B72565">
              <w:rPr>
                <w:rFonts w:ascii="宋体" w:hAnsi="宋体" w:cs="宋体" w:hint="eastAsia"/>
                <w:bCs/>
                <w:iCs/>
                <w:color w:val="000000"/>
                <w:sz w:val="24"/>
                <w:szCs w:val="24"/>
              </w:rPr>
              <w:t>，同时</w:t>
            </w:r>
            <w:r>
              <w:rPr>
                <w:rFonts w:ascii="宋体" w:hAnsi="宋体" w:cs="宋体" w:hint="eastAsia"/>
                <w:bCs/>
                <w:iCs/>
                <w:color w:val="000000"/>
                <w:sz w:val="24"/>
                <w:szCs w:val="24"/>
              </w:rPr>
              <w:t>在采购物流服务时有较强的谈判能力</w:t>
            </w:r>
            <w:r w:rsidR="00E27A4C">
              <w:rPr>
                <w:rFonts w:ascii="宋体" w:hAnsi="宋体" w:cs="宋体" w:hint="eastAsia"/>
                <w:bCs/>
                <w:iCs/>
                <w:color w:val="000000"/>
                <w:sz w:val="24"/>
                <w:szCs w:val="24"/>
              </w:rPr>
              <w:t>，</w:t>
            </w:r>
            <w:r>
              <w:rPr>
                <w:rFonts w:ascii="宋体" w:hAnsi="宋体" w:cs="宋体" w:hint="eastAsia"/>
                <w:bCs/>
                <w:iCs/>
                <w:color w:val="000000"/>
                <w:sz w:val="24"/>
                <w:szCs w:val="24"/>
              </w:rPr>
              <w:t>在保障煤炭稳定供应和多样化供应方面</w:t>
            </w:r>
            <w:r w:rsidR="00E27A4C">
              <w:rPr>
                <w:rFonts w:ascii="宋体" w:hAnsi="宋体" w:cs="宋体" w:hint="eastAsia"/>
                <w:bCs/>
                <w:iCs/>
                <w:color w:val="000000"/>
                <w:sz w:val="24"/>
                <w:szCs w:val="24"/>
              </w:rPr>
              <w:t>公司</w:t>
            </w:r>
            <w:r>
              <w:rPr>
                <w:rFonts w:ascii="宋体" w:hAnsi="宋体" w:cs="宋体" w:hint="eastAsia"/>
                <w:bCs/>
                <w:iCs/>
                <w:color w:val="000000"/>
                <w:sz w:val="24"/>
                <w:szCs w:val="24"/>
              </w:rPr>
              <w:t>有着</w:t>
            </w:r>
            <w:r w:rsidR="006E700F">
              <w:rPr>
                <w:rFonts w:ascii="宋体" w:hAnsi="宋体" w:cs="宋体" w:hint="eastAsia"/>
                <w:bCs/>
                <w:iCs/>
                <w:color w:val="000000"/>
                <w:sz w:val="24"/>
                <w:szCs w:val="24"/>
              </w:rPr>
              <w:t>较大</w:t>
            </w:r>
            <w:r>
              <w:rPr>
                <w:rFonts w:ascii="宋体" w:hAnsi="宋体" w:cs="宋体" w:hint="eastAsia"/>
                <w:bCs/>
                <w:iCs/>
                <w:color w:val="000000"/>
                <w:sz w:val="24"/>
                <w:szCs w:val="24"/>
              </w:rPr>
              <w:t>的优势。</w:t>
            </w:r>
          </w:p>
          <w:p w14:paraId="11E524B0" w14:textId="3F327060"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2、煤炭购销综合服务体系优势：公司采用集购分销模式，向上通过集成下游订单实现集中采购，</w:t>
            </w:r>
            <w:r w:rsidR="006E700F">
              <w:rPr>
                <w:rFonts w:ascii="宋体" w:hAnsi="宋体" w:cs="宋体" w:hint="eastAsia"/>
                <w:bCs/>
                <w:iCs/>
                <w:color w:val="000000"/>
                <w:sz w:val="24"/>
                <w:szCs w:val="24"/>
              </w:rPr>
              <w:t>并</w:t>
            </w:r>
            <w:r>
              <w:rPr>
                <w:rFonts w:ascii="宋体" w:hAnsi="宋体" w:cs="宋体" w:hint="eastAsia"/>
                <w:bCs/>
                <w:iCs/>
                <w:color w:val="000000"/>
                <w:sz w:val="24"/>
                <w:szCs w:val="24"/>
              </w:rPr>
              <w:t>积极开拓海内外采购渠道；向下大力开拓终端直接用户，通过配煤加工、物流、信息、配煤等增值服务，增强客户粘性，提高盈利能力。</w:t>
            </w:r>
          </w:p>
          <w:p w14:paraId="1EBD3966" w14:textId="7ADFA901"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3、风控体系优势：公司建立了完善的客户准入、合同签订、业务执行、资金调配等管理体系，并运用信息系统建设、现期结合等工具和途径降低市场波动的</w:t>
            </w:r>
            <w:r w:rsidR="006E700F">
              <w:rPr>
                <w:rFonts w:ascii="宋体" w:hAnsi="宋体" w:cs="宋体" w:hint="eastAsia"/>
                <w:bCs/>
                <w:iCs/>
                <w:color w:val="000000"/>
                <w:sz w:val="24"/>
                <w:szCs w:val="24"/>
              </w:rPr>
              <w:t>影响</w:t>
            </w:r>
            <w:r>
              <w:rPr>
                <w:rFonts w:ascii="宋体" w:hAnsi="宋体" w:cs="宋体" w:hint="eastAsia"/>
                <w:bCs/>
                <w:iCs/>
                <w:color w:val="000000"/>
                <w:sz w:val="24"/>
                <w:szCs w:val="24"/>
              </w:rPr>
              <w:t>。</w:t>
            </w:r>
          </w:p>
          <w:p w14:paraId="5C4FC024" w14:textId="27AEE14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4、资金优势：煤炭流通业务开展存在一定的资金周转周期，需具备一定的资金实力。公司</w:t>
            </w:r>
            <w:r w:rsidR="00EB6C97">
              <w:rPr>
                <w:rFonts w:ascii="宋体" w:hAnsi="宋体" w:cs="宋体" w:hint="eastAsia"/>
                <w:bCs/>
                <w:iCs/>
                <w:color w:val="000000"/>
                <w:sz w:val="24"/>
                <w:szCs w:val="24"/>
              </w:rPr>
              <w:t>现金流充沛，</w:t>
            </w:r>
            <w:r>
              <w:rPr>
                <w:rFonts w:ascii="宋体" w:hAnsi="宋体" w:cs="宋体" w:hint="eastAsia"/>
                <w:bCs/>
                <w:iCs/>
                <w:color w:val="000000"/>
                <w:sz w:val="24"/>
                <w:szCs w:val="24"/>
              </w:rPr>
              <w:t>依托长期稳定的上下游客户资源，打造</w:t>
            </w:r>
            <w:r w:rsidR="00EB6C97">
              <w:rPr>
                <w:rFonts w:ascii="宋体" w:hAnsi="宋体" w:cs="宋体" w:hint="eastAsia"/>
                <w:bCs/>
                <w:iCs/>
                <w:color w:val="000000"/>
                <w:sz w:val="24"/>
                <w:szCs w:val="24"/>
              </w:rPr>
              <w:t>了</w:t>
            </w:r>
            <w:r>
              <w:rPr>
                <w:rFonts w:ascii="宋体" w:hAnsi="宋体" w:cs="宋体" w:hint="eastAsia"/>
                <w:bCs/>
                <w:iCs/>
                <w:color w:val="000000"/>
                <w:sz w:val="24"/>
                <w:szCs w:val="24"/>
              </w:rPr>
              <w:t>高效稳固的供应链集成网络。</w:t>
            </w:r>
          </w:p>
          <w:p w14:paraId="1CA70ACC" w14:textId="77777777" w:rsidR="00760BB9" w:rsidRDefault="00760BB9">
            <w:pPr>
              <w:spacing w:line="360" w:lineRule="auto"/>
              <w:rPr>
                <w:rFonts w:ascii="宋体" w:hAnsi="宋体" w:cs="宋体"/>
                <w:bCs/>
                <w:iCs/>
                <w:color w:val="000000"/>
                <w:sz w:val="24"/>
                <w:szCs w:val="24"/>
              </w:rPr>
            </w:pPr>
          </w:p>
          <w:p w14:paraId="4F5603AF" w14:textId="56CC2BC0" w:rsidR="00760BB9" w:rsidRDefault="00000000">
            <w:pPr>
              <w:spacing w:line="360" w:lineRule="auto"/>
              <w:rPr>
                <w:rFonts w:ascii="宋体" w:hAnsi="宋体" w:cs="宋体"/>
                <w:bCs/>
                <w:iCs/>
                <w:color w:val="000000"/>
                <w:sz w:val="24"/>
                <w:szCs w:val="24"/>
              </w:rPr>
            </w:pPr>
            <w:r>
              <w:rPr>
                <w:rFonts w:ascii="宋体" w:hAnsi="宋体" w:cs="宋体" w:hint="eastAsia"/>
                <w:b/>
                <w:iCs/>
                <w:color w:val="000000"/>
                <w:sz w:val="24"/>
                <w:szCs w:val="24"/>
              </w:rPr>
              <w:t>问题二：</w:t>
            </w:r>
            <w:r w:rsidR="00343B53">
              <w:rPr>
                <w:rFonts w:ascii="宋体" w:hAnsi="宋体" w:cs="宋体" w:hint="eastAsia"/>
                <w:b/>
                <w:iCs/>
                <w:color w:val="000000"/>
                <w:sz w:val="24"/>
                <w:szCs w:val="24"/>
              </w:rPr>
              <w:t>可否</w:t>
            </w:r>
            <w:r>
              <w:rPr>
                <w:rFonts w:ascii="宋体" w:hAnsi="宋体" w:cs="宋体" w:hint="eastAsia"/>
                <w:b/>
                <w:iCs/>
                <w:color w:val="000000"/>
                <w:sz w:val="24"/>
                <w:szCs w:val="24"/>
              </w:rPr>
              <w:t>展望一下接下来煤价及供需情况走势？公司有没有什么应对策略？</w:t>
            </w:r>
          </w:p>
          <w:p w14:paraId="31D826AB" w14:textId="71B73E49"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答：煤炭在较长时期内仍是我国的主体能源，随着一系列保供稳价政策的持续落地，我国煤炭优质产能释放较为充分，预计煤炭价格企稳，煤炭市场供需基本平衡，具体以市场实际表现为准。</w:t>
            </w:r>
          </w:p>
          <w:p w14:paraId="4C503CA5" w14:textId="2316038C"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lastRenderedPageBreak/>
              <w:t xml:space="preserve">    公司将通过多种渠道提升资源获取能力：上游资源方面，通过与煤矿、洗煤厂、集运站等加强合作，进一步提升产业链上游资源获取能力，发挥好境外公司及海外办事处的作用，获取优质境外资源，创新海外业务模式；下游客户方面，加强终端客户开拓力度，稳步提升市场占有率。另外，</w:t>
            </w:r>
            <w:r w:rsidR="0010171F">
              <w:rPr>
                <w:rFonts w:ascii="宋体" w:hAnsi="宋体" w:cs="宋体" w:hint="eastAsia"/>
                <w:bCs/>
                <w:iCs/>
                <w:color w:val="000000"/>
                <w:sz w:val="24"/>
                <w:szCs w:val="24"/>
              </w:rPr>
              <w:t>公司</w:t>
            </w:r>
            <w:r w:rsidR="00343B53">
              <w:rPr>
                <w:rFonts w:ascii="宋体" w:hAnsi="宋体" w:cs="宋体" w:hint="eastAsia"/>
                <w:bCs/>
                <w:iCs/>
                <w:color w:val="000000"/>
                <w:sz w:val="24"/>
                <w:szCs w:val="24"/>
              </w:rPr>
              <w:t>还</w:t>
            </w:r>
            <w:r>
              <w:rPr>
                <w:rFonts w:ascii="宋体" w:hAnsi="宋体" w:cs="宋体" w:hint="eastAsia"/>
                <w:bCs/>
                <w:iCs/>
                <w:color w:val="000000"/>
                <w:sz w:val="24"/>
                <w:szCs w:val="24"/>
              </w:rPr>
              <w:t>积极开展物流转型，逐步提升物流综合解决能力，助力业务降本增效。</w:t>
            </w:r>
          </w:p>
          <w:p w14:paraId="3D336D91" w14:textId="77777777" w:rsidR="00760BB9" w:rsidRDefault="00760BB9">
            <w:pPr>
              <w:spacing w:line="360" w:lineRule="auto"/>
              <w:rPr>
                <w:rFonts w:ascii="宋体" w:hAnsi="宋体" w:cs="宋体"/>
                <w:bCs/>
                <w:iCs/>
                <w:color w:val="000000"/>
                <w:sz w:val="24"/>
                <w:szCs w:val="24"/>
              </w:rPr>
            </w:pPr>
          </w:p>
          <w:p w14:paraId="78FF3587" w14:textId="77777777" w:rsidR="00760BB9" w:rsidRDefault="00000000">
            <w:pPr>
              <w:spacing w:line="360" w:lineRule="auto"/>
              <w:rPr>
                <w:rFonts w:ascii="宋体" w:hAnsi="宋体" w:cs="宋体"/>
                <w:bCs/>
                <w:iCs/>
                <w:color w:val="000000"/>
                <w:sz w:val="24"/>
                <w:szCs w:val="24"/>
              </w:rPr>
            </w:pPr>
            <w:r>
              <w:rPr>
                <w:rFonts w:ascii="宋体" w:hAnsi="宋体" w:cs="宋体" w:hint="eastAsia"/>
                <w:b/>
                <w:iCs/>
                <w:color w:val="000000"/>
                <w:sz w:val="24"/>
                <w:szCs w:val="24"/>
              </w:rPr>
              <w:t>问题三：公司的碳配额情况如何，是否足够覆盖公司的碳排放？</w:t>
            </w:r>
          </w:p>
          <w:p w14:paraId="71B584C9" w14:textId="38EC1358"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碳配额是指按规定必须完成的温室气体减排指标。对公司而言，实现“碳达峰碳中和”是推动高质量发展的内在要求，煤炭的清洁高效利用是实现“双碳”目标的重要途径。公司热电联产业务可通过热电协同、多能互补的业务模式构建多元综合清洁能源供应体系，充分实现煤炭清洁高效利用。</w:t>
            </w:r>
            <w:r w:rsidR="0010171F">
              <w:rPr>
                <w:rFonts w:ascii="宋体" w:hAnsi="宋体" w:cs="宋体" w:hint="eastAsia"/>
                <w:bCs/>
                <w:iCs/>
                <w:color w:val="000000"/>
                <w:sz w:val="24"/>
                <w:szCs w:val="24"/>
              </w:rPr>
              <w:t>公司</w:t>
            </w:r>
            <w:r w:rsidR="00FE23A2" w:rsidRPr="00FE23A2">
              <w:rPr>
                <w:rFonts w:ascii="宋体" w:hAnsi="宋体" w:cs="宋体" w:hint="eastAsia"/>
                <w:bCs/>
                <w:iCs/>
                <w:color w:val="000000"/>
                <w:sz w:val="24"/>
                <w:szCs w:val="24"/>
              </w:rPr>
              <w:t>在之前的两个履约周期中均圆满完成了下属各热电企业的碳排放配额清缴履约工作且有盈余。</w:t>
            </w:r>
          </w:p>
          <w:p w14:paraId="236CA4D2" w14:textId="77777777" w:rsidR="00760BB9" w:rsidRDefault="00760BB9">
            <w:pPr>
              <w:spacing w:line="360" w:lineRule="auto"/>
              <w:rPr>
                <w:rFonts w:ascii="宋体" w:hAnsi="宋体" w:cs="宋体"/>
                <w:bCs/>
                <w:iCs/>
                <w:color w:val="000000"/>
                <w:sz w:val="24"/>
                <w:szCs w:val="24"/>
              </w:rPr>
            </w:pPr>
          </w:p>
          <w:p w14:paraId="19FBE1B6" w14:textId="77777777" w:rsidR="00760BB9" w:rsidRDefault="00000000">
            <w:pPr>
              <w:spacing w:line="360" w:lineRule="auto"/>
              <w:rPr>
                <w:rFonts w:ascii="宋体" w:hAnsi="宋体" w:cs="宋体"/>
                <w:bCs/>
                <w:iCs/>
                <w:color w:val="000000"/>
                <w:sz w:val="24"/>
                <w:szCs w:val="24"/>
              </w:rPr>
            </w:pPr>
            <w:r>
              <w:rPr>
                <w:rFonts w:ascii="宋体" w:hAnsi="宋体" w:cs="宋体" w:hint="eastAsia"/>
                <w:b/>
                <w:iCs/>
                <w:color w:val="000000"/>
                <w:sz w:val="24"/>
                <w:szCs w:val="24"/>
              </w:rPr>
              <w:t>问题四：公司热电联产业务可以为客户提供电力、蒸汽和压缩空气等产品，请问这些产品是如何定价的？</w:t>
            </w:r>
          </w:p>
          <w:p w14:paraId="6F0EB94A" w14:textId="090E980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答：电价按照上网价格统一结算，由政府部门制定</w:t>
            </w:r>
            <w:r w:rsidR="0010171F">
              <w:rPr>
                <w:rFonts w:ascii="宋体" w:hAnsi="宋体" w:cs="宋体" w:hint="eastAsia"/>
                <w:bCs/>
                <w:iCs/>
                <w:color w:val="000000"/>
                <w:sz w:val="24"/>
                <w:szCs w:val="24"/>
              </w:rPr>
              <w:t>管理</w:t>
            </w:r>
            <w:r>
              <w:rPr>
                <w:rFonts w:ascii="宋体" w:hAnsi="宋体" w:cs="宋体" w:hint="eastAsia"/>
                <w:bCs/>
                <w:iCs/>
                <w:color w:val="000000"/>
                <w:sz w:val="24"/>
                <w:szCs w:val="24"/>
              </w:rPr>
              <w:t>；蒸汽价格由政府部门出具指导价格以及调整机制，上游原材料价格波动可通过供热价格调整向下游传导，主要包括煤炭等原料；压缩空气价格由公司和用户依据生产经营成本和市场供求状况等因素协商确定。</w:t>
            </w:r>
          </w:p>
          <w:p w14:paraId="22E7323D" w14:textId="77777777" w:rsidR="00760BB9" w:rsidRDefault="00760BB9">
            <w:pPr>
              <w:spacing w:line="360" w:lineRule="auto"/>
              <w:rPr>
                <w:rFonts w:ascii="宋体" w:hAnsi="宋体" w:cs="宋体"/>
                <w:bCs/>
                <w:iCs/>
                <w:color w:val="000000"/>
                <w:sz w:val="24"/>
                <w:szCs w:val="24"/>
              </w:rPr>
            </w:pPr>
          </w:p>
          <w:p w14:paraId="1A7F066F" w14:textId="4E1AF614" w:rsidR="00760BB9" w:rsidRDefault="00000000">
            <w:pPr>
              <w:spacing w:line="360" w:lineRule="auto"/>
              <w:rPr>
                <w:rFonts w:ascii="宋体" w:hAnsi="宋体" w:cs="宋体"/>
                <w:b/>
                <w:iCs/>
                <w:color w:val="000000"/>
                <w:sz w:val="24"/>
                <w:szCs w:val="24"/>
              </w:rPr>
            </w:pPr>
            <w:r>
              <w:rPr>
                <w:rFonts w:ascii="宋体" w:hAnsi="宋体" w:cs="宋体" w:hint="eastAsia"/>
                <w:b/>
                <w:iCs/>
                <w:color w:val="000000"/>
                <w:sz w:val="24"/>
                <w:szCs w:val="24"/>
              </w:rPr>
              <w:t>问题五：公司热电联产业务的毛利率一直在行业内属于较高水平，主要是什么原因？公司热电联产业务的核心优势是什么？</w:t>
            </w:r>
          </w:p>
          <w:p w14:paraId="1626939D" w14:textId="4BB56A4D" w:rsidR="00760BB9" w:rsidRDefault="00000000" w:rsidP="00810FB1">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答：公司热电联产业务通过高效能的背压机组，实现能量梯级利用，为客户提供电力、蒸汽和压缩空气等产品，同时提</w:t>
            </w:r>
            <w:r>
              <w:rPr>
                <w:rFonts w:ascii="宋体" w:hAnsi="宋体" w:cs="宋体" w:hint="eastAsia"/>
                <w:bCs/>
                <w:iCs/>
                <w:color w:val="000000"/>
                <w:sz w:val="24"/>
                <w:szCs w:val="24"/>
              </w:rPr>
              <w:lastRenderedPageBreak/>
              <w:t>供污泥</w:t>
            </w:r>
            <w:r w:rsidR="00810FB1" w:rsidRPr="00810FB1">
              <w:rPr>
                <w:rFonts w:ascii="宋体" w:hAnsi="宋体" w:cs="宋体" w:hint="eastAsia"/>
                <w:bCs/>
                <w:iCs/>
                <w:color w:val="000000"/>
                <w:sz w:val="24"/>
                <w:szCs w:val="24"/>
              </w:rPr>
              <w:t>、生物质等一般固废处置服务，因此公司热电联产毛利率较高原因有如下几个方面：</w:t>
            </w:r>
          </w:p>
          <w:p w14:paraId="60F9A5DB" w14:textId="10C7E7B8"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1、</w:t>
            </w:r>
            <w:r w:rsidR="00C31101" w:rsidRPr="00C31101">
              <w:rPr>
                <w:rFonts w:ascii="宋体" w:hAnsi="宋体" w:cs="宋体" w:hint="eastAsia"/>
                <w:bCs/>
                <w:iCs/>
                <w:color w:val="000000"/>
                <w:sz w:val="24"/>
                <w:szCs w:val="24"/>
              </w:rPr>
              <w:t>公司蒸汽产品通过煤价联动机制，可以实现稳定的收益。</w:t>
            </w:r>
            <w:r w:rsidR="00C31101">
              <w:rPr>
                <w:rFonts w:ascii="宋体" w:hAnsi="宋体" w:cs="宋体" w:hint="eastAsia"/>
                <w:bCs/>
                <w:iCs/>
                <w:color w:val="000000"/>
                <w:sz w:val="24"/>
                <w:szCs w:val="24"/>
              </w:rPr>
              <w:t>除此之外，</w:t>
            </w:r>
            <w:r w:rsidR="00FA76EB" w:rsidRPr="00FA76EB">
              <w:rPr>
                <w:rFonts w:ascii="宋体" w:hAnsi="宋体" w:cs="宋体" w:hint="eastAsia"/>
                <w:bCs/>
                <w:iCs/>
                <w:color w:val="000000"/>
                <w:sz w:val="24"/>
                <w:szCs w:val="24"/>
              </w:rPr>
              <w:t>一般固废处置</w:t>
            </w:r>
            <w:r w:rsidR="00C31101" w:rsidRPr="00C31101">
              <w:rPr>
                <w:rFonts w:ascii="宋体" w:hAnsi="宋体" w:cs="宋体" w:hint="eastAsia"/>
                <w:bCs/>
                <w:iCs/>
                <w:color w:val="000000"/>
                <w:sz w:val="24"/>
                <w:szCs w:val="24"/>
              </w:rPr>
              <w:t>、压缩空气等</w:t>
            </w:r>
            <w:r w:rsidR="00C31101">
              <w:rPr>
                <w:rFonts w:ascii="宋体" w:hAnsi="宋体" w:cs="宋体" w:hint="eastAsia"/>
                <w:bCs/>
                <w:iCs/>
                <w:color w:val="000000"/>
                <w:sz w:val="24"/>
                <w:szCs w:val="24"/>
              </w:rPr>
              <w:t>也可带来</w:t>
            </w:r>
            <w:r w:rsidR="00D70D80">
              <w:rPr>
                <w:rFonts w:ascii="宋体" w:hAnsi="宋体" w:cs="宋体" w:hint="eastAsia"/>
                <w:bCs/>
                <w:iCs/>
                <w:color w:val="000000"/>
                <w:sz w:val="24"/>
                <w:szCs w:val="24"/>
              </w:rPr>
              <w:t>额外</w:t>
            </w:r>
            <w:r w:rsidR="00C31101">
              <w:rPr>
                <w:rFonts w:ascii="宋体" w:hAnsi="宋体" w:cs="宋体" w:hint="eastAsia"/>
                <w:bCs/>
                <w:iCs/>
                <w:color w:val="000000"/>
                <w:sz w:val="24"/>
                <w:szCs w:val="24"/>
              </w:rPr>
              <w:t>的收益</w:t>
            </w:r>
            <w:r w:rsidR="00C31101" w:rsidRPr="00C31101">
              <w:rPr>
                <w:rFonts w:ascii="宋体" w:hAnsi="宋体" w:cs="宋体" w:hint="eastAsia"/>
                <w:bCs/>
                <w:iCs/>
                <w:color w:val="000000"/>
                <w:sz w:val="24"/>
                <w:szCs w:val="24"/>
              </w:rPr>
              <w:t>，</w:t>
            </w:r>
            <w:r w:rsidR="00C31101">
              <w:rPr>
                <w:rFonts w:ascii="宋体" w:hAnsi="宋体" w:cs="宋体" w:hint="eastAsia"/>
                <w:bCs/>
                <w:iCs/>
                <w:color w:val="000000"/>
                <w:sz w:val="24"/>
                <w:szCs w:val="24"/>
              </w:rPr>
              <w:t>与单一业务</w:t>
            </w:r>
            <w:r w:rsidR="00C31101" w:rsidRPr="00C31101">
              <w:rPr>
                <w:rFonts w:ascii="宋体" w:hAnsi="宋体" w:cs="宋体" w:hint="eastAsia"/>
                <w:bCs/>
                <w:iCs/>
                <w:color w:val="000000"/>
                <w:sz w:val="24"/>
                <w:szCs w:val="24"/>
              </w:rPr>
              <w:t>相比，</w:t>
            </w:r>
            <w:r w:rsidR="00D70D80">
              <w:rPr>
                <w:rFonts w:ascii="宋体" w:hAnsi="宋体" w:cs="宋体" w:hint="eastAsia"/>
                <w:bCs/>
                <w:iCs/>
                <w:color w:val="000000"/>
                <w:sz w:val="24"/>
                <w:szCs w:val="24"/>
              </w:rPr>
              <w:t>公司</w:t>
            </w:r>
            <w:r w:rsidR="00C31101">
              <w:rPr>
                <w:rFonts w:ascii="宋体" w:hAnsi="宋体" w:cs="宋体" w:hint="eastAsia"/>
                <w:bCs/>
                <w:iCs/>
                <w:color w:val="000000"/>
                <w:sz w:val="24"/>
                <w:szCs w:val="24"/>
              </w:rPr>
              <w:t>产品</w:t>
            </w:r>
            <w:r w:rsidR="00FA76EB">
              <w:rPr>
                <w:rFonts w:ascii="宋体" w:hAnsi="宋体" w:cs="宋体" w:hint="eastAsia"/>
                <w:bCs/>
                <w:iCs/>
                <w:color w:val="000000"/>
                <w:sz w:val="24"/>
                <w:szCs w:val="24"/>
              </w:rPr>
              <w:t>和服务</w:t>
            </w:r>
            <w:r w:rsidR="00C31101" w:rsidRPr="00C31101">
              <w:rPr>
                <w:rFonts w:ascii="宋体" w:hAnsi="宋体" w:cs="宋体" w:hint="eastAsia"/>
                <w:bCs/>
                <w:iCs/>
                <w:color w:val="000000"/>
                <w:sz w:val="24"/>
                <w:szCs w:val="24"/>
              </w:rPr>
              <w:t>更加丰富，</w:t>
            </w:r>
            <w:r w:rsidR="00C31101">
              <w:rPr>
                <w:rFonts w:ascii="宋体" w:hAnsi="宋体" w:cs="宋体" w:hint="eastAsia"/>
                <w:bCs/>
                <w:iCs/>
                <w:color w:val="000000"/>
                <w:sz w:val="24"/>
                <w:szCs w:val="24"/>
              </w:rPr>
              <w:t>可以为客户</w:t>
            </w:r>
            <w:r w:rsidR="00C31101" w:rsidRPr="00C31101">
              <w:rPr>
                <w:rFonts w:ascii="宋体" w:hAnsi="宋体" w:cs="宋体" w:hint="eastAsia"/>
                <w:bCs/>
                <w:iCs/>
                <w:color w:val="000000"/>
                <w:sz w:val="24"/>
                <w:szCs w:val="24"/>
              </w:rPr>
              <w:t>提供更多附加值</w:t>
            </w:r>
            <w:r w:rsidR="00C31101">
              <w:rPr>
                <w:rFonts w:ascii="宋体" w:hAnsi="宋体" w:cs="宋体" w:hint="eastAsia"/>
                <w:bCs/>
                <w:iCs/>
                <w:color w:val="000000"/>
                <w:sz w:val="24"/>
                <w:szCs w:val="24"/>
              </w:rPr>
              <w:t>。</w:t>
            </w:r>
          </w:p>
          <w:p w14:paraId="51C31163" w14:textId="4F638902" w:rsidR="00760BB9" w:rsidRDefault="00C31101">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2、公司采取能源贸易+能源实业双轮驱动模式，热电厂的煤炭由公司集中供应，在</w:t>
            </w:r>
            <w:r w:rsidR="00D70D80">
              <w:rPr>
                <w:rFonts w:ascii="宋体" w:hAnsi="宋体" w:cs="宋体" w:hint="eastAsia"/>
                <w:bCs/>
                <w:iCs/>
                <w:color w:val="000000"/>
                <w:sz w:val="24"/>
                <w:szCs w:val="24"/>
              </w:rPr>
              <w:t>成本</w:t>
            </w:r>
            <w:r>
              <w:rPr>
                <w:rFonts w:ascii="宋体" w:hAnsi="宋体" w:cs="宋体" w:hint="eastAsia"/>
                <w:bCs/>
                <w:iCs/>
                <w:color w:val="000000"/>
                <w:sz w:val="24"/>
                <w:szCs w:val="24"/>
              </w:rPr>
              <w:t>上</w:t>
            </w:r>
            <w:r w:rsidR="00D70D80">
              <w:rPr>
                <w:rFonts w:ascii="宋体" w:hAnsi="宋体" w:cs="宋体" w:hint="eastAsia"/>
                <w:bCs/>
                <w:iCs/>
                <w:color w:val="000000"/>
                <w:sz w:val="24"/>
                <w:szCs w:val="24"/>
              </w:rPr>
              <w:t>更具备</w:t>
            </w:r>
            <w:r>
              <w:rPr>
                <w:rFonts w:ascii="宋体" w:hAnsi="宋体" w:cs="宋体" w:hint="eastAsia"/>
                <w:bCs/>
                <w:iCs/>
                <w:color w:val="000000"/>
                <w:sz w:val="24"/>
                <w:szCs w:val="24"/>
              </w:rPr>
              <w:t>优势；</w:t>
            </w:r>
          </w:p>
          <w:p w14:paraId="437EE6EB" w14:textId="32939F4C" w:rsidR="00760BB9" w:rsidRDefault="00C31101">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3、</w:t>
            </w:r>
            <w:r w:rsidR="004742DD">
              <w:rPr>
                <w:rFonts w:ascii="宋体" w:hAnsi="宋体" w:cs="宋体" w:hint="eastAsia"/>
                <w:bCs/>
                <w:iCs/>
                <w:color w:val="000000"/>
                <w:sz w:val="24"/>
                <w:szCs w:val="24"/>
              </w:rPr>
              <w:t>公司</w:t>
            </w:r>
            <w:r>
              <w:rPr>
                <w:rFonts w:ascii="宋体" w:hAnsi="宋体" w:cs="宋体" w:hint="eastAsia"/>
                <w:bCs/>
                <w:iCs/>
                <w:color w:val="000000"/>
                <w:sz w:val="24"/>
                <w:szCs w:val="24"/>
              </w:rPr>
              <w:t>注重精细化管理，</w:t>
            </w:r>
            <w:r w:rsidR="00D70D80">
              <w:rPr>
                <w:rFonts w:ascii="宋体" w:hAnsi="宋体" w:cs="宋体" w:hint="eastAsia"/>
                <w:bCs/>
                <w:iCs/>
                <w:color w:val="000000"/>
                <w:sz w:val="24"/>
                <w:szCs w:val="24"/>
              </w:rPr>
              <w:t>不断</w:t>
            </w:r>
            <w:r>
              <w:rPr>
                <w:rFonts w:ascii="宋体" w:hAnsi="宋体" w:cs="宋体" w:hint="eastAsia"/>
                <w:bCs/>
                <w:iCs/>
                <w:color w:val="000000"/>
                <w:sz w:val="24"/>
                <w:szCs w:val="24"/>
              </w:rPr>
              <w:t>提升运行效能</w:t>
            </w:r>
            <w:r w:rsidR="00D70D80">
              <w:rPr>
                <w:rFonts w:ascii="宋体" w:hAnsi="宋体" w:cs="宋体" w:hint="eastAsia"/>
                <w:bCs/>
                <w:iCs/>
                <w:color w:val="000000"/>
                <w:sz w:val="24"/>
                <w:szCs w:val="24"/>
              </w:rPr>
              <w:t>、</w:t>
            </w:r>
            <w:r>
              <w:rPr>
                <w:rFonts w:ascii="宋体" w:hAnsi="宋体" w:cs="宋体" w:hint="eastAsia"/>
                <w:bCs/>
                <w:iCs/>
                <w:color w:val="000000"/>
                <w:sz w:val="24"/>
                <w:szCs w:val="24"/>
              </w:rPr>
              <w:t>降本增效。</w:t>
            </w:r>
          </w:p>
          <w:p w14:paraId="766DAB0C" w14:textId="057F3BB4"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热电联产领域，公司技术优势明显，其中燃煤机组超低排放改造和运营技术在行业内处于领先地位，在污泥焚烧综合利用、生物质焚烧发电等方面具有先发优势，取得大量创新成果，屡获省内外殊荣。</w:t>
            </w:r>
          </w:p>
          <w:p w14:paraId="6847D7DA" w14:textId="73A4DF72"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此外，为力争热电外延发展突破，公司持续推进熔盐储热、废轮胎橡胶高值转化和废光伏组件资源化回收等一系列技术创新产业化项目落地，以科技创新服务公司高质量绿色发展。</w:t>
            </w:r>
          </w:p>
          <w:p w14:paraId="2730C700" w14:textId="77777777" w:rsidR="00760BB9" w:rsidRDefault="00760BB9">
            <w:pPr>
              <w:spacing w:line="360" w:lineRule="auto"/>
              <w:rPr>
                <w:rFonts w:ascii="宋体" w:hAnsi="宋体" w:cs="宋体"/>
                <w:bCs/>
                <w:iCs/>
                <w:color w:val="000000"/>
                <w:sz w:val="24"/>
                <w:szCs w:val="24"/>
              </w:rPr>
            </w:pPr>
          </w:p>
          <w:p w14:paraId="154F07B2" w14:textId="77777777" w:rsidR="00760BB9" w:rsidRDefault="00000000">
            <w:pPr>
              <w:spacing w:line="360" w:lineRule="auto"/>
              <w:rPr>
                <w:rFonts w:ascii="宋体" w:hAnsi="宋体" w:cs="宋体"/>
                <w:bCs/>
                <w:iCs/>
                <w:color w:val="000000"/>
                <w:sz w:val="24"/>
                <w:szCs w:val="24"/>
              </w:rPr>
            </w:pPr>
            <w:r>
              <w:rPr>
                <w:rFonts w:ascii="宋体" w:hAnsi="宋体" w:cs="宋体" w:hint="eastAsia"/>
                <w:b/>
                <w:iCs/>
                <w:color w:val="000000"/>
                <w:sz w:val="24"/>
                <w:szCs w:val="24"/>
              </w:rPr>
              <w:t>问题六：在热电联产领域，公司未来有没有规划更多项目布局或者并购计划？</w:t>
            </w:r>
          </w:p>
          <w:p w14:paraId="13E6F017" w14:textId="7777777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未来，公司热电联产业务在自身挖潜与释放产能的基础上，朝着绿色化、低碳化和智能化的方向转型升级。围绕双碳目标，从单一能源利用向低碳燃料-太阳能-储能多能耦合热电联产技术方向转型发展，从传统热电向热、电、气、冷等多种能源产品综合服务方向转型发展，从能源消耗向固废处置资源综合利用方向转型发展，探索“煤电+储能+固废”耦合热、电、气、冷联供的热电联产新模式，构建智慧电厂与虚拟电厂，将公司热电联产打造成为园区绿色低碳发展的多能联供综合能源中心与资源综合利用中心。</w:t>
            </w:r>
          </w:p>
          <w:p w14:paraId="1D954D38" w14:textId="15ABB043" w:rsidR="00760BB9" w:rsidRDefault="004742DD">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此外，</w:t>
            </w:r>
            <w:r w:rsidR="00000000">
              <w:rPr>
                <w:rFonts w:ascii="宋体" w:hAnsi="宋体" w:cs="宋体" w:hint="eastAsia"/>
                <w:bCs/>
                <w:iCs/>
                <w:color w:val="000000"/>
                <w:sz w:val="24"/>
                <w:szCs w:val="24"/>
              </w:rPr>
              <w:t>公司也</w:t>
            </w:r>
            <w:r w:rsidR="0044576A">
              <w:rPr>
                <w:rFonts w:ascii="宋体" w:hAnsi="宋体" w:cs="宋体" w:hint="eastAsia"/>
                <w:bCs/>
                <w:iCs/>
                <w:color w:val="000000"/>
                <w:sz w:val="24"/>
                <w:szCs w:val="24"/>
              </w:rPr>
              <w:t>在</w:t>
            </w:r>
            <w:r w:rsidR="00000000">
              <w:rPr>
                <w:rFonts w:ascii="宋体" w:hAnsi="宋体" w:cs="宋体" w:hint="eastAsia"/>
                <w:bCs/>
                <w:iCs/>
                <w:color w:val="000000"/>
                <w:sz w:val="24"/>
                <w:szCs w:val="24"/>
              </w:rPr>
              <w:t>积极寻求外部优质项目，充分挖掘外延式</w:t>
            </w:r>
            <w:r w:rsidR="00000000">
              <w:rPr>
                <w:rFonts w:ascii="宋体" w:hAnsi="宋体" w:cs="宋体" w:hint="eastAsia"/>
                <w:bCs/>
                <w:iCs/>
                <w:color w:val="000000"/>
                <w:sz w:val="24"/>
                <w:szCs w:val="24"/>
              </w:rPr>
              <w:lastRenderedPageBreak/>
              <w:t>发展可能性，为公司可持续高质量发展提供动能。</w:t>
            </w:r>
          </w:p>
          <w:p w14:paraId="03C00CED" w14:textId="77777777" w:rsidR="00760BB9" w:rsidRDefault="00760BB9">
            <w:pPr>
              <w:spacing w:line="360" w:lineRule="auto"/>
              <w:rPr>
                <w:rFonts w:ascii="宋体" w:hAnsi="宋体" w:cs="宋体"/>
                <w:bCs/>
                <w:iCs/>
                <w:color w:val="000000"/>
                <w:sz w:val="24"/>
                <w:szCs w:val="24"/>
              </w:rPr>
            </w:pPr>
          </w:p>
          <w:p w14:paraId="79BCA0AF" w14:textId="77777777" w:rsidR="00760BB9" w:rsidRDefault="00000000">
            <w:pPr>
              <w:spacing w:line="360" w:lineRule="auto"/>
              <w:rPr>
                <w:rFonts w:ascii="宋体" w:hAnsi="宋体" w:cs="宋体"/>
                <w:b/>
                <w:iCs/>
                <w:color w:val="000000"/>
                <w:sz w:val="24"/>
                <w:szCs w:val="24"/>
              </w:rPr>
            </w:pPr>
            <w:r>
              <w:rPr>
                <w:rFonts w:ascii="宋体" w:hAnsi="宋体" w:cs="宋体" w:hint="eastAsia"/>
                <w:b/>
                <w:iCs/>
                <w:color w:val="000000"/>
                <w:sz w:val="24"/>
                <w:szCs w:val="24"/>
              </w:rPr>
              <w:t>问题七、公司在新能源的业务布局上，目前重心放在哪里，进展如何？</w:t>
            </w:r>
          </w:p>
          <w:p w14:paraId="546D4971" w14:textId="130026A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答：公司在新能源业务领域重点推进以熔盐储能为核心的新型储能产业链，以</w:t>
            </w:r>
            <w:r w:rsidR="00ED520A">
              <w:rPr>
                <w:rFonts w:ascii="宋体" w:hAnsi="宋体" w:cs="宋体" w:hint="eastAsia"/>
                <w:bCs/>
                <w:iCs/>
                <w:color w:val="000000"/>
                <w:sz w:val="24"/>
                <w:szCs w:val="24"/>
              </w:rPr>
              <w:t>光伏、</w:t>
            </w:r>
            <w:r>
              <w:rPr>
                <w:rFonts w:ascii="宋体" w:hAnsi="宋体" w:cs="宋体" w:hint="eastAsia"/>
                <w:bCs/>
                <w:iCs/>
                <w:color w:val="000000"/>
                <w:sz w:val="24"/>
                <w:szCs w:val="24"/>
              </w:rPr>
              <w:t>电化学储能为核心的光储充一体化产业链以及以重卡换电为核心的绿色智慧物流产业链。</w:t>
            </w:r>
          </w:p>
          <w:p w14:paraId="517DA8D3" w14:textId="4F35FD76"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熔盐储能业务方面，公司重点推进熔盐储能技术服务，并提供新型储能投资及EPC总承包服务。其中，公司多能耦合智慧低碳供能示范项目（2023年6月开工），已成功入选浙江省科技厅2023年度“尖兵”研发攻关计划项目和浙江省“十四五”新型储能示范项目。</w:t>
            </w:r>
          </w:p>
          <w:p w14:paraId="5CC2922C" w14:textId="7777777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在光储充一体化业务方面，公司积极开发分布式储能、分布式光伏项目，投建电池PACK模组产线。公司年产2GWh新型储能产品智能生产线已于2024年1月竣工运行，致力于打造全球领先的核电级安全分布式储能与智能电网系统方案提供商与核心设备供应商。</w:t>
            </w:r>
          </w:p>
          <w:p w14:paraId="2F6E94ED" w14:textId="77777777" w:rsidR="00760BB9" w:rsidRDefault="00000000">
            <w:pPr>
              <w:spacing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在绿色智慧物流业务方面，公司深入探索物流运输场景，推广重卡换电业务。</w:t>
            </w:r>
          </w:p>
        </w:tc>
      </w:tr>
      <w:tr w:rsidR="00760BB9" w14:paraId="25B31FA6" w14:textId="77777777">
        <w:tc>
          <w:tcPr>
            <w:tcW w:w="1908" w:type="dxa"/>
            <w:tcBorders>
              <w:top w:val="single" w:sz="4" w:space="0" w:color="auto"/>
              <w:left w:val="single" w:sz="4" w:space="0" w:color="auto"/>
              <w:bottom w:val="single" w:sz="4" w:space="0" w:color="auto"/>
              <w:right w:val="single" w:sz="4" w:space="0" w:color="auto"/>
            </w:tcBorders>
            <w:vAlign w:val="center"/>
          </w:tcPr>
          <w:p w14:paraId="74901DE9"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57D872A6"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无</w:t>
            </w:r>
          </w:p>
        </w:tc>
      </w:tr>
      <w:tr w:rsidR="00760BB9" w14:paraId="47860C28" w14:textId="77777777">
        <w:tc>
          <w:tcPr>
            <w:tcW w:w="1908" w:type="dxa"/>
            <w:tcBorders>
              <w:top w:val="single" w:sz="4" w:space="0" w:color="auto"/>
              <w:left w:val="single" w:sz="4" w:space="0" w:color="auto"/>
              <w:bottom w:val="single" w:sz="4" w:space="0" w:color="auto"/>
              <w:right w:val="single" w:sz="4" w:space="0" w:color="auto"/>
            </w:tcBorders>
            <w:vAlign w:val="center"/>
          </w:tcPr>
          <w:p w14:paraId="63D1F8DF"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09456D7D" w14:textId="77777777" w:rsidR="00760BB9" w:rsidRDefault="00000000">
            <w:pPr>
              <w:spacing w:line="360" w:lineRule="auto"/>
              <w:rPr>
                <w:rFonts w:ascii="宋体" w:hAnsi="宋体" w:cs="宋体"/>
                <w:bCs/>
                <w:iCs/>
                <w:color w:val="000000"/>
                <w:sz w:val="24"/>
                <w:szCs w:val="24"/>
              </w:rPr>
            </w:pPr>
            <w:r>
              <w:rPr>
                <w:rFonts w:ascii="宋体" w:hAnsi="宋体" w:cs="宋体" w:hint="eastAsia"/>
                <w:bCs/>
                <w:iCs/>
                <w:color w:val="000000"/>
                <w:sz w:val="24"/>
                <w:szCs w:val="24"/>
              </w:rPr>
              <w:t>202</w:t>
            </w:r>
            <w:r>
              <w:rPr>
                <w:rFonts w:ascii="宋体" w:hAnsi="宋体" w:cs="宋体"/>
                <w:bCs/>
                <w:iCs/>
                <w:color w:val="000000"/>
                <w:sz w:val="24"/>
                <w:szCs w:val="24"/>
              </w:rPr>
              <w:t>4</w:t>
            </w:r>
            <w:r>
              <w:rPr>
                <w:rFonts w:ascii="宋体" w:hAnsi="宋体" w:cs="宋体" w:hint="eastAsia"/>
                <w:bCs/>
                <w:iCs/>
                <w:color w:val="000000"/>
                <w:sz w:val="24"/>
                <w:szCs w:val="24"/>
              </w:rPr>
              <w:t>年6月19日</w:t>
            </w:r>
          </w:p>
        </w:tc>
      </w:tr>
    </w:tbl>
    <w:p w14:paraId="7C8D39C3" w14:textId="77777777" w:rsidR="00760BB9" w:rsidRDefault="00760BB9">
      <w:pPr>
        <w:spacing w:line="360" w:lineRule="auto"/>
        <w:rPr>
          <w:rFonts w:ascii="宋体" w:hAnsi="宋体" w:cs="宋体"/>
          <w:bCs/>
          <w:iCs/>
          <w:color w:val="000000"/>
          <w:sz w:val="24"/>
          <w:szCs w:val="24"/>
        </w:rPr>
      </w:pPr>
    </w:p>
    <w:sectPr w:rsidR="00760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5ODM0YmMxOWJiYWQyNDU4MGIzYWRmYTA0ZmI5NDcifQ=="/>
    <w:docVar w:name="KSO_WPS_MARK_KEY" w:val="2a5ba456-d3ac-4942-9e03-5f3fdf703e42"/>
  </w:docVars>
  <w:rsids>
    <w:rsidRoot w:val="00AF3429"/>
    <w:rsid w:val="000139A6"/>
    <w:rsid w:val="00021F66"/>
    <w:rsid w:val="0003322B"/>
    <w:rsid w:val="00063917"/>
    <w:rsid w:val="000945F5"/>
    <w:rsid w:val="000A402C"/>
    <w:rsid w:val="000A410E"/>
    <w:rsid w:val="000B201E"/>
    <w:rsid w:val="000C0FD8"/>
    <w:rsid w:val="000C32BC"/>
    <w:rsid w:val="000D47B2"/>
    <w:rsid w:val="000E09EF"/>
    <w:rsid w:val="0010138D"/>
    <w:rsid w:val="0010171F"/>
    <w:rsid w:val="00114BFA"/>
    <w:rsid w:val="001219DD"/>
    <w:rsid w:val="00122901"/>
    <w:rsid w:val="00134A52"/>
    <w:rsid w:val="001613BA"/>
    <w:rsid w:val="00170747"/>
    <w:rsid w:val="001713D0"/>
    <w:rsid w:val="001716B7"/>
    <w:rsid w:val="001739D2"/>
    <w:rsid w:val="001B2DD9"/>
    <w:rsid w:val="001D10E0"/>
    <w:rsid w:val="001E10AB"/>
    <w:rsid w:val="001F08C9"/>
    <w:rsid w:val="002013D0"/>
    <w:rsid w:val="00202EA0"/>
    <w:rsid w:val="002047DC"/>
    <w:rsid w:val="002411D3"/>
    <w:rsid w:val="00261267"/>
    <w:rsid w:val="002A5AAE"/>
    <w:rsid w:val="002C3606"/>
    <w:rsid w:val="002C784E"/>
    <w:rsid w:val="002D12B1"/>
    <w:rsid w:val="002D418E"/>
    <w:rsid w:val="002F478A"/>
    <w:rsid w:val="00301ACD"/>
    <w:rsid w:val="00304C79"/>
    <w:rsid w:val="00334E5F"/>
    <w:rsid w:val="00340151"/>
    <w:rsid w:val="00343A85"/>
    <w:rsid w:val="00343B53"/>
    <w:rsid w:val="00362FA3"/>
    <w:rsid w:val="00366D7E"/>
    <w:rsid w:val="0037597E"/>
    <w:rsid w:val="003777DB"/>
    <w:rsid w:val="00394CDE"/>
    <w:rsid w:val="003A3F47"/>
    <w:rsid w:val="003A532A"/>
    <w:rsid w:val="003B0B08"/>
    <w:rsid w:val="003C2AD7"/>
    <w:rsid w:val="003D2B7E"/>
    <w:rsid w:val="003D6607"/>
    <w:rsid w:val="003D7A91"/>
    <w:rsid w:val="003F4626"/>
    <w:rsid w:val="003F6691"/>
    <w:rsid w:val="004017C4"/>
    <w:rsid w:val="00405439"/>
    <w:rsid w:val="004073CF"/>
    <w:rsid w:val="0044561B"/>
    <w:rsid w:val="0044576A"/>
    <w:rsid w:val="0046463F"/>
    <w:rsid w:val="00466F37"/>
    <w:rsid w:val="004742D2"/>
    <w:rsid w:val="004742DD"/>
    <w:rsid w:val="004A551E"/>
    <w:rsid w:val="004C5CA2"/>
    <w:rsid w:val="004C6FCE"/>
    <w:rsid w:val="004D0531"/>
    <w:rsid w:val="004D3BBF"/>
    <w:rsid w:val="004D576A"/>
    <w:rsid w:val="00511CB2"/>
    <w:rsid w:val="0052022A"/>
    <w:rsid w:val="00521420"/>
    <w:rsid w:val="005268C9"/>
    <w:rsid w:val="00526F12"/>
    <w:rsid w:val="0055110E"/>
    <w:rsid w:val="005717BF"/>
    <w:rsid w:val="00576815"/>
    <w:rsid w:val="00582CB8"/>
    <w:rsid w:val="00583E13"/>
    <w:rsid w:val="005B1D43"/>
    <w:rsid w:val="005D0592"/>
    <w:rsid w:val="005D268C"/>
    <w:rsid w:val="005D7B93"/>
    <w:rsid w:val="005E3E04"/>
    <w:rsid w:val="005F3A12"/>
    <w:rsid w:val="006030B1"/>
    <w:rsid w:val="0063544F"/>
    <w:rsid w:val="00645FA9"/>
    <w:rsid w:val="006827E0"/>
    <w:rsid w:val="00695F25"/>
    <w:rsid w:val="006A534A"/>
    <w:rsid w:val="006B44ED"/>
    <w:rsid w:val="006D11AE"/>
    <w:rsid w:val="006D21BA"/>
    <w:rsid w:val="006D4037"/>
    <w:rsid w:val="006D5E00"/>
    <w:rsid w:val="006E700F"/>
    <w:rsid w:val="00704F16"/>
    <w:rsid w:val="0070743B"/>
    <w:rsid w:val="0071652D"/>
    <w:rsid w:val="00724276"/>
    <w:rsid w:val="007457C3"/>
    <w:rsid w:val="00747ABB"/>
    <w:rsid w:val="0075496E"/>
    <w:rsid w:val="0076098E"/>
    <w:rsid w:val="00760BB9"/>
    <w:rsid w:val="00761137"/>
    <w:rsid w:val="00762936"/>
    <w:rsid w:val="007671F9"/>
    <w:rsid w:val="007711A4"/>
    <w:rsid w:val="007A6BF5"/>
    <w:rsid w:val="007B7A3D"/>
    <w:rsid w:val="007E37D7"/>
    <w:rsid w:val="007F2CB4"/>
    <w:rsid w:val="00810FB1"/>
    <w:rsid w:val="00814AAD"/>
    <w:rsid w:val="0082434F"/>
    <w:rsid w:val="008322D7"/>
    <w:rsid w:val="00851504"/>
    <w:rsid w:val="00851783"/>
    <w:rsid w:val="00884B72"/>
    <w:rsid w:val="00885A1E"/>
    <w:rsid w:val="00885FA0"/>
    <w:rsid w:val="008A1001"/>
    <w:rsid w:val="008A1E0B"/>
    <w:rsid w:val="008C638A"/>
    <w:rsid w:val="008D53D8"/>
    <w:rsid w:val="0090100B"/>
    <w:rsid w:val="00911DC5"/>
    <w:rsid w:val="00924DCE"/>
    <w:rsid w:val="00963525"/>
    <w:rsid w:val="00963E9E"/>
    <w:rsid w:val="00971084"/>
    <w:rsid w:val="009762A8"/>
    <w:rsid w:val="00990043"/>
    <w:rsid w:val="009A1AF8"/>
    <w:rsid w:val="009A39E6"/>
    <w:rsid w:val="009A6802"/>
    <w:rsid w:val="009B6291"/>
    <w:rsid w:val="009C2569"/>
    <w:rsid w:val="009D0C7A"/>
    <w:rsid w:val="009F2442"/>
    <w:rsid w:val="00A11CD0"/>
    <w:rsid w:val="00A13380"/>
    <w:rsid w:val="00A21C7E"/>
    <w:rsid w:val="00A35BC0"/>
    <w:rsid w:val="00A4240C"/>
    <w:rsid w:val="00A4487E"/>
    <w:rsid w:val="00A53FF5"/>
    <w:rsid w:val="00A611F1"/>
    <w:rsid w:val="00A6351A"/>
    <w:rsid w:val="00A836A0"/>
    <w:rsid w:val="00A865E8"/>
    <w:rsid w:val="00AC2795"/>
    <w:rsid w:val="00AD0694"/>
    <w:rsid w:val="00AD1560"/>
    <w:rsid w:val="00AE5E2B"/>
    <w:rsid w:val="00AF3429"/>
    <w:rsid w:val="00AF7C4D"/>
    <w:rsid w:val="00B10831"/>
    <w:rsid w:val="00B226EB"/>
    <w:rsid w:val="00B26897"/>
    <w:rsid w:val="00B32E1B"/>
    <w:rsid w:val="00B42D09"/>
    <w:rsid w:val="00B66010"/>
    <w:rsid w:val="00B72565"/>
    <w:rsid w:val="00B8593E"/>
    <w:rsid w:val="00BB13AD"/>
    <w:rsid w:val="00BC531C"/>
    <w:rsid w:val="00BC5A1E"/>
    <w:rsid w:val="00C115E2"/>
    <w:rsid w:val="00C12E19"/>
    <w:rsid w:val="00C16A9E"/>
    <w:rsid w:val="00C23E87"/>
    <w:rsid w:val="00C26992"/>
    <w:rsid w:val="00C26B96"/>
    <w:rsid w:val="00C31101"/>
    <w:rsid w:val="00C51DC6"/>
    <w:rsid w:val="00C5688B"/>
    <w:rsid w:val="00C86EDD"/>
    <w:rsid w:val="00CA0C8E"/>
    <w:rsid w:val="00CA5F26"/>
    <w:rsid w:val="00CB394E"/>
    <w:rsid w:val="00CB75B6"/>
    <w:rsid w:val="00CD5FB0"/>
    <w:rsid w:val="00D03AB8"/>
    <w:rsid w:val="00D0616A"/>
    <w:rsid w:val="00D24F2B"/>
    <w:rsid w:val="00D50256"/>
    <w:rsid w:val="00D5108A"/>
    <w:rsid w:val="00D51F29"/>
    <w:rsid w:val="00D70D80"/>
    <w:rsid w:val="00D82C39"/>
    <w:rsid w:val="00D91B0E"/>
    <w:rsid w:val="00DA5F65"/>
    <w:rsid w:val="00DB2A6B"/>
    <w:rsid w:val="00DC4487"/>
    <w:rsid w:val="00DC509C"/>
    <w:rsid w:val="00E01B83"/>
    <w:rsid w:val="00E11E52"/>
    <w:rsid w:val="00E1717A"/>
    <w:rsid w:val="00E27A4C"/>
    <w:rsid w:val="00E36D6B"/>
    <w:rsid w:val="00E46A4B"/>
    <w:rsid w:val="00E57415"/>
    <w:rsid w:val="00EB315B"/>
    <w:rsid w:val="00EB5069"/>
    <w:rsid w:val="00EB6C97"/>
    <w:rsid w:val="00EC4D02"/>
    <w:rsid w:val="00ED082C"/>
    <w:rsid w:val="00ED520A"/>
    <w:rsid w:val="00EE262D"/>
    <w:rsid w:val="00EE746A"/>
    <w:rsid w:val="00EF4284"/>
    <w:rsid w:val="00F002F7"/>
    <w:rsid w:val="00F24139"/>
    <w:rsid w:val="00F43F4F"/>
    <w:rsid w:val="00F50358"/>
    <w:rsid w:val="00F523D4"/>
    <w:rsid w:val="00F576AE"/>
    <w:rsid w:val="00F70917"/>
    <w:rsid w:val="00F733B8"/>
    <w:rsid w:val="00F742EB"/>
    <w:rsid w:val="00F85EDC"/>
    <w:rsid w:val="00F957E2"/>
    <w:rsid w:val="00FA19C7"/>
    <w:rsid w:val="00FA34AC"/>
    <w:rsid w:val="00FA76EB"/>
    <w:rsid w:val="00FB3041"/>
    <w:rsid w:val="00FB3C37"/>
    <w:rsid w:val="00FB6455"/>
    <w:rsid w:val="00FD205D"/>
    <w:rsid w:val="00FE23A2"/>
    <w:rsid w:val="00FE4333"/>
    <w:rsid w:val="09C2174E"/>
    <w:rsid w:val="13D40547"/>
    <w:rsid w:val="17AE4A2D"/>
    <w:rsid w:val="3E195337"/>
    <w:rsid w:val="474F7746"/>
    <w:rsid w:val="5910757D"/>
    <w:rsid w:val="61366F94"/>
    <w:rsid w:val="6EA51611"/>
    <w:rsid w:val="72B6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18EA8"/>
  <w15:docId w15:val="{90AFC1F1-9304-490D-8A5A-38322B9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line="360" w:lineRule="auto"/>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annotation subject"/>
    <w:basedOn w:val="a3"/>
    <w:next w:val="a3"/>
    <w:link w:val="a8"/>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styleId="aa">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8">
    <w:name w:val="批注主题 字符"/>
    <w:basedOn w:val="a4"/>
    <w:link w:val="a7"/>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paragraph" w:customStyle="1" w:styleId="3">
    <w:name w:val="修订3"/>
    <w:hidden/>
    <w:uiPriority w:val="99"/>
    <w:unhideWhenUsed/>
    <w:qFormat/>
    <w:rPr>
      <w:kern w:val="2"/>
      <w:sz w:val="21"/>
      <w:szCs w:val="22"/>
    </w:rPr>
  </w:style>
  <w:style w:type="paragraph" w:styleId="ab">
    <w:name w:val="Revision"/>
    <w:hidden/>
    <w:uiPriority w:val="99"/>
    <w:unhideWhenUsed/>
    <w:rsid w:val="00ED52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5</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朱 磊倩</cp:lastModifiedBy>
  <cp:revision>196</cp:revision>
  <dcterms:created xsi:type="dcterms:W3CDTF">2022-01-10T06:44:00Z</dcterms:created>
  <dcterms:modified xsi:type="dcterms:W3CDTF">2024-06-20T13:31:00Z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2DAD643E294245E7A71138379034AD53_13</vt:lpwstr>
  </property>
</Properties>
</file>