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47" w:rsidRPr="00250C47" w:rsidRDefault="00250C47" w:rsidP="00250C47">
      <w:pPr>
        <w:rPr>
          <w:rFonts w:ascii="宋体" w:eastAsia="宋体" w:hAnsi="宋体"/>
          <w:sz w:val="24"/>
          <w:szCs w:val="28"/>
        </w:rPr>
      </w:pPr>
      <w:r w:rsidRPr="00250C47">
        <w:rPr>
          <w:rFonts w:ascii="宋体" w:eastAsia="宋体" w:hAnsi="宋体" w:hint="eastAsia"/>
          <w:sz w:val="24"/>
          <w:szCs w:val="28"/>
        </w:rPr>
        <w:t>证券代码：</w:t>
      </w:r>
      <w:r w:rsidRPr="00E41508">
        <w:rPr>
          <w:rFonts w:ascii="Times New Roman" w:eastAsia="宋体" w:hAnsi="Times New Roman" w:cs="Times New Roman"/>
          <w:sz w:val="24"/>
          <w:szCs w:val="28"/>
        </w:rPr>
        <w:t>601126</w:t>
      </w:r>
      <w:r w:rsidRPr="003A7C03"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250C47">
        <w:rPr>
          <w:rFonts w:ascii="宋体" w:eastAsia="宋体" w:hAnsi="宋体"/>
          <w:sz w:val="24"/>
          <w:szCs w:val="28"/>
        </w:rPr>
        <w:t xml:space="preserve">                 </w:t>
      </w:r>
      <w:r>
        <w:rPr>
          <w:rFonts w:ascii="宋体" w:eastAsia="宋体" w:hAnsi="宋体"/>
          <w:sz w:val="24"/>
          <w:szCs w:val="28"/>
        </w:rPr>
        <w:t xml:space="preserve">          </w:t>
      </w:r>
      <w:r w:rsidRPr="00250C47">
        <w:rPr>
          <w:rFonts w:ascii="宋体" w:eastAsia="宋体" w:hAnsi="宋体"/>
          <w:sz w:val="24"/>
          <w:szCs w:val="28"/>
        </w:rPr>
        <w:t xml:space="preserve">      </w:t>
      </w:r>
      <w:r>
        <w:rPr>
          <w:rFonts w:ascii="宋体" w:eastAsia="宋体" w:hAnsi="宋体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四方股份</w:t>
      </w:r>
    </w:p>
    <w:p w:rsidR="00250C47" w:rsidRDefault="00250C47" w:rsidP="00250C4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50C47" w:rsidRPr="00250C47" w:rsidRDefault="00250C47" w:rsidP="00250C47">
      <w:pPr>
        <w:jc w:val="center"/>
        <w:rPr>
          <w:rFonts w:ascii="宋体" w:eastAsia="宋体" w:hAnsi="宋体"/>
          <w:sz w:val="28"/>
          <w:szCs w:val="28"/>
        </w:rPr>
      </w:pPr>
      <w:r w:rsidRPr="00913A3F">
        <w:rPr>
          <w:rFonts w:ascii="宋体" w:eastAsia="宋体" w:hAnsi="宋体" w:cs="宋体" w:hint="eastAsia"/>
          <w:b/>
          <w:bCs/>
          <w:sz w:val="32"/>
          <w:szCs w:val="32"/>
        </w:rPr>
        <w:t>北京四方继保自动化股份有限公司</w:t>
      </w:r>
    </w:p>
    <w:p w:rsidR="00250C47" w:rsidRPr="00250C47" w:rsidRDefault="00250C47" w:rsidP="00250C4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250C47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p w:rsidR="00250C47" w:rsidRPr="00250C47" w:rsidRDefault="00250C47" w:rsidP="00250C4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250C47"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 w:rsidRPr="00E41508">
        <w:rPr>
          <w:rFonts w:ascii="Times New Roman" w:eastAsia="宋体" w:hAnsi="Times New Roman" w:cs="Times New Roman"/>
          <w:b/>
          <w:bCs/>
          <w:sz w:val="32"/>
          <w:szCs w:val="32"/>
        </w:rPr>
        <w:t>2024</w:t>
      </w:r>
      <w:r w:rsidRPr="00250C47">
        <w:rPr>
          <w:rFonts w:ascii="宋体" w:eastAsia="宋体" w:hAnsi="宋体" w:cs="宋体"/>
          <w:b/>
          <w:bCs/>
          <w:sz w:val="32"/>
          <w:szCs w:val="32"/>
        </w:rPr>
        <w:t>年</w:t>
      </w:r>
      <w:r w:rsidR="006C3DEB">
        <w:rPr>
          <w:rFonts w:ascii="宋体" w:eastAsia="宋体" w:hAnsi="宋体" w:cs="宋体" w:hint="eastAsia"/>
          <w:b/>
          <w:bCs/>
          <w:sz w:val="32"/>
          <w:szCs w:val="32"/>
        </w:rPr>
        <w:t>第二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季度</w:t>
      </w:r>
      <w:r w:rsidRPr="00250C47">
        <w:rPr>
          <w:rFonts w:ascii="宋体" w:eastAsia="宋体" w:hAnsi="宋体" w:cs="宋体"/>
          <w:b/>
          <w:bCs/>
          <w:sz w:val="32"/>
          <w:szCs w:val="32"/>
        </w:rPr>
        <w:t>）</w:t>
      </w:r>
    </w:p>
    <w:p w:rsidR="00250C47" w:rsidRDefault="00250C47" w:rsidP="00250C47">
      <w:pPr>
        <w:rPr>
          <w:rFonts w:ascii="宋体" w:eastAsia="宋体" w:hAnsi="宋体"/>
          <w:sz w:val="24"/>
          <w:szCs w:val="24"/>
        </w:rPr>
      </w:pPr>
    </w:p>
    <w:p w:rsidR="00632FB1" w:rsidRDefault="00250C47" w:rsidP="00250C47">
      <w:pPr>
        <w:spacing w:beforeLines="50" w:before="156" w:afterLines="50" w:after="156"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0C47">
        <w:rPr>
          <w:rFonts w:ascii="宋体" w:eastAsia="宋体" w:hAnsi="宋体" w:hint="eastAsia"/>
          <w:sz w:val="24"/>
          <w:szCs w:val="24"/>
        </w:rPr>
        <w:t>北京四方继保自动化股份有限公司</w:t>
      </w:r>
      <w:r w:rsidRPr="00250C47">
        <w:rPr>
          <w:rFonts w:ascii="宋体" w:eastAsia="宋体" w:hAnsi="宋体"/>
          <w:sz w:val="24"/>
          <w:szCs w:val="24"/>
        </w:rPr>
        <w:t>于近期以线上和线下的方式与投资</w:t>
      </w:r>
      <w:r w:rsidRPr="00250C47">
        <w:rPr>
          <w:rFonts w:ascii="宋体" w:eastAsia="宋体" w:hAnsi="宋体" w:hint="eastAsia"/>
          <w:sz w:val="24"/>
          <w:szCs w:val="24"/>
        </w:rPr>
        <w:t>者、券商分析师等就公司生产经营情况进行交流，现将投资者关系活动的主要情况汇总发布如下：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250C47" w:rsidRPr="00250C47" w:rsidTr="00250C47">
        <w:tc>
          <w:tcPr>
            <w:tcW w:w="1555" w:type="dxa"/>
            <w:vAlign w:val="center"/>
          </w:tcPr>
          <w:p w:rsidR="00250C47" w:rsidRPr="00250C47" w:rsidRDefault="00250C47" w:rsidP="00250C47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50C47">
              <w:rPr>
                <w:rFonts w:ascii="宋体" w:eastAsia="宋体" w:hAnsi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vAlign w:val="center"/>
          </w:tcPr>
          <w:p w:rsidR="00250C47" w:rsidRPr="00250C47" w:rsidRDefault="00250C47" w:rsidP="00250C47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250C47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 xml:space="preserve">特定对象调研  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 xml:space="preserve">分析师会议  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>媒体采访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506DB8" w:rsidRPr="00250C47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>业绩</w:t>
            </w:r>
            <w:r w:rsidR="00506DB8">
              <w:rPr>
                <w:rFonts w:ascii="宋体" w:eastAsia="宋体" w:hAnsi="宋体" w:hint="eastAsia"/>
                <w:sz w:val="24"/>
                <w:szCs w:val="24"/>
              </w:rPr>
              <w:t>解读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 xml:space="preserve">会 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 xml:space="preserve">新闻发布会  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 xml:space="preserve">路演活动  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>现场参观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50C47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>其他</w:t>
            </w:r>
          </w:p>
        </w:tc>
      </w:tr>
      <w:tr w:rsidR="00250C47" w:rsidRPr="00600F6E" w:rsidTr="00F8422E">
        <w:trPr>
          <w:trHeight w:val="1731"/>
        </w:trPr>
        <w:tc>
          <w:tcPr>
            <w:tcW w:w="1555" w:type="dxa"/>
            <w:vAlign w:val="center"/>
          </w:tcPr>
          <w:p w:rsidR="00250C47" w:rsidRPr="00250C47" w:rsidRDefault="00250C47" w:rsidP="00250C47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50C47">
              <w:rPr>
                <w:rFonts w:ascii="宋体" w:eastAsia="宋体" w:hAnsi="宋体"/>
                <w:b/>
                <w:sz w:val="24"/>
                <w:szCs w:val="24"/>
              </w:rPr>
              <w:t>参与机构</w:t>
            </w:r>
          </w:p>
        </w:tc>
        <w:tc>
          <w:tcPr>
            <w:tcW w:w="6741" w:type="dxa"/>
            <w:vAlign w:val="center"/>
          </w:tcPr>
          <w:p w:rsidR="00250C47" w:rsidRPr="00250C47" w:rsidRDefault="00EF0F29" w:rsidP="00EF0F29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EF0F29">
              <w:rPr>
                <w:rFonts w:ascii="宋体" w:eastAsia="宋体" w:hAnsi="宋体" w:hint="eastAsia"/>
                <w:sz w:val="24"/>
                <w:szCs w:val="24"/>
              </w:rPr>
              <w:t>广发基金、淳厚基金、交银施罗德、富国基金、大成基金、太平养老、招商基金、易方达基金、国寿资产、新华资产、博时基金、</w:t>
            </w:r>
            <w:r w:rsidRPr="00EF0F29">
              <w:rPr>
                <w:rFonts w:ascii="宋体" w:eastAsia="宋体" w:hAnsi="宋体"/>
                <w:sz w:val="24"/>
                <w:szCs w:val="24"/>
              </w:rPr>
              <w:t>摩根士丹利、鹏华基金、华夏未来、中信资管、嘉实基金、平安基金、大家资产、泰康资产等</w:t>
            </w:r>
            <w:r w:rsidRPr="00E41508">
              <w:rPr>
                <w:rFonts w:ascii="Times New Roman" w:eastAsia="宋体" w:hAnsi="Times New Roman"/>
                <w:sz w:val="24"/>
                <w:szCs w:val="24"/>
              </w:rPr>
              <w:t>200</w:t>
            </w:r>
            <w:r w:rsidRPr="00EF0F29">
              <w:rPr>
                <w:rFonts w:ascii="宋体" w:eastAsia="宋体" w:hAnsi="宋体"/>
                <w:sz w:val="24"/>
                <w:szCs w:val="24"/>
              </w:rPr>
              <w:t>+</w:t>
            </w:r>
            <w:r w:rsidR="00F934A1">
              <w:rPr>
                <w:rFonts w:ascii="宋体" w:eastAsia="宋体" w:hAnsi="宋体" w:hint="eastAsia"/>
                <w:sz w:val="24"/>
                <w:szCs w:val="24"/>
              </w:rPr>
              <w:t>家</w:t>
            </w:r>
            <w:r w:rsidRPr="00EF0F29">
              <w:rPr>
                <w:rFonts w:ascii="宋体" w:eastAsia="宋体" w:hAnsi="宋体"/>
                <w:sz w:val="24"/>
                <w:szCs w:val="24"/>
              </w:rPr>
              <w:t>机构投资者</w:t>
            </w:r>
            <w:bookmarkStart w:id="0" w:name="_GoBack"/>
            <w:bookmarkEnd w:id="0"/>
          </w:p>
        </w:tc>
      </w:tr>
      <w:tr w:rsidR="00250C47" w:rsidRPr="00250C47" w:rsidTr="00250C47">
        <w:tc>
          <w:tcPr>
            <w:tcW w:w="1555" w:type="dxa"/>
            <w:vAlign w:val="center"/>
          </w:tcPr>
          <w:p w:rsidR="00250C47" w:rsidRPr="00250C47" w:rsidRDefault="00250C47" w:rsidP="00250C47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50C47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741" w:type="dxa"/>
            <w:vAlign w:val="center"/>
          </w:tcPr>
          <w:p w:rsidR="00250C47" w:rsidRPr="00250C47" w:rsidRDefault="00250C47" w:rsidP="00506DB8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250C47">
              <w:rPr>
                <w:rFonts w:ascii="宋体" w:eastAsia="宋体" w:hAnsi="宋体"/>
                <w:sz w:val="24"/>
                <w:szCs w:val="24"/>
              </w:rPr>
              <w:t>公司会议室</w:t>
            </w:r>
            <w:r w:rsidR="00506DB8">
              <w:rPr>
                <w:rFonts w:ascii="宋体" w:eastAsia="宋体" w:hAnsi="宋体" w:hint="eastAsia"/>
                <w:sz w:val="24"/>
                <w:szCs w:val="24"/>
              </w:rPr>
              <w:t>、各策略会现场、线上会议</w:t>
            </w:r>
            <w:r w:rsidRPr="00250C47">
              <w:rPr>
                <w:rFonts w:ascii="宋体" w:eastAsia="宋体" w:hAnsi="宋体"/>
                <w:sz w:val="24"/>
                <w:szCs w:val="24"/>
              </w:rPr>
              <w:t>等</w:t>
            </w:r>
          </w:p>
        </w:tc>
      </w:tr>
      <w:tr w:rsidR="00250C47" w:rsidRPr="00250C47" w:rsidTr="00F8422E">
        <w:trPr>
          <w:trHeight w:val="1116"/>
        </w:trPr>
        <w:tc>
          <w:tcPr>
            <w:tcW w:w="1555" w:type="dxa"/>
            <w:vAlign w:val="center"/>
          </w:tcPr>
          <w:p w:rsidR="00250C47" w:rsidRPr="00250C47" w:rsidRDefault="00250C47" w:rsidP="00250C47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50C47">
              <w:rPr>
                <w:rFonts w:ascii="宋体" w:eastAsia="宋体" w:hAnsi="宋体"/>
                <w:b/>
                <w:sz w:val="24"/>
                <w:szCs w:val="24"/>
              </w:rPr>
              <w:t>上市公司</w:t>
            </w:r>
          </w:p>
          <w:p w:rsidR="00250C47" w:rsidRPr="00250C47" w:rsidRDefault="00250C47" w:rsidP="00250C47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50C47">
              <w:rPr>
                <w:rFonts w:ascii="宋体" w:eastAsia="宋体" w:hAnsi="宋体"/>
                <w:b/>
                <w:sz w:val="24"/>
                <w:szCs w:val="24"/>
              </w:rPr>
              <w:t>接待人员</w:t>
            </w:r>
          </w:p>
        </w:tc>
        <w:tc>
          <w:tcPr>
            <w:tcW w:w="6741" w:type="dxa"/>
            <w:vAlign w:val="center"/>
          </w:tcPr>
          <w:p w:rsidR="00250C47" w:rsidRPr="00250C47" w:rsidRDefault="00250C47" w:rsidP="00A63871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250C47">
              <w:rPr>
                <w:rFonts w:ascii="宋体" w:eastAsia="宋体" w:hAnsi="宋体"/>
                <w:sz w:val="24"/>
                <w:szCs w:val="24"/>
              </w:rPr>
              <w:t>董事会秘书、证券事务代表</w:t>
            </w:r>
          </w:p>
        </w:tc>
      </w:tr>
      <w:tr w:rsidR="00250C47" w:rsidRPr="00250C47" w:rsidTr="00250C47">
        <w:tc>
          <w:tcPr>
            <w:tcW w:w="1555" w:type="dxa"/>
            <w:vAlign w:val="center"/>
          </w:tcPr>
          <w:p w:rsidR="00250C47" w:rsidRPr="00410B38" w:rsidRDefault="00250C47" w:rsidP="00250C47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10B38"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  <w:vAlign w:val="center"/>
          </w:tcPr>
          <w:p w:rsidR="00410B38" w:rsidRPr="00410B38" w:rsidRDefault="00410B38" w:rsidP="00410B38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FC79E4" w:rsidRPr="00FC79E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2024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年上半年</w:t>
            </w:r>
            <w:r w:rsidRPr="00410B3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经营情况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如何？</w:t>
            </w:r>
          </w:p>
          <w:p w:rsidR="002854E8" w:rsidRDefault="00410B38" w:rsidP="00410B38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</w:t>
            </w:r>
            <w:r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2854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公司上半年经营情况将在半年报上披露，简单介绍下目前各个业务板块</w:t>
            </w:r>
            <w:r w:rsidR="00E415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  <w:r w:rsidR="002854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:rsidR="00410B38" w:rsidRPr="00F8422E" w:rsidRDefault="002854E8" w:rsidP="00F8422E">
            <w:pPr>
              <w:pStyle w:val="a8"/>
              <w:numPr>
                <w:ilvl w:val="0"/>
                <w:numId w:val="4"/>
              </w:numPr>
              <w:spacing w:beforeLines="50" w:before="156" w:afterLines="50" w:after="156" w:line="30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F84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电网业务：</w:t>
            </w:r>
            <w:r w:rsidRPr="00F8422E">
              <w:rPr>
                <w:rFonts w:ascii="宋体" w:eastAsia="宋体" w:hAnsi="宋体" w:hint="eastAsia"/>
                <w:sz w:val="24"/>
                <w:szCs w:val="24"/>
              </w:rPr>
              <w:t>基于电网投资加大</w:t>
            </w:r>
            <w:r w:rsidR="005B043C">
              <w:rPr>
                <w:rFonts w:ascii="宋体" w:eastAsia="宋体" w:hAnsi="宋体" w:hint="eastAsia"/>
                <w:sz w:val="24"/>
                <w:szCs w:val="24"/>
              </w:rPr>
              <w:t>以及结构性变化</w:t>
            </w:r>
            <w:r w:rsidRPr="00F8422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B043C">
              <w:rPr>
                <w:rFonts w:ascii="宋体" w:eastAsia="宋体" w:hAnsi="宋体" w:hint="eastAsia"/>
                <w:sz w:val="24"/>
                <w:szCs w:val="24"/>
              </w:rPr>
              <w:t>公司的</w:t>
            </w:r>
            <w:r w:rsidRPr="00F8422E">
              <w:rPr>
                <w:rFonts w:ascii="宋体" w:eastAsia="宋体" w:hAnsi="宋体" w:hint="eastAsia"/>
                <w:sz w:val="24"/>
                <w:szCs w:val="24"/>
              </w:rPr>
              <w:t>业务机会</w:t>
            </w:r>
            <w:r w:rsidR="005B043C">
              <w:rPr>
                <w:rFonts w:ascii="宋体" w:eastAsia="宋体" w:hAnsi="宋体" w:hint="eastAsia"/>
                <w:sz w:val="24"/>
                <w:szCs w:val="24"/>
              </w:rPr>
              <w:t>也会随之变化，</w:t>
            </w:r>
            <w:r w:rsidR="00833B56"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 w:rsidR="00721BE8" w:rsidRPr="00721BE8">
              <w:rPr>
                <w:rFonts w:ascii="宋体" w:eastAsia="宋体" w:hAnsi="宋体" w:hint="eastAsia"/>
                <w:sz w:val="24"/>
                <w:szCs w:val="24"/>
              </w:rPr>
              <w:t>主网业务和配网业务都在按照</w:t>
            </w:r>
            <w:r w:rsidRPr="00F8422E">
              <w:rPr>
                <w:rFonts w:ascii="宋体" w:eastAsia="宋体" w:hAnsi="宋体" w:hint="eastAsia"/>
                <w:sz w:val="24"/>
                <w:szCs w:val="24"/>
              </w:rPr>
              <w:t>既定目标有序进行；</w:t>
            </w:r>
          </w:p>
          <w:p w:rsidR="002854E8" w:rsidRPr="00F8422E" w:rsidRDefault="002854E8" w:rsidP="00F8422E">
            <w:pPr>
              <w:pStyle w:val="a8"/>
              <w:numPr>
                <w:ilvl w:val="0"/>
                <w:numId w:val="4"/>
              </w:numPr>
              <w:spacing w:beforeLines="50" w:before="156" w:afterLines="50" w:after="156" w:line="300" w:lineRule="auto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网外业务：</w:t>
            </w:r>
            <w:r w:rsidR="0072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发电</w:t>
            </w:r>
            <w:r w:rsidR="00E415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72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方面，受益于新能源的建设，保持公司在集中式能源的技术及解决方案的优势</w:t>
            </w:r>
            <w:r w:rsid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，加大</w:t>
            </w:r>
            <w:r w:rsidR="0072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</w:t>
            </w:r>
            <w:r w:rsid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开拓力度</w:t>
            </w:r>
            <w:r w:rsidR="0072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；用电</w:t>
            </w:r>
            <w:r w:rsidR="00743E5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72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方面，随着电能替代、绿色低碳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以及效能优化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等需求不断加大，公司加强与用电客户的沟通，</w:t>
            </w:r>
            <w:r w:rsidR="005B04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拓展新的细分市场。</w:t>
            </w:r>
          </w:p>
          <w:p w:rsidR="00410B38" w:rsidRDefault="00410B38" w:rsidP="00410B38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250C47" w:rsidRPr="00410B38" w:rsidRDefault="00410B38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2A4375"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EB42C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在电网二次设备领域公司是否有新的发展方向</w:t>
            </w:r>
            <w:r w:rsidR="00F244A6" w:rsidRPr="00410B3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:rsidR="0026567E" w:rsidRDefault="002A4375" w:rsidP="00410B38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</w:t>
            </w:r>
            <w:r w:rsidR="003A7C03"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公司传统二次设备以</w:t>
            </w:r>
            <w:r w:rsidR="00EB42C1" w:rsidRP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保护自动化为主，是公司业务的压舱石，主要围绕新建、改造、国产化替代开展业务。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同时，公司</w:t>
            </w:r>
            <w:r w:rsidR="00EB42C1" w:rsidRP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不断深耕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智能电网的细分领域，</w:t>
            </w:r>
            <w:r w:rsidR="00EB42C1" w:rsidRP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探索更多新方向，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近几年</w:t>
            </w:r>
            <w:r w:rsidR="00EB42C1" w:rsidRP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6C43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电力设备的</w:t>
            </w:r>
            <w:r w:rsidR="00EB42C1" w:rsidRP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智能运维和运检监控方向上取得了一定的业绩突破，</w:t>
            </w:r>
            <w:r w:rsid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</w:t>
            </w:r>
            <w:r w:rsidR="00E64E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电网</w:t>
            </w:r>
            <w:r w:rsidR="00E64E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EB42C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整体拉动比较明显</w:t>
            </w:r>
            <w:r w:rsidR="00E64E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C94CEB" w:rsidRPr="00C94C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在新型电力系统</w:t>
            </w:r>
            <w:r w:rsidR="00E64ED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建设背景下</w:t>
            </w:r>
            <w:r w:rsidR="00C94CEB" w:rsidRPr="00C94C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C94C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公司主要围绕电网安全方面探索新的发展领域，主要包括电网安全稳定控制、新能源宽频</w:t>
            </w:r>
            <w:r w:rsidR="005C7D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振</w:t>
            </w:r>
            <w:r w:rsidR="00C94C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荡抑制</w:t>
            </w:r>
            <w:r w:rsidR="00C94CEB" w:rsidRPr="00C94C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、构网型技术等</w:t>
            </w:r>
            <w:r w:rsidR="00F84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方向</w:t>
            </w:r>
            <w:r w:rsidR="00C94C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EB42C1" w:rsidRPr="00EB42C1" w:rsidRDefault="00EB42C1" w:rsidP="00410B38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59B7" w:rsidRPr="00410B38" w:rsidRDefault="002A4375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5018B8"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0C60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2656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火电</w:t>
            </w:r>
            <w:r w:rsidR="00AD6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业务</w:t>
            </w:r>
            <w:r w:rsidR="002656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  <w:r w:rsidR="00AD612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如何</w:t>
            </w:r>
            <w:r w:rsidR="00C43F1C" w:rsidRPr="00410B3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:rsidR="00CC685E" w:rsidRPr="00410B38" w:rsidRDefault="002A4375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</w:t>
            </w:r>
            <w:r w:rsidR="00254569"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4E35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公司火电业务</w:t>
            </w:r>
            <w:r w:rsidR="00E3374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随着火电建设的需求而变化，同时也</w:t>
            </w:r>
            <w:r w:rsidR="004E35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</w:t>
            </w:r>
            <w:r w:rsidR="00E3374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火电建设周期的影响。随着</w:t>
            </w:r>
            <w:r w:rsidR="004E35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“三个</w:t>
            </w:r>
            <w:r w:rsidR="00E3374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八千</w:t>
            </w:r>
            <w:r w:rsidR="004E35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万”</w:t>
            </w:r>
            <w:r w:rsidR="00E3374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的建设带动了火电的发展，二次设备需求存在滞后情况，近两年公司火电业务表现较为良好。</w:t>
            </w:r>
          </w:p>
          <w:p w:rsidR="00161711" w:rsidRPr="00410B38" w:rsidRDefault="00161711" w:rsidP="005018B8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20338" w:rsidRPr="00410B38" w:rsidRDefault="002A4375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5018B8"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4C046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如何看待</w:t>
            </w:r>
            <w:r w:rsidR="001A5A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构网型技术</w:t>
            </w:r>
            <w:r w:rsidR="004C046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及公司产品应用？</w:t>
            </w:r>
          </w:p>
          <w:p w:rsidR="00161711" w:rsidRDefault="002A4375" w:rsidP="00D65336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</w:t>
            </w:r>
            <w:r w:rsidR="00345C04"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161BA2" w:rsidRPr="00161B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随着新型电力系统建设推进，高比例新能源接入</w:t>
            </w:r>
            <w:r w:rsidR="00FF2A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  <w:r w:rsidR="00161BA2" w:rsidRPr="00161B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大量电力电子技术广泛推广应用，电力系统面临着</w:t>
            </w:r>
            <w:r w:rsidR="00FF2A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系统</w:t>
            </w:r>
            <w:r w:rsidR="00161BA2" w:rsidRPr="00161B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惯量降低、频率</w:t>
            </w:r>
            <w:r w:rsidR="00161BA2" w:rsidRPr="00161BA2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="00161BA2" w:rsidRPr="00161BA2">
              <w:rPr>
                <w:rFonts w:ascii="Times New Roman" w:eastAsia="宋体" w:hAnsi="Times New Roman" w:cs="Times New Roman"/>
                <w:sz w:val="24"/>
                <w:szCs w:val="24"/>
              </w:rPr>
              <w:t>电压稳定性下降、宽频振荡问题凸显、故障隔离风险增高等挑战。在</w:t>
            </w:r>
            <w:r w:rsidR="00FF2A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</w:t>
            </w:r>
            <w:r w:rsidR="00161BA2" w:rsidRPr="00161BA2">
              <w:rPr>
                <w:rFonts w:ascii="Times New Roman" w:eastAsia="宋体" w:hAnsi="Times New Roman" w:cs="Times New Roman"/>
                <w:sz w:val="24"/>
                <w:szCs w:val="24"/>
              </w:rPr>
              <w:t>背景下，</w:t>
            </w:r>
            <w:r w:rsidR="00F842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D653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基于对电网互动的深刻理解，</w:t>
            </w:r>
            <w:r w:rsidR="00FF2A25" w:rsidRPr="004C0467">
              <w:rPr>
                <w:rFonts w:ascii="Times New Roman" w:eastAsia="宋体" w:hAnsi="Times New Roman" w:cs="Times New Roman"/>
                <w:sz w:val="24"/>
                <w:szCs w:val="24"/>
              </w:rPr>
              <w:t>充分利用构网型技术在弱系统频率电压主动支撑、交流保护适应性、宽频阻抗特性及振荡主动抑制等方面的技术优势，提出了在不同典型应用场景下的构网型储能和构网型</w:t>
            </w:r>
            <w:r w:rsidR="00FF2A25" w:rsidRPr="004C0467">
              <w:rPr>
                <w:rFonts w:ascii="Times New Roman" w:eastAsia="宋体" w:hAnsi="Times New Roman" w:cs="Times New Roman"/>
                <w:sz w:val="24"/>
                <w:szCs w:val="24"/>
              </w:rPr>
              <w:t>SVG</w:t>
            </w:r>
            <w:r w:rsidR="00FF2A25" w:rsidRPr="004C0467">
              <w:rPr>
                <w:rFonts w:ascii="Times New Roman" w:eastAsia="宋体" w:hAnsi="Times New Roman" w:cs="Times New Roman"/>
                <w:sz w:val="24"/>
                <w:szCs w:val="24"/>
              </w:rPr>
              <w:t>解决方案。</w:t>
            </w:r>
            <w:r w:rsidR="00FF2A25" w:rsidRPr="00FF2A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“适用于高比例新能源电力系统的构网型储能变流器”已于</w:t>
            </w:r>
            <w:r w:rsidR="00FF2A25" w:rsidRPr="00E41508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="00FF2A25" w:rsidRPr="00FF2A25">
              <w:rPr>
                <w:rFonts w:ascii="Times New Roman" w:eastAsia="宋体" w:hAnsi="Times New Roman" w:cs="Times New Roman"/>
                <w:sz w:val="24"/>
                <w:szCs w:val="24"/>
              </w:rPr>
              <w:t>年通过中国电机工程学会鉴定，整体处于国际领先水平。</w:t>
            </w:r>
          </w:p>
          <w:p w:rsidR="00D65336" w:rsidRPr="00D65336" w:rsidRDefault="00D65336" w:rsidP="00D65336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F1F86" w:rsidRPr="00410B38" w:rsidRDefault="002A4375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="005018B8"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1B08C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公司毛利率情况如何</w:t>
            </w:r>
            <w:r w:rsidR="00920338"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:rsidR="002D59B7" w:rsidRPr="00410B38" w:rsidRDefault="002A4375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="00CC685E"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1B08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随着公司业务规模的不断扩大，毛利相对较低的业务占比</w:t>
            </w:r>
            <w:r w:rsid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提升</w:t>
            </w:r>
            <w:r w:rsidR="001B08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054D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以及项目</w:t>
            </w:r>
            <w:r w:rsid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交付</w:t>
            </w:r>
            <w:r w:rsidR="00054D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的结构性变化，对公司整体毛利率持续有挑战，公司通过不断优化管理措施，持续提高运营效率等面对复杂的市场竞争环境。</w:t>
            </w:r>
          </w:p>
          <w:p w:rsidR="005018B8" w:rsidRPr="00410B38" w:rsidRDefault="005018B8" w:rsidP="00F8422E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018B8" w:rsidRPr="00410B38" w:rsidRDefault="005018B8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0C60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19387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是否有</w:t>
            </w:r>
            <w:r w:rsidR="002656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配网</w:t>
            </w:r>
            <w:r w:rsidR="003B05C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数字</w:t>
            </w:r>
            <w:r w:rsidR="002656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化相关产品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:rsidR="005018B8" w:rsidRPr="00410B38" w:rsidRDefault="005018B8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</w:t>
            </w:r>
            <w:r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0C60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随着新型电力系统</w:t>
            </w:r>
            <w:r w:rsidR="00695DE4" w:rsidRP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建设</w:t>
            </w:r>
            <w:r w:rsidR="000C60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加速</w:t>
            </w:r>
            <w:r w:rsidR="00695DE4" w:rsidRP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，分布式光伏迅猛发展使配电网形</w:t>
            </w:r>
            <w:r w:rsid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态发生较大变化，配电数字化技术成为支撑配电网转型发展的关键力量。</w:t>
            </w:r>
            <w:r w:rsidR="00695DE4" w:rsidRP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公司以持续创新的理念跟踪新型配</w:t>
            </w:r>
            <w:r w:rsid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电系统不断涌现的场景需求，进行配电数字化的系列产品完善及开发，如</w:t>
            </w:r>
            <w:r w:rsidR="00695DE4" w:rsidRP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：基于一二次深度融合技术的环保型配电环网柜和柱上断路器</w:t>
            </w:r>
            <w:r w:rsid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，适应大规模分布式能源接入的配电保护自愈控制技术研究与装置，支持配电运行数字化系统级自主可控的新一代配电主站，基于配电业务资源中台的自动成图微服务化应用，园区源网荷储一体化协同控制系统</w:t>
            </w:r>
            <w:r w:rsidR="00695DE4" w:rsidRPr="00695D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等。</w:t>
            </w:r>
          </w:p>
          <w:p w:rsidR="005018B8" w:rsidRPr="00410B38" w:rsidRDefault="005018B8" w:rsidP="005018B8">
            <w:pPr>
              <w:pStyle w:val="a8"/>
              <w:spacing w:beforeLines="50" w:before="156" w:afterLines="50" w:after="156" w:line="300" w:lineRule="auto"/>
              <w:ind w:left="42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05CDD" w:rsidRPr="00410B38" w:rsidRDefault="005018B8" w:rsidP="002B0C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 w:rsidR="002656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调相机</w:t>
            </w:r>
            <w:r w:rsidR="00662D5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业务情况</w:t>
            </w:r>
            <w:r w:rsidR="00D83AB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如何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:rsidR="005018B8" w:rsidRDefault="005018B8" w:rsidP="0026567E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</w:t>
            </w:r>
            <w:r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600F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调相机是解决</w:t>
            </w:r>
            <w:r w:rsidR="00FF2A25" w:rsidRPr="00FF2A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新能源区域电网随机性强、波动性大、无功需求变化大、电压支撑薄弱、送出能力受限等问题</w:t>
            </w:r>
            <w:r w:rsidR="00600F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的方式之一</w:t>
            </w:r>
            <w:r w:rsidR="00FF2A25" w:rsidRPr="00FF2A2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，提升新能源消纳水平和输电通道利用率</w:t>
            </w:r>
            <w:r w:rsidR="009E59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D83AB1">
              <w:rPr>
                <w:rFonts w:ascii="Times New Roman" w:eastAsia="宋体" w:hAnsi="Times New Roman" w:cs="Times New Roman"/>
                <w:sz w:val="24"/>
                <w:szCs w:val="24"/>
              </w:rPr>
              <w:t>调相机可以独立于电站之外，对于电压的支撑更透明</w:t>
            </w:r>
            <w:r w:rsidR="009E59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D83AB1">
              <w:rPr>
                <w:rFonts w:ascii="Times New Roman" w:eastAsia="宋体" w:hAnsi="Times New Roman" w:cs="Times New Roman"/>
                <w:sz w:val="24"/>
                <w:szCs w:val="24"/>
              </w:rPr>
              <w:t>响应速度更快</w:t>
            </w:r>
            <w:r w:rsidR="00D83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662D5E" w:rsidRPr="00662D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调相机系统</w:t>
            </w:r>
            <w:r w:rsidR="009E59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整体相对复杂</w:t>
            </w:r>
            <w:r w:rsidR="00EF0F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，对集成能力要求较高。</w:t>
            </w:r>
            <w:r w:rsidR="00D83AB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EF0F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相关产品主要有</w:t>
            </w:r>
            <w:r w:rsidR="00662D5E" w:rsidRPr="00820DD2">
              <w:rPr>
                <w:rFonts w:ascii="Times New Roman" w:eastAsia="宋体" w:hAnsi="Times New Roman" w:cs="Times New Roman"/>
                <w:sz w:val="24"/>
                <w:szCs w:val="24"/>
              </w:rPr>
              <w:t>DCS</w:t>
            </w:r>
            <w:r w:rsidR="00662D5E" w:rsidRPr="00662D5E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662D5E" w:rsidRPr="00820DD2">
              <w:rPr>
                <w:rFonts w:ascii="Times New Roman" w:eastAsia="宋体" w:hAnsi="Times New Roman" w:cs="Times New Roman"/>
                <w:sz w:val="24"/>
                <w:szCs w:val="24"/>
              </w:rPr>
              <w:t>SFC</w:t>
            </w:r>
            <w:r w:rsidR="00D83AB1">
              <w:rPr>
                <w:rFonts w:ascii="Times New Roman" w:eastAsia="宋体" w:hAnsi="Times New Roman" w:cs="Times New Roman"/>
                <w:sz w:val="24"/>
                <w:szCs w:val="24"/>
              </w:rPr>
              <w:t>、继电保护、励磁</w:t>
            </w:r>
            <w:r w:rsidR="009E59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系统等控制类及电力电子类产品。近期</w:t>
            </w:r>
            <w:r w:rsidR="000C60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，公司中标一个调相机</w:t>
            </w:r>
            <w:r w:rsidR="009E59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项目。</w:t>
            </w:r>
          </w:p>
          <w:p w:rsidR="009C3F01" w:rsidRDefault="009C3F01" w:rsidP="0026567E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C3F01" w:rsidRPr="00410B38" w:rsidRDefault="009C3F01" w:rsidP="009C3F01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</w:t>
            </w:r>
            <w:r w:rsidRPr="00E415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410B3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特高压</w:t>
            </w:r>
            <w:r w:rsidR="00974BB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业务占比情况如何</w:t>
            </w:r>
            <w:r w:rsidRPr="009C3F0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C73B2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对公司有什么影响？</w:t>
            </w:r>
          </w:p>
          <w:p w:rsidR="009C3F01" w:rsidRPr="00555FFC" w:rsidRDefault="009C3F01" w:rsidP="000C602A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20DD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</w:t>
            </w:r>
            <w:r w:rsidRPr="00410B3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647665" w:rsidRPr="006476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高压是新能源大基地送出的主要通道之一，其投资总额较大，其中二次设备占比很小。特高压项目中公司提供的产品以保护自动化、安全稳定系统等二次设备为主。一般情况下，随着电压等级提高，其技术要求以及项目价值量也会相应增加，公司积极参与特高压项目主要体现公司在二次设备中的技术地</w:t>
            </w:r>
            <w:r w:rsidR="00647665" w:rsidRPr="006476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位，项目规模在公司整体业务中占比不高。</w:t>
            </w:r>
          </w:p>
        </w:tc>
      </w:tr>
      <w:tr w:rsidR="003A7C03" w:rsidRPr="00250C47" w:rsidTr="00250C47">
        <w:tc>
          <w:tcPr>
            <w:tcW w:w="1555" w:type="dxa"/>
            <w:vAlign w:val="center"/>
          </w:tcPr>
          <w:p w:rsidR="003A7C03" w:rsidRPr="00250C47" w:rsidRDefault="003A7C03" w:rsidP="00250C47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741" w:type="dxa"/>
            <w:vAlign w:val="center"/>
          </w:tcPr>
          <w:p w:rsidR="003A7C03" w:rsidRPr="002A4375" w:rsidRDefault="003A7C03" w:rsidP="002A4375">
            <w:pPr>
              <w:spacing w:beforeLines="50" w:before="156" w:afterLines="50" w:after="156"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41508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2A4375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C3DEB" w:rsidRPr="00E4150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2A4375" w:rsidRPr="002A4375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2A4375" w:rsidRPr="00E41508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2A4375" w:rsidRPr="002A4375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2A4375" w:rsidRPr="002A4375">
              <w:rPr>
                <w:rFonts w:ascii="Times New Roman" w:eastAsia="宋体" w:hAnsi="Times New Roman" w:cs="Times New Roman"/>
                <w:sz w:val="24"/>
                <w:szCs w:val="24"/>
              </w:rPr>
              <w:t>——</w:t>
            </w:r>
            <w:r w:rsidR="002A4375" w:rsidRPr="00E41508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2A4375" w:rsidRPr="002A4375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C3DEB" w:rsidRPr="00E41508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2A4375" w:rsidRPr="002A4375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6C3DEB" w:rsidRPr="00E41508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 w:rsidR="002A4375" w:rsidRPr="002A4375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2B0CCD" w:rsidRDefault="002B0CCD" w:rsidP="002B0CCD">
      <w:pPr>
        <w:spacing w:beforeLines="50" w:before="156" w:afterLines="50" w:after="156"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250C47" w:rsidRPr="00250C47" w:rsidRDefault="00250C47" w:rsidP="002B0CCD">
      <w:pPr>
        <w:spacing w:beforeLines="50" w:before="156" w:afterLines="50" w:after="156"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50C47">
        <w:rPr>
          <w:rFonts w:ascii="宋体" w:eastAsia="宋体" w:hAnsi="宋体" w:hint="eastAsia"/>
          <w:sz w:val="24"/>
          <w:szCs w:val="24"/>
        </w:rPr>
        <w:t>特此发布。</w:t>
      </w:r>
      <w:r w:rsidR="00254569">
        <w:rPr>
          <w:rFonts w:ascii="宋体" w:eastAsia="宋体" w:hAnsi="宋体" w:hint="eastAsia"/>
          <w:sz w:val="24"/>
          <w:szCs w:val="24"/>
        </w:rPr>
        <w:t>敬</w:t>
      </w:r>
      <w:r w:rsidRPr="00250C47">
        <w:rPr>
          <w:rFonts w:ascii="宋体" w:eastAsia="宋体" w:hAnsi="宋体" w:hint="eastAsia"/>
          <w:sz w:val="24"/>
          <w:szCs w:val="24"/>
        </w:rPr>
        <w:t>请广大投资者注意投资风险</w:t>
      </w:r>
      <w:r w:rsidR="00254569">
        <w:rPr>
          <w:rFonts w:ascii="宋体" w:eastAsia="宋体" w:hAnsi="宋体" w:hint="eastAsia"/>
          <w:sz w:val="24"/>
          <w:szCs w:val="24"/>
        </w:rPr>
        <w:t>，理性投资</w:t>
      </w:r>
      <w:r w:rsidRPr="00250C47">
        <w:rPr>
          <w:rFonts w:ascii="宋体" w:eastAsia="宋体" w:hAnsi="宋体" w:hint="eastAsia"/>
          <w:sz w:val="24"/>
          <w:szCs w:val="24"/>
        </w:rPr>
        <w:t>。</w:t>
      </w:r>
    </w:p>
    <w:sectPr w:rsidR="00250C47" w:rsidRPr="0025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D5" w:rsidRDefault="005208D5" w:rsidP="00250C47">
      <w:r>
        <w:separator/>
      </w:r>
    </w:p>
  </w:endnote>
  <w:endnote w:type="continuationSeparator" w:id="0">
    <w:p w:rsidR="005208D5" w:rsidRDefault="005208D5" w:rsidP="0025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D5" w:rsidRDefault="005208D5" w:rsidP="00250C47">
      <w:r>
        <w:separator/>
      </w:r>
    </w:p>
  </w:footnote>
  <w:footnote w:type="continuationSeparator" w:id="0">
    <w:p w:rsidR="005208D5" w:rsidRDefault="005208D5" w:rsidP="0025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1FA7"/>
    <w:multiLevelType w:val="hybridMultilevel"/>
    <w:tmpl w:val="1FE017D2"/>
    <w:lvl w:ilvl="0" w:tplc="FC60B87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55075F"/>
    <w:multiLevelType w:val="hybridMultilevel"/>
    <w:tmpl w:val="E118EF2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A36A86"/>
    <w:multiLevelType w:val="hybridMultilevel"/>
    <w:tmpl w:val="C73616E8"/>
    <w:lvl w:ilvl="0" w:tplc="465237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7E94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096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20D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4E9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4297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A90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B8D4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96DF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62A13"/>
    <w:multiLevelType w:val="hybridMultilevel"/>
    <w:tmpl w:val="041637C4"/>
    <w:lvl w:ilvl="0" w:tplc="A87654BE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B1"/>
    <w:rsid w:val="00003A3E"/>
    <w:rsid w:val="00027668"/>
    <w:rsid w:val="00030D8E"/>
    <w:rsid w:val="0004504C"/>
    <w:rsid w:val="00054D18"/>
    <w:rsid w:val="00073B14"/>
    <w:rsid w:val="000754C7"/>
    <w:rsid w:val="00077785"/>
    <w:rsid w:val="000824DF"/>
    <w:rsid w:val="0008270A"/>
    <w:rsid w:val="000858FF"/>
    <w:rsid w:val="00092E1F"/>
    <w:rsid w:val="00094DAA"/>
    <w:rsid w:val="000A0B27"/>
    <w:rsid w:val="000A7E02"/>
    <w:rsid w:val="000B49BB"/>
    <w:rsid w:val="000C5723"/>
    <w:rsid w:val="000C602A"/>
    <w:rsid w:val="000E2A90"/>
    <w:rsid w:val="000F0516"/>
    <w:rsid w:val="000F1971"/>
    <w:rsid w:val="000F3F8A"/>
    <w:rsid w:val="00105239"/>
    <w:rsid w:val="0012401E"/>
    <w:rsid w:val="00150C02"/>
    <w:rsid w:val="001572B1"/>
    <w:rsid w:val="00161711"/>
    <w:rsid w:val="00161BA2"/>
    <w:rsid w:val="00162F87"/>
    <w:rsid w:val="00164332"/>
    <w:rsid w:val="0017261E"/>
    <w:rsid w:val="00173A8B"/>
    <w:rsid w:val="001801D3"/>
    <w:rsid w:val="001851F9"/>
    <w:rsid w:val="00186E49"/>
    <w:rsid w:val="00193871"/>
    <w:rsid w:val="001A5AFA"/>
    <w:rsid w:val="001A62F9"/>
    <w:rsid w:val="001B08CC"/>
    <w:rsid w:val="001B589D"/>
    <w:rsid w:val="001B74B0"/>
    <w:rsid w:val="001C0B6C"/>
    <w:rsid w:val="001D33DA"/>
    <w:rsid w:val="001D657B"/>
    <w:rsid w:val="001E217C"/>
    <w:rsid w:val="001F2F71"/>
    <w:rsid w:val="001F688E"/>
    <w:rsid w:val="00206A69"/>
    <w:rsid w:val="00210ACF"/>
    <w:rsid w:val="00213DA1"/>
    <w:rsid w:val="00215A01"/>
    <w:rsid w:val="0021641F"/>
    <w:rsid w:val="00224D32"/>
    <w:rsid w:val="00225136"/>
    <w:rsid w:val="0022732E"/>
    <w:rsid w:val="002435FD"/>
    <w:rsid w:val="00250C47"/>
    <w:rsid w:val="00252AB7"/>
    <w:rsid w:val="00252C29"/>
    <w:rsid w:val="00254569"/>
    <w:rsid w:val="00256A9A"/>
    <w:rsid w:val="0026567E"/>
    <w:rsid w:val="00265DD5"/>
    <w:rsid w:val="00282FB7"/>
    <w:rsid w:val="002854E8"/>
    <w:rsid w:val="00290432"/>
    <w:rsid w:val="002963A0"/>
    <w:rsid w:val="002A436A"/>
    <w:rsid w:val="002A4375"/>
    <w:rsid w:val="002B0CCD"/>
    <w:rsid w:val="002B1550"/>
    <w:rsid w:val="002C5CC5"/>
    <w:rsid w:val="002C640A"/>
    <w:rsid w:val="002C7341"/>
    <w:rsid w:val="002D1EB5"/>
    <w:rsid w:val="002D3DBE"/>
    <w:rsid w:val="002D4490"/>
    <w:rsid w:val="002D4A05"/>
    <w:rsid w:val="002D5590"/>
    <w:rsid w:val="002D59B7"/>
    <w:rsid w:val="002D6B52"/>
    <w:rsid w:val="002D7201"/>
    <w:rsid w:val="002D7F4C"/>
    <w:rsid w:val="002E4751"/>
    <w:rsid w:val="003042E3"/>
    <w:rsid w:val="00307CB5"/>
    <w:rsid w:val="003144EE"/>
    <w:rsid w:val="00325176"/>
    <w:rsid w:val="00330698"/>
    <w:rsid w:val="00345C04"/>
    <w:rsid w:val="003478EC"/>
    <w:rsid w:val="003713BC"/>
    <w:rsid w:val="00383462"/>
    <w:rsid w:val="003871A9"/>
    <w:rsid w:val="00390403"/>
    <w:rsid w:val="00391BC1"/>
    <w:rsid w:val="003A0823"/>
    <w:rsid w:val="003A72C4"/>
    <w:rsid w:val="003A7C03"/>
    <w:rsid w:val="003B000A"/>
    <w:rsid w:val="003B05CB"/>
    <w:rsid w:val="003B4456"/>
    <w:rsid w:val="003C1992"/>
    <w:rsid w:val="003C2D49"/>
    <w:rsid w:val="003C574F"/>
    <w:rsid w:val="003D3603"/>
    <w:rsid w:val="003D5F3C"/>
    <w:rsid w:val="003D6C9F"/>
    <w:rsid w:val="003E38FC"/>
    <w:rsid w:val="003E429A"/>
    <w:rsid w:val="003E5358"/>
    <w:rsid w:val="003F1E1E"/>
    <w:rsid w:val="003F7890"/>
    <w:rsid w:val="00401AD3"/>
    <w:rsid w:val="00405B05"/>
    <w:rsid w:val="00406A4A"/>
    <w:rsid w:val="00410B38"/>
    <w:rsid w:val="00412C70"/>
    <w:rsid w:val="00436F5E"/>
    <w:rsid w:val="00470637"/>
    <w:rsid w:val="004735AA"/>
    <w:rsid w:val="0047685D"/>
    <w:rsid w:val="00477CEB"/>
    <w:rsid w:val="00481C00"/>
    <w:rsid w:val="00483C85"/>
    <w:rsid w:val="004972B2"/>
    <w:rsid w:val="004A4F63"/>
    <w:rsid w:val="004A5BFC"/>
    <w:rsid w:val="004A65E7"/>
    <w:rsid w:val="004C0467"/>
    <w:rsid w:val="004C62BA"/>
    <w:rsid w:val="004E15F7"/>
    <w:rsid w:val="004E3544"/>
    <w:rsid w:val="004F2587"/>
    <w:rsid w:val="00500099"/>
    <w:rsid w:val="005018B8"/>
    <w:rsid w:val="00502CFB"/>
    <w:rsid w:val="005052CE"/>
    <w:rsid w:val="00506DB8"/>
    <w:rsid w:val="005208D5"/>
    <w:rsid w:val="0052119A"/>
    <w:rsid w:val="00521FE9"/>
    <w:rsid w:val="0053049B"/>
    <w:rsid w:val="0053276D"/>
    <w:rsid w:val="0054311A"/>
    <w:rsid w:val="00543B93"/>
    <w:rsid w:val="00544832"/>
    <w:rsid w:val="00550318"/>
    <w:rsid w:val="00555FFC"/>
    <w:rsid w:val="00561D54"/>
    <w:rsid w:val="00563C64"/>
    <w:rsid w:val="00581DC0"/>
    <w:rsid w:val="00590932"/>
    <w:rsid w:val="00592C63"/>
    <w:rsid w:val="00594077"/>
    <w:rsid w:val="00597302"/>
    <w:rsid w:val="005A2D94"/>
    <w:rsid w:val="005A6927"/>
    <w:rsid w:val="005B043C"/>
    <w:rsid w:val="005B0876"/>
    <w:rsid w:val="005B3EEB"/>
    <w:rsid w:val="005B4CA9"/>
    <w:rsid w:val="005B7046"/>
    <w:rsid w:val="005C2B90"/>
    <w:rsid w:val="005C395F"/>
    <w:rsid w:val="005C7DBB"/>
    <w:rsid w:val="005D1AE6"/>
    <w:rsid w:val="005D31F5"/>
    <w:rsid w:val="005E4598"/>
    <w:rsid w:val="005F3FB8"/>
    <w:rsid w:val="00600F6E"/>
    <w:rsid w:val="00601767"/>
    <w:rsid w:val="00610261"/>
    <w:rsid w:val="00610D5C"/>
    <w:rsid w:val="0061510E"/>
    <w:rsid w:val="00631672"/>
    <w:rsid w:val="00632FB1"/>
    <w:rsid w:val="006432C2"/>
    <w:rsid w:val="0064762F"/>
    <w:rsid w:val="00647665"/>
    <w:rsid w:val="00662D5E"/>
    <w:rsid w:val="00670D81"/>
    <w:rsid w:val="0068077C"/>
    <w:rsid w:val="00686819"/>
    <w:rsid w:val="006919AF"/>
    <w:rsid w:val="00695DE4"/>
    <w:rsid w:val="006A1FE1"/>
    <w:rsid w:val="006A613A"/>
    <w:rsid w:val="006B030B"/>
    <w:rsid w:val="006B5E5C"/>
    <w:rsid w:val="006C3DEB"/>
    <w:rsid w:val="006C435C"/>
    <w:rsid w:val="006C752F"/>
    <w:rsid w:val="006D3564"/>
    <w:rsid w:val="006D7F0B"/>
    <w:rsid w:val="006E0C67"/>
    <w:rsid w:val="006E2F47"/>
    <w:rsid w:val="006F580F"/>
    <w:rsid w:val="0070391F"/>
    <w:rsid w:val="00705CDD"/>
    <w:rsid w:val="00705FA8"/>
    <w:rsid w:val="0070685E"/>
    <w:rsid w:val="00711674"/>
    <w:rsid w:val="00716495"/>
    <w:rsid w:val="00720BFF"/>
    <w:rsid w:val="00721BE8"/>
    <w:rsid w:val="00733DD3"/>
    <w:rsid w:val="00737585"/>
    <w:rsid w:val="00743E56"/>
    <w:rsid w:val="00744BC8"/>
    <w:rsid w:val="007450D1"/>
    <w:rsid w:val="00746B4F"/>
    <w:rsid w:val="00747117"/>
    <w:rsid w:val="00750B86"/>
    <w:rsid w:val="00761151"/>
    <w:rsid w:val="00764B40"/>
    <w:rsid w:val="007701C6"/>
    <w:rsid w:val="00773F4C"/>
    <w:rsid w:val="007826FB"/>
    <w:rsid w:val="00784025"/>
    <w:rsid w:val="0079322F"/>
    <w:rsid w:val="00793795"/>
    <w:rsid w:val="00795E2E"/>
    <w:rsid w:val="00797FE5"/>
    <w:rsid w:val="007B4E28"/>
    <w:rsid w:val="007C453F"/>
    <w:rsid w:val="007C75E2"/>
    <w:rsid w:val="007D03A4"/>
    <w:rsid w:val="007D2E29"/>
    <w:rsid w:val="007E6B57"/>
    <w:rsid w:val="007F139C"/>
    <w:rsid w:val="007F2B99"/>
    <w:rsid w:val="0080541B"/>
    <w:rsid w:val="00806F6F"/>
    <w:rsid w:val="00814FDA"/>
    <w:rsid w:val="0081609F"/>
    <w:rsid w:val="00820DD2"/>
    <w:rsid w:val="00821CBC"/>
    <w:rsid w:val="00833B56"/>
    <w:rsid w:val="008404D7"/>
    <w:rsid w:val="00856D88"/>
    <w:rsid w:val="00867E65"/>
    <w:rsid w:val="00873614"/>
    <w:rsid w:val="00881E8C"/>
    <w:rsid w:val="00882E60"/>
    <w:rsid w:val="00887A4B"/>
    <w:rsid w:val="00894A83"/>
    <w:rsid w:val="00895254"/>
    <w:rsid w:val="008972E2"/>
    <w:rsid w:val="008973B5"/>
    <w:rsid w:val="008A5000"/>
    <w:rsid w:val="008A5480"/>
    <w:rsid w:val="008A5E76"/>
    <w:rsid w:val="008B18AE"/>
    <w:rsid w:val="008C79DE"/>
    <w:rsid w:val="008D2AAC"/>
    <w:rsid w:val="008D51F7"/>
    <w:rsid w:val="008E2738"/>
    <w:rsid w:val="008E6DBD"/>
    <w:rsid w:val="008E7B0E"/>
    <w:rsid w:val="008F5DE2"/>
    <w:rsid w:val="00904D7A"/>
    <w:rsid w:val="00906AE3"/>
    <w:rsid w:val="009074DD"/>
    <w:rsid w:val="00915448"/>
    <w:rsid w:val="00917D4C"/>
    <w:rsid w:val="00920338"/>
    <w:rsid w:val="009246E2"/>
    <w:rsid w:val="00944FF3"/>
    <w:rsid w:val="00955DB9"/>
    <w:rsid w:val="00961284"/>
    <w:rsid w:val="00964965"/>
    <w:rsid w:val="0097014F"/>
    <w:rsid w:val="00974BB9"/>
    <w:rsid w:val="0099536A"/>
    <w:rsid w:val="00995851"/>
    <w:rsid w:val="00995BB8"/>
    <w:rsid w:val="009A446D"/>
    <w:rsid w:val="009A49ED"/>
    <w:rsid w:val="009A5236"/>
    <w:rsid w:val="009A53B4"/>
    <w:rsid w:val="009A602A"/>
    <w:rsid w:val="009A7F7F"/>
    <w:rsid w:val="009B0CA8"/>
    <w:rsid w:val="009C2972"/>
    <w:rsid w:val="009C3884"/>
    <w:rsid w:val="009C3F01"/>
    <w:rsid w:val="009C560E"/>
    <w:rsid w:val="009D2020"/>
    <w:rsid w:val="009D7E19"/>
    <w:rsid w:val="009E4899"/>
    <w:rsid w:val="009E5903"/>
    <w:rsid w:val="009F4BF6"/>
    <w:rsid w:val="009F7638"/>
    <w:rsid w:val="00A00EFA"/>
    <w:rsid w:val="00A025C8"/>
    <w:rsid w:val="00A05FA4"/>
    <w:rsid w:val="00A06B97"/>
    <w:rsid w:val="00A13043"/>
    <w:rsid w:val="00A175BA"/>
    <w:rsid w:val="00A209AA"/>
    <w:rsid w:val="00A20DE0"/>
    <w:rsid w:val="00A33BAF"/>
    <w:rsid w:val="00A36AE9"/>
    <w:rsid w:val="00A413BA"/>
    <w:rsid w:val="00A56163"/>
    <w:rsid w:val="00A62B5D"/>
    <w:rsid w:val="00A63871"/>
    <w:rsid w:val="00A73FFC"/>
    <w:rsid w:val="00A82BBA"/>
    <w:rsid w:val="00A857FA"/>
    <w:rsid w:val="00A90A58"/>
    <w:rsid w:val="00AA0FC3"/>
    <w:rsid w:val="00AA30BB"/>
    <w:rsid w:val="00AA7F89"/>
    <w:rsid w:val="00AB0C39"/>
    <w:rsid w:val="00AB4DC0"/>
    <w:rsid w:val="00AC4159"/>
    <w:rsid w:val="00AC5E4E"/>
    <w:rsid w:val="00AC6111"/>
    <w:rsid w:val="00AD6129"/>
    <w:rsid w:val="00AE3E16"/>
    <w:rsid w:val="00AF23F6"/>
    <w:rsid w:val="00B015BA"/>
    <w:rsid w:val="00B12798"/>
    <w:rsid w:val="00B14E98"/>
    <w:rsid w:val="00B1604F"/>
    <w:rsid w:val="00B174DD"/>
    <w:rsid w:val="00B2544D"/>
    <w:rsid w:val="00B25643"/>
    <w:rsid w:val="00B30734"/>
    <w:rsid w:val="00B31F44"/>
    <w:rsid w:val="00B42564"/>
    <w:rsid w:val="00B44777"/>
    <w:rsid w:val="00B474EB"/>
    <w:rsid w:val="00B53F66"/>
    <w:rsid w:val="00B54444"/>
    <w:rsid w:val="00B55413"/>
    <w:rsid w:val="00B56BD3"/>
    <w:rsid w:val="00B5747E"/>
    <w:rsid w:val="00B6324E"/>
    <w:rsid w:val="00B654DF"/>
    <w:rsid w:val="00B66386"/>
    <w:rsid w:val="00B7351F"/>
    <w:rsid w:val="00B73E4C"/>
    <w:rsid w:val="00B74417"/>
    <w:rsid w:val="00B77978"/>
    <w:rsid w:val="00B8007B"/>
    <w:rsid w:val="00B84357"/>
    <w:rsid w:val="00B874F7"/>
    <w:rsid w:val="00B91FC1"/>
    <w:rsid w:val="00B93825"/>
    <w:rsid w:val="00B95549"/>
    <w:rsid w:val="00BA64AF"/>
    <w:rsid w:val="00BD14B9"/>
    <w:rsid w:val="00BD2E88"/>
    <w:rsid w:val="00BD2F25"/>
    <w:rsid w:val="00BE0B8B"/>
    <w:rsid w:val="00BF1F86"/>
    <w:rsid w:val="00C0077D"/>
    <w:rsid w:val="00C10139"/>
    <w:rsid w:val="00C11289"/>
    <w:rsid w:val="00C173E0"/>
    <w:rsid w:val="00C22968"/>
    <w:rsid w:val="00C24390"/>
    <w:rsid w:val="00C31E80"/>
    <w:rsid w:val="00C33817"/>
    <w:rsid w:val="00C43F1C"/>
    <w:rsid w:val="00C43F58"/>
    <w:rsid w:val="00C705B1"/>
    <w:rsid w:val="00C70601"/>
    <w:rsid w:val="00C73B20"/>
    <w:rsid w:val="00C80465"/>
    <w:rsid w:val="00C8246A"/>
    <w:rsid w:val="00C94CEB"/>
    <w:rsid w:val="00C95A0C"/>
    <w:rsid w:val="00CB6032"/>
    <w:rsid w:val="00CB69F1"/>
    <w:rsid w:val="00CC0F3A"/>
    <w:rsid w:val="00CC616A"/>
    <w:rsid w:val="00CC685E"/>
    <w:rsid w:val="00CD575E"/>
    <w:rsid w:val="00CD5DFE"/>
    <w:rsid w:val="00CD661E"/>
    <w:rsid w:val="00CE04F0"/>
    <w:rsid w:val="00CE2C0F"/>
    <w:rsid w:val="00CE34AD"/>
    <w:rsid w:val="00CF329A"/>
    <w:rsid w:val="00CF3A3A"/>
    <w:rsid w:val="00CF592E"/>
    <w:rsid w:val="00D048C2"/>
    <w:rsid w:val="00D05553"/>
    <w:rsid w:val="00D06460"/>
    <w:rsid w:val="00D06F7B"/>
    <w:rsid w:val="00D272B7"/>
    <w:rsid w:val="00D308CD"/>
    <w:rsid w:val="00D30C73"/>
    <w:rsid w:val="00D355A8"/>
    <w:rsid w:val="00D36D68"/>
    <w:rsid w:val="00D3763A"/>
    <w:rsid w:val="00D547B4"/>
    <w:rsid w:val="00D621C3"/>
    <w:rsid w:val="00D65336"/>
    <w:rsid w:val="00D66BCF"/>
    <w:rsid w:val="00D71D43"/>
    <w:rsid w:val="00D74CBC"/>
    <w:rsid w:val="00D83AB1"/>
    <w:rsid w:val="00D860EE"/>
    <w:rsid w:val="00DA4B0B"/>
    <w:rsid w:val="00DB0950"/>
    <w:rsid w:val="00DB6148"/>
    <w:rsid w:val="00DD0A0D"/>
    <w:rsid w:val="00DE49F7"/>
    <w:rsid w:val="00DE542F"/>
    <w:rsid w:val="00DE68D8"/>
    <w:rsid w:val="00DE7DE3"/>
    <w:rsid w:val="00DF04AE"/>
    <w:rsid w:val="00DF103E"/>
    <w:rsid w:val="00DF1640"/>
    <w:rsid w:val="00DF2DD2"/>
    <w:rsid w:val="00DF6944"/>
    <w:rsid w:val="00E00783"/>
    <w:rsid w:val="00E16DA5"/>
    <w:rsid w:val="00E33745"/>
    <w:rsid w:val="00E40424"/>
    <w:rsid w:val="00E41508"/>
    <w:rsid w:val="00E470ED"/>
    <w:rsid w:val="00E47760"/>
    <w:rsid w:val="00E56C5F"/>
    <w:rsid w:val="00E57EB9"/>
    <w:rsid w:val="00E64ED9"/>
    <w:rsid w:val="00E711B5"/>
    <w:rsid w:val="00E73156"/>
    <w:rsid w:val="00E7768A"/>
    <w:rsid w:val="00E825B8"/>
    <w:rsid w:val="00E903DE"/>
    <w:rsid w:val="00E9543C"/>
    <w:rsid w:val="00EA2E90"/>
    <w:rsid w:val="00EA3116"/>
    <w:rsid w:val="00EA4342"/>
    <w:rsid w:val="00EA5031"/>
    <w:rsid w:val="00EA7879"/>
    <w:rsid w:val="00EB42C1"/>
    <w:rsid w:val="00EB5318"/>
    <w:rsid w:val="00EB536B"/>
    <w:rsid w:val="00ED27D4"/>
    <w:rsid w:val="00ED3800"/>
    <w:rsid w:val="00EE2058"/>
    <w:rsid w:val="00EE693B"/>
    <w:rsid w:val="00EF0D3F"/>
    <w:rsid w:val="00EF0F29"/>
    <w:rsid w:val="00EF10F1"/>
    <w:rsid w:val="00EF21FE"/>
    <w:rsid w:val="00EF6BA0"/>
    <w:rsid w:val="00F017A3"/>
    <w:rsid w:val="00F047CE"/>
    <w:rsid w:val="00F13E15"/>
    <w:rsid w:val="00F23C67"/>
    <w:rsid w:val="00F244A6"/>
    <w:rsid w:val="00F26B12"/>
    <w:rsid w:val="00F31FEA"/>
    <w:rsid w:val="00F476E8"/>
    <w:rsid w:val="00F60647"/>
    <w:rsid w:val="00F713B1"/>
    <w:rsid w:val="00F71CD6"/>
    <w:rsid w:val="00F75388"/>
    <w:rsid w:val="00F80521"/>
    <w:rsid w:val="00F8422E"/>
    <w:rsid w:val="00F84D35"/>
    <w:rsid w:val="00F8633B"/>
    <w:rsid w:val="00F86FF9"/>
    <w:rsid w:val="00F9266B"/>
    <w:rsid w:val="00F934A1"/>
    <w:rsid w:val="00F94756"/>
    <w:rsid w:val="00FA0894"/>
    <w:rsid w:val="00FA090B"/>
    <w:rsid w:val="00FA152D"/>
    <w:rsid w:val="00FA600B"/>
    <w:rsid w:val="00FA6733"/>
    <w:rsid w:val="00FA6DA5"/>
    <w:rsid w:val="00FC4BE5"/>
    <w:rsid w:val="00FC79E4"/>
    <w:rsid w:val="00FC7FF4"/>
    <w:rsid w:val="00FD746D"/>
    <w:rsid w:val="00FE37E0"/>
    <w:rsid w:val="00FE5EAF"/>
    <w:rsid w:val="00FE76C8"/>
    <w:rsid w:val="00FE7EEE"/>
    <w:rsid w:val="00FF2A25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6EAADF-579E-4A8F-BC31-6F89D162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C47"/>
    <w:rPr>
      <w:sz w:val="18"/>
      <w:szCs w:val="18"/>
    </w:rPr>
  </w:style>
  <w:style w:type="table" w:styleId="a7">
    <w:name w:val="Table Grid"/>
    <w:basedOn w:val="a1"/>
    <w:uiPriority w:val="39"/>
    <w:rsid w:val="0025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7C0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854E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5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97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4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秦誉文</dc:creator>
  <cp:keywords/>
  <dc:description/>
  <cp:lastModifiedBy>秦誉文</cp:lastModifiedBy>
  <cp:revision>99</cp:revision>
  <dcterms:created xsi:type="dcterms:W3CDTF">2024-03-29T02:13:00Z</dcterms:created>
  <dcterms:modified xsi:type="dcterms:W3CDTF">2024-07-01T05:27:00Z</dcterms:modified>
</cp:coreProperties>
</file>