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20" w:lineRule="exact"/>
        <w:jc w:val="left"/>
        <w:rPr>
          <w:rFonts w:ascii="楷体" w:hAnsi="楷体" w:eastAsia="楷体"/>
          <w:sz w:val="24"/>
        </w:rPr>
      </w:pPr>
      <w:r>
        <w:rPr>
          <w:rFonts w:hint="eastAsia" w:ascii="楷体" w:hAnsi="楷体" w:eastAsia="楷体"/>
          <w:sz w:val="24"/>
        </w:rPr>
        <w:t>证券代码：6</w:t>
      </w:r>
      <w:r>
        <w:rPr>
          <w:rFonts w:ascii="楷体" w:hAnsi="楷体" w:eastAsia="楷体"/>
          <w:sz w:val="24"/>
        </w:rPr>
        <w:t xml:space="preserve">00968   </w:t>
      </w:r>
      <w:r>
        <w:rPr>
          <w:rFonts w:hint="eastAsia" w:ascii="楷体" w:hAnsi="楷体" w:eastAsia="楷体"/>
          <w:sz w:val="24"/>
        </w:rPr>
        <w:t xml:space="preserve">                              证券简称：海油发展 </w:t>
      </w:r>
      <w:r>
        <w:rPr>
          <w:rFonts w:ascii="楷体" w:hAnsi="楷体" w:eastAsia="楷体"/>
          <w:sz w:val="24"/>
        </w:rPr>
        <w:t xml:space="preserve"> </w:t>
      </w:r>
    </w:p>
    <w:p>
      <w:pPr>
        <w:spacing w:line="480" w:lineRule="exact"/>
        <w:jc w:val="center"/>
        <w:rPr>
          <w:rFonts w:ascii="宋体" w:hAnsi="宋体"/>
          <w:b/>
          <w:bCs/>
          <w:sz w:val="28"/>
          <w:szCs w:val="30"/>
        </w:rPr>
      </w:pPr>
      <w:r>
        <w:rPr>
          <w:rFonts w:hint="eastAsia" w:ascii="宋体" w:hAnsi="宋体"/>
          <w:b/>
          <w:bCs/>
          <w:sz w:val="28"/>
          <w:szCs w:val="30"/>
        </w:rPr>
        <w:t>中海油能源发展股份有限公司</w:t>
      </w:r>
    </w:p>
    <w:p>
      <w:pPr>
        <w:spacing w:line="480" w:lineRule="exact"/>
        <w:jc w:val="center"/>
        <w:outlineLvl w:val="0"/>
        <w:rPr>
          <w:rFonts w:ascii="宋体" w:hAnsi="宋体"/>
          <w:b/>
          <w:bCs/>
          <w:sz w:val="28"/>
          <w:szCs w:val="30"/>
        </w:rPr>
      </w:pPr>
      <w:r>
        <w:rPr>
          <w:rFonts w:hint="eastAsia" w:ascii="宋体" w:hAnsi="宋体"/>
          <w:b/>
          <w:bCs/>
          <w:sz w:val="28"/>
          <w:szCs w:val="30"/>
        </w:rPr>
        <w:t>投资者关系活动记录表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bCs/>
                <w:sz w:val="24"/>
              </w:rPr>
            </w:pPr>
            <w:r>
              <w:rPr>
                <w:rFonts w:hint="eastAsia" w:ascii="Arial" w:hAnsi="Arial"/>
                <w:bCs/>
                <w:sz w:val="24"/>
              </w:rPr>
              <w:t>投资者关系活动类别</w:t>
            </w:r>
          </w:p>
        </w:tc>
        <w:tc>
          <w:tcPr>
            <w:tcW w:w="4353"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Arial" w:hAnsi="Arial"/>
                <w:bCs/>
                <w:sz w:val="24"/>
              </w:rPr>
            </w:pPr>
            <w:r>
              <w:rPr>
                <w:rFonts w:hint="eastAsia" w:ascii="Arial" w:hAnsi="Arial"/>
                <w:bCs/>
                <w:sz w:val="24"/>
              </w:rPr>
              <w:sym w:font="Wingdings 2" w:char="0052"/>
            </w:r>
            <w:r>
              <w:rPr>
                <w:rFonts w:hint="eastAsia" w:ascii="Arial" w:hAnsi="Arial"/>
                <w:bCs/>
                <w:sz w:val="24"/>
              </w:rPr>
              <w:t xml:space="preserve">特定对象调研 </w:t>
            </w:r>
            <w:r>
              <w:rPr>
                <w:rFonts w:hint="eastAsia" w:ascii="Arial" w:hAnsi="Arial"/>
                <w:bCs/>
                <w:sz w:val="24"/>
              </w:rPr>
              <w:sym w:font="Wingdings 2" w:char="00A3"/>
            </w:r>
            <w:r>
              <w:rPr>
                <w:rFonts w:hint="eastAsia" w:ascii="Arial" w:hAnsi="Arial"/>
                <w:bCs/>
                <w:sz w:val="24"/>
              </w:rPr>
              <w:t>分析师会议</w:t>
            </w:r>
          </w:p>
          <w:p>
            <w:pPr>
              <w:spacing w:line="400" w:lineRule="exact"/>
              <w:rPr>
                <w:rFonts w:ascii="Arial" w:hAnsi="Arial"/>
                <w:bCs/>
                <w:sz w:val="24"/>
              </w:rPr>
            </w:pPr>
            <w:r>
              <w:rPr>
                <w:rFonts w:hint="eastAsia" w:ascii="Arial" w:hAnsi="Arial"/>
                <w:bCs/>
                <w:sz w:val="24"/>
              </w:rPr>
              <w:t xml:space="preserve">□媒体采访 </w:t>
            </w:r>
            <w:r>
              <w:rPr>
                <w:rFonts w:ascii="Arial" w:hAnsi="Arial"/>
                <w:bCs/>
                <w:sz w:val="24"/>
              </w:rPr>
              <w:t xml:space="preserve">   </w:t>
            </w:r>
            <w:r>
              <w:rPr>
                <w:rFonts w:hint="eastAsia" w:ascii="Arial" w:hAnsi="Arial"/>
                <w:bCs/>
                <w:sz w:val="24"/>
              </w:rPr>
              <w:t xml:space="preserve"> </w:t>
            </w:r>
            <w:r>
              <w:rPr>
                <w:rFonts w:hint="eastAsia" w:ascii="Arial" w:hAnsi="Arial"/>
                <w:bCs/>
                <w:sz w:val="24"/>
              </w:rPr>
              <w:sym w:font="Wingdings 2" w:char="00A3"/>
            </w:r>
            <w:r>
              <w:rPr>
                <w:rFonts w:hint="eastAsia" w:ascii="Arial" w:hAnsi="Arial"/>
                <w:bCs/>
                <w:sz w:val="24"/>
              </w:rPr>
              <w:t>业绩说明会</w:t>
            </w:r>
          </w:p>
          <w:p>
            <w:pPr>
              <w:spacing w:line="400" w:lineRule="exact"/>
              <w:rPr>
                <w:rFonts w:ascii="Arial" w:hAnsi="Arial"/>
                <w:bCs/>
                <w:sz w:val="24"/>
              </w:rPr>
            </w:pPr>
            <w:r>
              <w:rPr>
                <w:rFonts w:hint="eastAsia" w:ascii="Arial" w:hAnsi="Arial"/>
                <w:bCs/>
                <w:sz w:val="24"/>
              </w:rPr>
              <w:t xml:space="preserve">□新闻发布会 </w:t>
            </w:r>
            <w:r>
              <w:rPr>
                <w:rFonts w:ascii="Arial" w:hAnsi="Arial"/>
                <w:bCs/>
                <w:sz w:val="24"/>
              </w:rPr>
              <w:t xml:space="preserve">  </w:t>
            </w:r>
            <w:r>
              <w:rPr>
                <w:rFonts w:hint="eastAsia" w:ascii="Arial" w:hAnsi="Arial"/>
                <w:bCs/>
                <w:sz w:val="24"/>
              </w:rPr>
              <w:sym w:font="Wingdings 2" w:char="0052"/>
            </w:r>
            <w:r>
              <w:rPr>
                <w:rFonts w:hint="eastAsia" w:ascii="Arial" w:hAnsi="Arial"/>
                <w:bCs/>
                <w:sz w:val="24"/>
              </w:rPr>
              <w:t>路演活动</w:t>
            </w:r>
          </w:p>
          <w:p>
            <w:pPr>
              <w:spacing w:line="400" w:lineRule="exact"/>
              <w:rPr>
                <w:rFonts w:ascii="Arial" w:hAnsi="Arial"/>
                <w:bCs/>
                <w:sz w:val="24"/>
              </w:rPr>
            </w:pPr>
            <w:r>
              <w:rPr>
                <w:rFonts w:hint="eastAsia" w:ascii="Arial" w:hAnsi="Arial"/>
                <w:bCs/>
                <w:sz w:val="24"/>
              </w:rPr>
              <w:t>□现场参观</w:t>
            </w:r>
          </w:p>
          <w:p>
            <w:pPr>
              <w:spacing w:line="400" w:lineRule="exact"/>
              <w:rPr>
                <w:rFonts w:ascii="Arial" w:hAnsi="Arial"/>
                <w:bCs/>
                <w:sz w:val="24"/>
              </w:rPr>
            </w:pPr>
            <w:r>
              <w:rPr>
                <w:rFonts w:hint="eastAsia" w:ascii="Arial" w:hAnsi="Arial"/>
                <w:bCs/>
                <w:sz w:val="24"/>
              </w:rPr>
              <w:t>□其他（请文字说明其他活动内容）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时间</w:t>
            </w:r>
          </w:p>
        </w:tc>
        <w:tc>
          <w:tcPr>
            <w:tcW w:w="4353"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Arial" w:hAnsi="Arial" w:cs="Arial"/>
                <w:sz w:val="24"/>
              </w:rPr>
            </w:pPr>
            <w:r>
              <w:rPr>
                <w:rFonts w:ascii="Times New Roman" w:hAnsi="Times New Roman"/>
                <w:sz w:val="24"/>
              </w:rPr>
              <w:t>202</w:t>
            </w:r>
            <w:r>
              <w:rPr>
                <w:rFonts w:hint="eastAsia" w:ascii="Times New Roman" w:hAnsi="Times New Roman"/>
                <w:sz w:val="24"/>
              </w:rPr>
              <w:t>4</w:t>
            </w:r>
            <w:r>
              <w:rPr>
                <w:rFonts w:ascii="Times New Roman" w:hAnsi="Times New Roman"/>
                <w:sz w:val="24"/>
              </w:rPr>
              <w:t>年</w:t>
            </w:r>
            <w:r>
              <w:rPr>
                <w:rFonts w:hint="eastAsia" w:ascii="Times New Roman" w:hAnsi="Times New Roman"/>
                <w:sz w:val="24"/>
              </w:rPr>
              <w:t>5月1</w:t>
            </w:r>
            <w:r>
              <w:rPr>
                <w:rFonts w:ascii="Times New Roman" w:hAnsi="Times New Roman"/>
                <w:sz w:val="24"/>
              </w:rPr>
              <w:t>日</w:t>
            </w:r>
            <w:r>
              <w:rPr>
                <w:rFonts w:hint="eastAsia" w:ascii="Times New Roman" w:hAnsi="Times New Roman"/>
                <w:sz w:val="24"/>
              </w:rPr>
              <w:t>-2024年6月30日（19场）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地点</w:t>
            </w:r>
          </w:p>
        </w:tc>
        <w:tc>
          <w:tcPr>
            <w:tcW w:w="4353"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Arial" w:hAnsi="Arial" w:cs="Arial"/>
                <w:sz w:val="24"/>
              </w:rPr>
            </w:pPr>
            <w:r>
              <w:rPr>
                <w:rFonts w:hint="eastAsia" w:ascii="Arial" w:hAnsi="Arial" w:cs="Arial"/>
                <w:sz w:val="24"/>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Arial" w:hAnsi="Arial"/>
                <w:bCs/>
                <w:sz w:val="24"/>
              </w:rPr>
            </w:pPr>
            <w:r>
              <w:rPr>
                <w:rFonts w:hint="eastAsia" w:ascii="Arial" w:hAnsi="Arial"/>
                <w:bCs/>
                <w:sz w:val="24"/>
              </w:rPr>
              <w:t>上市公司接待人员姓名</w:t>
            </w:r>
          </w:p>
        </w:tc>
        <w:tc>
          <w:tcPr>
            <w:tcW w:w="4353" w:type="pct"/>
            <w:tcBorders>
              <w:top w:val="single" w:color="auto" w:sz="4" w:space="0"/>
              <w:left w:val="single" w:color="auto" w:sz="4" w:space="0"/>
              <w:bottom w:val="single" w:color="auto" w:sz="4" w:space="0"/>
              <w:right w:val="single" w:color="auto" w:sz="4" w:space="0"/>
            </w:tcBorders>
            <w:vAlign w:val="center"/>
          </w:tcPr>
          <w:tbl>
            <w:tblPr>
              <w:tblStyle w:val="9"/>
              <w:tblW w:w="5000" w:type="pct"/>
              <w:tblInd w:w="0" w:type="dxa"/>
              <w:tblLayout w:type="autofit"/>
              <w:tblCellMar>
                <w:top w:w="0" w:type="dxa"/>
                <w:left w:w="108" w:type="dxa"/>
                <w:bottom w:w="0" w:type="dxa"/>
                <w:right w:w="108" w:type="dxa"/>
              </w:tblCellMar>
            </w:tblPr>
            <w:tblGrid>
              <w:gridCol w:w="1495"/>
              <w:gridCol w:w="5882"/>
            </w:tblGrid>
            <w:tr>
              <w:tblPrEx>
                <w:tblCellMar>
                  <w:top w:w="0" w:type="dxa"/>
                  <w:left w:w="108" w:type="dxa"/>
                  <w:bottom w:w="0" w:type="dxa"/>
                  <w:right w:w="108" w:type="dxa"/>
                </w:tblCellMar>
              </w:tblPrEx>
              <w:trPr>
                <w:trHeight w:val="285" w:hRule="atLeast"/>
              </w:trPr>
              <w:tc>
                <w:tcPr>
                  <w:tcW w:w="1495" w:type="dxa"/>
                  <w:shd w:val="clear" w:color="auto" w:fill="auto"/>
                  <w:noWrap/>
                  <w:vAlign w:val="bottom"/>
                </w:tcPr>
                <w:p>
                  <w:pPr>
                    <w:spacing w:line="276" w:lineRule="auto"/>
                    <w:rPr>
                      <w:rFonts w:ascii="Arial" w:hAnsi="Arial" w:cs="Arial"/>
                      <w:sz w:val="24"/>
                    </w:rPr>
                  </w:pPr>
                  <w:r>
                    <w:rPr>
                      <w:rFonts w:hint="eastAsia" w:ascii="Arial" w:hAnsi="Arial" w:cs="Arial"/>
                      <w:sz w:val="24"/>
                    </w:rPr>
                    <w:t>蔡建鑫</w:t>
                  </w:r>
                </w:p>
              </w:tc>
              <w:tc>
                <w:tcPr>
                  <w:tcW w:w="5882" w:type="dxa"/>
                  <w:shd w:val="clear" w:color="auto" w:fill="auto"/>
                  <w:noWrap/>
                  <w:vAlign w:val="center"/>
                </w:tcPr>
                <w:p>
                  <w:pPr>
                    <w:spacing w:line="276" w:lineRule="auto"/>
                    <w:rPr>
                      <w:rFonts w:ascii="Arial" w:hAnsi="Arial" w:cs="Arial"/>
                      <w:sz w:val="24"/>
                    </w:rPr>
                  </w:pPr>
                  <w:r>
                    <w:rPr>
                      <w:rFonts w:hint="eastAsia" w:ascii="Arial" w:hAnsi="Arial" w:cs="Arial"/>
                      <w:sz w:val="24"/>
                    </w:rPr>
                    <w:t>证券事务代表</w:t>
                  </w:r>
                </w:p>
              </w:tc>
            </w:tr>
            <w:tr>
              <w:tblPrEx>
                <w:tblCellMar>
                  <w:top w:w="0" w:type="dxa"/>
                  <w:left w:w="108" w:type="dxa"/>
                  <w:bottom w:w="0" w:type="dxa"/>
                  <w:right w:w="108" w:type="dxa"/>
                </w:tblCellMar>
              </w:tblPrEx>
              <w:trPr>
                <w:trHeight w:val="285" w:hRule="atLeast"/>
              </w:trPr>
              <w:tc>
                <w:tcPr>
                  <w:tcW w:w="1495" w:type="dxa"/>
                  <w:shd w:val="clear" w:color="auto" w:fill="auto"/>
                  <w:noWrap/>
                  <w:vAlign w:val="bottom"/>
                </w:tcPr>
                <w:p>
                  <w:pPr>
                    <w:spacing w:line="276" w:lineRule="auto"/>
                    <w:rPr>
                      <w:rFonts w:ascii="Arial" w:hAnsi="Arial" w:cs="Arial"/>
                      <w:sz w:val="24"/>
                    </w:rPr>
                  </w:pPr>
                  <w:r>
                    <w:rPr>
                      <w:rFonts w:hint="eastAsia" w:ascii="Arial" w:hAnsi="Arial" w:cs="Arial"/>
                      <w:sz w:val="24"/>
                    </w:rPr>
                    <w:t>刘  辰</w:t>
                  </w:r>
                </w:p>
              </w:tc>
              <w:tc>
                <w:tcPr>
                  <w:tcW w:w="5882" w:type="dxa"/>
                  <w:shd w:val="clear" w:color="auto" w:fill="auto"/>
                  <w:noWrap/>
                  <w:vAlign w:val="center"/>
                </w:tcPr>
                <w:p>
                  <w:pPr>
                    <w:spacing w:line="276" w:lineRule="auto"/>
                    <w:rPr>
                      <w:rFonts w:ascii="Arial" w:hAnsi="Arial" w:cs="Arial"/>
                      <w:sz w:val="24"/>
                    </w:rPr>
                  </w:pPr>
                  <w:r>
                    <w:rPr>
                      <w:rFonts w:hint="eastAsia" w:ascii="Arial" w:hAnsi="Arial" w:cs="Arial"/>
                      <w:sz w:val="24"/>
                    </w:rPr>
                    <w:t>董事会与价值管理经理</w:t>
                  </w:r>
                </w:p>
              </w:tc>
            </w:tr>
            <w:tr>
              <w:tblPrEx>
                <w:tblCellMar>
                  <w:top w:w="0" w:type="dxa"/>
                  <w:left w:w="108" w:type="dxa"/>
                  <w:bottom w:w="0" w:type="dxa"/>
                  <w:right w:w="108" w:type="dxa"/>
                </w:tblCellMar>
              </w:tblPrEx>
              <w:trPr>
                <w:trHeight w:val="285" w:hRule="atLeast"/>
              </w:trPr>
              <w:tc>
                <w:tcPr>
                  <w:tcW w:w="1495" w:type="dxa"/>
                  <w:shd w:val="clear" w:color="auto" w:fill="auto"/>
                  <w:noWrap/>
                  <w:vAlign w:val="bottom"/>
                </w:tcPr>
                <w:p>
                  <w:pPr>
                    <w:spacing w:line="276" w:lineRule="auto"/>
                    <w:rPr>
                      <w:rFonts w:ascii="Arial" w:hAnsi="Arial" w:cs="Arial"/>
                      <w:sz w:val="24"/>
                    </w:rPr>
                  </w:pPr>
                  <w:r>
                    <w:rPr>
                      <w:rFonts w:hint="eastAsia" w:ascii="Arial" w:hAnsi="Arial" w:cs="Arial"/>
                      <w:sz w:val="24"/>
                    </w:rPr>
                    <w:t>高  静</w:t>
                  </w:r>
                </w:p>
              </w:tc>
              <w:tc>
                <w:tcPr>
                  <w:tcW w:w="5882" w:type="dxa"/>
                  <w:shd w:val="clear" w:color="auto" w:fill="auto"/>
                  <w:noWrap/>
                  <w:vAlign w:val="center"/>
                </w:tcPr>
                <w:p>
                  <w:pPr>
                    <w:spacing w:line="276" w:lineRule="auto"/>
                    <w:rPr>
                      <w:rFonts w:ascii="Arial" w:hAnsi="Arial" w:cs="Arial"/>
                      <w:sz w:val="24"/>
                    </w:rPr>
                  </w:pPr>
                  <w:r>
                    <w:rPr>
                      <w:rFonts w:hint="eastAsia" w:ascii="Arial" w:hAnsi="Arial" w:cs="Arial"/>
                      <w:sz w:val="24"/>
                    </w:rPr>
                    <w:t>投资者关系主管</w:t>
                  </w:r>
                </w:p>
              </w:tc>
            </w:tr>
          </w:tbl>
          <w:p>
            <w:pPr>
              <w:spacing w:line="276"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Arial" w:hAnsi="Arial"/>
                <w:bCs/>
                <w:sz w:val="24"/>
              </w:rPr>
            </w:pPr>
            <w:r>
              <w:rPr>
                <w:rFonts w:hint="eastAsia" w:ascii="Arial" w:hAnsi="Arial"/>
                <w:bCs/>
                <w:kern w:val="0"/>
                <w:sz w:val="24"/>
              </w:rPr>
              <w:t>参与单位名称</w:t>
            </w:r>
          </w:p>
        </w:tc>
        <w:tc>
          <w:tcPr>
            <w:tcW w:w="759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rPr>
            </w:pPr>
            <w:r>
              <w:rPr>
                <w:rFonts w:hint="eastAsia" w:ascii="宋体" w:hAnsi="宋体" w:cs="宋体"/>
                <w:sz w:val="24"/>
              </w:rPr>
              <w:t>中金公司、国信证券、南方基金、银华基金、高毅资产、中银基金、华泰证券、上海敦和资产、T.ROWE.PRIC、德邦基金、融通基金、工银瑞信、中邮资管、和煦智远基金、宏利基金、大家资产、永盈基金、华创证券、首创证券、富国基金、深圳前海明出九州、pinpoint、招银理财、北京城旸、新华养老、嘉实基金、国投证券、合众股份、中加基金、工银理财、建信基金、中信建投、中信证券、国寿资产、长江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投资者关系活动主要内容介绍</w:t>
            </w:r>
          </w:p>
        </w:tc>
        <w:tc>
          <w:tcPr>
            <w:tcW w:w="4353" w:type="pct"/>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Q1：</w:t>
            </w:r>
            <w:r>
              <w:rPr>
                <w:rFonts w:hint="eastAsia"/>
                <w:sz w:val="24"/>
                <w:lang w:eastAsia="zh-Hans"/>
              </w:rPr>
              <w:t>面对2024年充满挑战和不确定性的国际市场环境，</w:t>
            </w:r>
            <w:r>
              <w:rPr>
                <w:rFonts w:hint="eastAsia"/>
                <w:sz w:val="24"/>
              </w:rPr>
              <w:t>公司对于2024年国际油价走势和中国海油资本开支计划的落地情况有何预判？同时，对</w:t>
            </w:r>
            <w:r>
              <w:rPr>
                <w:rFonts w:hint="eastAsia"/>
                <w:sz w:val="24"/>
                <w:lang w:eastAsia="zh-Hans"/>
              </w:rPr>
              <w:t>油气</w:t>
            </w:r>
            <w:r>
              <w:rPr>
                <w:rFonts w:hint="eastAsia"/>
                <w:sz w:val="24"/>
              </w:rPr>
              <w:t>服务</w:t>
            </w:r>
            <w:r>
              <w:rPr>
                <w:rFonts w:hint="eastAsia"/>
                <w:sz w:val="24"/>
                <w:lang w:eastAsia="zh-Hans"/>
              </w:rPr>
              <w:t>行业的未来发展方向，公司有哪些</w:t>
            </w:r>
            <w:r>
              <w:rPr>
                <w:rFonts w:hint="eastAsia"/>
                <w:sz w:val="24"/>
              </w:rPr>
              <w:t>判断</w:t>
            </w:r>
            <w:r>
              <w:rPr>
                <w:rFonts w:hint="eastAsia"/>
                <w:sz w:val="24"/>
                <w:lang w:eastAsia="zh-Hans"/>
              </w:rPr>
              <w:t>？</w:t>
            </w:r>
          </w:p>
          <w:p>
            <w:pPr>
              <w:rPr>
                <w:sz w:val="24"/>
              </w:rPr>
            </w:pPr>
            <w:r>
              <w:rPr>
                <w:rFonts w:hint="eastAsia"/>
                <w:sz w:val="24"/>
              </w:rPr>
              <w:t>A1：2024年，地缘政治形势依旧复杂严峻，俄乌冲突持续，巴以冲突仍具较大外溢风险。根据相关机构数据预测，2024年全球经济增长3%左右，中国经济增长5%左右，全球和中国石油需求已逐步恢复。预计2024年全年布伦特原油价格波动区间有望在70～100美元/桶区间的相对高位运行。</w:t>
            </w:r>
          </w:p>
          <w:p>
            <w:pPr>
              <w:ind w:firstLine="480" w:firstLineChars="200"/>
              <w:rPr>
                <w:sz w:val="24"/>
              </w:rPr>
            </w:pPr>
            <w:r>
              <w:rPr>
                <w:rFonts w:hint="eastAsia"/>
                <w:sz w:val="24"/>
              </w:rPr>
              <w:t>根据中国海油发布的2024年度战略展望，2024年资本开支计划为1250亿元-1350亿元人民币，其中，勘探、开发、生产资本化预计分别占资本支出预算总额的约16%、63%和19%。受国家能源安全战略及增储上产“七年行动计划”影响，中国海油2024年资本开支计划落地将具有较大确定性。国内油气技术服务产业景气度将持续提升，发展趋势持续向好。</w:t>
            </w:r>
          </w:p>
          <w:p>
            <w:pPr>
              <w:ind w:firstLine="480" w:firstLineChars="200"/>
              <w:rPr>
                <w:sz w:val="24"/>
              </w:rPr>
            </w:pPr>
            <w:r>
              <w:rPr>
                <w:rFonts w:hint="eastAsia"/>
                <w:sz w:val="24"/>
              </w:rPr>
              <w:t>对于公司而言，我想现阶段既是挑战也是机遇，但机遇明显大于挑战。随着海上油气田开发进入中后期，老油田持续稳产难度增大，这为公司提供了更加广阔的用武之地，引领公司核心能力建设迈上新台阶。2024年公司将全力抓好产业塑造、科技攻关、市场开拓、产能建设、风险防控等五个重点方向，更好服务和保障国家能源安全，推动公司发展实现质的有效提升和量的合理增长。谢谢。</w:t>
            </w:r>
          </w:p>
          <w:p>
            <w:pPr>
              <w:ind w:firstLine="480" w:firstLineChars="200"/>
              <w:rPr>
                <w:sz w:val="24"/>
              </w:rPr>
            </w:pPr>
          </w:p>
          <w:p>
            <w:pPr>
              <w:rPr>
                <w:sz w:val="24"/>
              </w:rPr>
            </w:pPr>
            <w:r>
              <w:rPr>
                <w:rFonts w:hint="eastAsia"/>
                <w:sz w:val="24"/>
              </w:rPr>
              <w:t>Q2：关于</w:t>
            </w:r>
            <w:r>
              <w:rPr>
                <w:rFonts w:hint="eastAsia"/>
                <w:sz w:val="24"/>
                <w:lang w:eastAsia="zh-Hans"/>
              </w:rPr>
              <w:t>海油发展2023年度财务表现，我们注意到公司的利润</w:t>
            </w:r>
            <w:r>
              <w:rPr>
                <w:rFonts w:hint="eastAsia"/>
                <w:sz w:val="24"/>
              </w:rPr>
              <w:t>增幅</w:t>
            </w:r>
            <w:r>
              <w:rPr>
                <w:rFonts w:hint="eastAsia"/>
                <w:sz w:val="24"/>
                <w:lang w:eastAsia="zh-Hans"/>
              </w:rPr>
              <w:t>显著超过了收入的</w:t>
            </w:r>
            <w:r>
              <w:rPr>
                <w:rFonts w:hint="eastAsia"/>
                <w:sz w:val="24"/>
              </w:rPr>
              <w:t>增幅</w:t>
            </w:r>
            <w:r>
              <w:rPr>
                <w:rFonts w:hint="eastAsia"/>
                <w:sz w:val="24"/>
                <w:lang w:eastAsia="zh-Hans"/>
              </w:rPr>
              <w:t>。</w:t>
            </w:r>
            <w:r>
              <w:rPr>
                <w:rFonts w:hint="eastAsia"/>
                <w:sz w:val="24"/>
              </w:rPr>
              <w:t>请问</w:t>
            </w:r>
            <w:r>
              <w:rPr>
                <w:rFonts w:hint="eastAsia"/>
                <w:sz w:val="24"/>
                <w:lang w:eastAsia="zh-Hans"/>
              </w:rPr>
              <w:t>公司在经营策略上采取了哪些关键措施来实现这一成果</w:t>
            </w:r>
            <w:r>
              <w:rPr>
                <w:rFonts w:hint="eastAsia"/>
                <w:sz w:val="24"/>
              </w:rPr>
              <w:t>？</w:t>
            </w:r>
          </w:p>
          <w:p>
            <w:pPr>
              <w:rPr>
                <w:sz w:val="24"/>
                <w:lang w:eastAsia="zh-Hans"/>
              </w:rPr>
            </w:pPr>
            <w:r>
              <w:rPr>
                <w:rFonts w:hint="eastAsia"/>
                <w:sz w:val="24"/>
              </w:rPr>
              <w:t>A2：</w:t>
            </w:r>
            <w:r>
              <w:rPr>
                <w:sz w:val="24"/>
              </w:rPr>
              <w:t xml:space="preserve"> </w:t>
            </w:r>
            <w:r>
              <w:rPr>
                <w:sz w:val="24"/>
                <w:lang w:eastAsia="zh-Hans"/>
              </w:rPr>
              <w:t>海油发展</w:t>
            </w:r>
            <w:r>
              <w:rPr>
                <w:sz w:val="24"/>
              </w:rPr>
              <w:t>2023</w:t>
            </w:r>
            <w:r>
              <w:rPr>
                <w:sz w:val="24"/>
                <w:lang w:eastAsia="zh-Hans"/>
              </w:rPr>
              <w:t>年</w:t>
            </w:r>
            <w:r>
              <w:rPr>
                <w:sz w:val="24"/>
              </w:rPr>
              <w:t>度</w:t>
            </w:r>
            <w:r>
              <w:rPr>
                <w:sz w:val="24"/>
                <w:lang w:eastAsia="zh-Hans"/>
              </w:rPr>
              <w:t>实现营业收入4</w:t>
            </w:r>
            <w:r>
              <w:rPr>
                <w:sz w:val="24"/>
              </w:rPr>
              <w:t>93.08</w:t>
            </w:r>
            <w:r>
              <w:rPr>
                <w:sz w:val="24"/>
                <w:lang w:eastAsia="zh-Hans"/>
              </w:rPr>
              <w:t>亿元，同比增长</w:t>
            </w:r>
            <w:r>
              <w:rPr>
                <w:sz w:val="24"/>
              </w:rPr>
              <w:t>3.19</w:t>
            </w:r>
            <w:r>
              <w:rPr>
                <w:sz w:val="24"/>
                <w:lang w:eastAsia="zh-Hans"/>
              </w:rPr>
              <w:t>%；归属于上市公司股东的净利润</w:t>
            </w:r>
            <w:r>
              <w:rPr>
                <w:sz w:val="24"/>
              </w:rPr>
              <w:t>30.81</w:t>
            </w:r>
            <w:r>
              <w:rPr>
                <w:sz w:val="24"/>
                <w:lang w:eastAsia="zh-Hans"/>
              </w:rPr>
              <w:t>亿元，同比增长</w:t>
            </w:r>
            <w:r>
              <w:rPr>
                <w:sz w:val="24"/>
              </w:rPr>
              <w:t>27.52</w:t>
            </w:r>
            <w:r>
              <w:rPr>
                <w:sz w:val="24"/>
                <w:lang w:eastAsia="zh-Hans"/>
              </w:rPr>
              <w:t>%</w:t>
            </w:r>
            <w:r>
              <w:rPr>
                <w:sz w:val="24"/>
              </w:rPr>
              <w:t>；</w:t>
            </w:r>
            <w:r>
              <w:rPr>
                <w:sz w:val="24"/>
                <w:lang w:eastAsia="zh-Hans"/>
              </w:rPr>
              <w:t>业绩持续向好</w:t>
            </w:r>
            <w:r>
              <w:rPr>
                <w:sz w:val="24"/>
              </w:rPr>
              <w:t>，好于预期，优于同期</w:t>
            </w:r>
            <w:r>
              <w:rPr>
                <w:sz w:val="24"/>
                <w:lang w:eastAsia="zh-Hans"/>
              </w:rPr>
              <w:t>。</w:t>
            </w:r>
          </w:p>
          <w:p>
            <w:pPr>
              <w:ind w:firstLine="480" w:firstLineChars="200"/>
              <w:rPr>
                <w:sz w:val="24"/>
              </w:rPr>
            </w:pPr>
            <w:r>
              <w:rPr>
                <w:sz w:val="24"/>
                <w:lang w:eastAsia="zh-Hans"/>
              </w:rPr>
              <w:t>公司取得这么好的经营业绩，一方面，得益于国际油价</w:t>
            </w:r>
            <w:r>
              <w:rPr>
                <w:sz w:val="24"/>
              </w:rPr>
              <w:t>处于合理区间</w:t>
            </w:r>
            <w:r>
              <w:rPr>
                <w:sz w:val="24"/>
                <w:lang w:eastAsia="zh-Hans"/>
              </w:rPr>
              <w:t>和国内油气公司深入推进油气增储上产“七年行动计划”</w:t>
            </w:r>
            <w:r>
              <w:rPr>
                <w:sz w:val="24"/>
              </w:rPr>
              <w:t>，</w:t>
            </w:r>
            <w:r>
              <w:rPr>
                <w:sz w:val="24"/>
                <w:lang w:eastAsia="zh-Hans"/>
              </w:rPr>
              <w:t>公司抓住有利时机，全力保障油气开发生产需求，全面提升“技术+装备/产品+服务”的一体化服务能力，持续塑强产业竞争优势，合理安排生产经营，来自油气上游的相关业务工作量</w:t>
            </w:r>
            <w:r>
              <w:rPr>
                <w:sz w:val="24"/>
              </w:rPr>
              <w:t>持续</w:t>
            </w:r>
            <w:r>
              <w:rPr>
                <w:sz w:val="24"/>
                <w:lang w:eastAsia="zh-Hans"/>
              </w:rPr>
              <w:t>增加。另一方面，也得益于公司持续深入开展提质降本增效行动，聚焦提质增效、“三费”压降、维修费降本三大领域一体发力，持续推动降本增效管控向一线经营主体延伸</w:t>
            </w:r>
            <w:r>
              <w:rPr>
                <w:sz w:val="24"/>
              </w:rPr>
              <w:t>，</w:t>
            </w:r>
            <w:r>
              <w:rPr>
                <w:sz w:val="24"/>
                <w:lang w:eastAsia="zh-Hans"/>
              </w:rPr>
              <w:t>提高生产作业效率，优化成本结构</w:t>
            </w:r>
            <w:r>
              <w:rPr>
                <w:sz w:val="24"/>
              </w:rPr>
              <w:t>，巩固低成本竞争优势，</w:t>
            </w:r>
            <w:r>
              <w:rPr>
                <w:sz w:val="24"/>
                <w:lang w:eastAsia="zh-Hans"/>
              </w:rPr>
              <w:t>在高质量发展上取得了新成效</w:t>
            </w:r>
            <w:r>
              <w:rPr>
                <w:sz w:val="24"/>
              </w:rPr>
              <w:t>，公司资产质量和盈利能力进一步提高，成本费用利润率同比提升1.78个百分点，净资产收益率同比提升2.04个百分点</w:t>
            </w:r>
            <w:r>
              <w:rPr>
                <w:sz w:val="24"/>
                <w:lang w:eastAsia="zh-Hans"/>
              </w:rPr>
              <w:t>。谢谢。</w:t>
            </w:r>
          </w:p>
          <w:p>
            <w:pPr>
              <w:rPr>
                <w:sz w:val="24"/>
              </w:rPr>
            </w:pPr>
            <w:r>
              <w:rPr>
                <w:sz w:val="24"/>
              </w:rPr>
              <w:t xml:space="preserve">     </w:t>
            </w:r>
          </w:p>
          <w:p>
            <w:pPr>
              <w:rPr>
                <w:sz w:val="24"/>
              </w:rPr>
            </w:pPr>
            <w:r>
              <w:rPr>
                <w:rFonts w:hint="eastAsia"/>
                <w:sz w:val="24"/>
              </w:rPr>
              <w:t>Q3：海油发展2023年度现金流同比变化较大，请介绍一下具体情况？</w:t>
            </w:r>
          </w:p>
          <w:p>
            <w:pPr>
              <w:rPr>
                <w:sz w:val="24"/>
              </w:rPr>
            </w:pPr>
            <w:r>
              <w:rPr>
                <w:rFonts w:hint="eastAsia"/>
                <w:sz w:val="24"/>
              </w:rPr>
              <w:t>A3：2023年，公司经营活动产生的现金流量净额77.45亿元，同比去年34.16亿元增加43.29亿元，增长126.75%。</w:t>
            </w:r>
          </w:p>
          <w:p>
            <w:pPr>
              <w:ind w:firstLine="480" w:firstLineChars="200"/>
              <w:rPr>
                <w:sz w:val="24"/>
              </w:rPr>
            </w:pPr>
            <w:r>
              <w:rPr>
                <w:rFonts w:hint="eastAsia"/>
                <w:sz w:val="24"/>
              </w:rPr>
              <w:t>公司经营活动现金净流量大幅增加，一方面得益于公司经营业绩稳中有升，营业收入同比去年增长3.19%，归属于上市公司股东的净利润同比增长27.52%；另一方面也在于公司加强应收账款的管理，提高了资金回款效率。公司坚持目标导向、刚性约束，分级分类细化应收账款管理，2023年末应收账款和合同资产同比减少23.47亿元。一是加快清收上年存量应收账款，逐笔落实清收责任人和回款目标，按月落实清目标、清措施、清效果的“三清”总体要求，2022年末应收账款已回款95%以上。二是公司推动合同条款优化，有效控制应收账款增量，通过增加收款节点安排，加密开票收款环节，压缩回款周期，加快资金回款；同时，推动业务建立合同预收款机制，增加回款9.8亿元。</w:t>
            </w:r>
          </w:p>
          <w:p>
            <w:pPr>
              <w:ind w:firstLine="480" w:firstLineChars="200"/>
              <w:rPr>
                <w:sz w:val="24"/>
              </w:rPr>
            </w:pPr>
            <w:r>
              <w:rPr>
                <w:rFonts w:hint="eastAsia"/>
                <w:sz w:val="24"/>
              </w:rPr>
              <w:t>在公司经营活动现金流同比大幅向好的同时，陆丰12-3油田FPSO建造等投资项目支出增加，项目对应的投资活动现金流支出同比增加；2023年末处于现金充裕状态，借款净流入减少2.7亿元，报告期保持稳定和可持续的股利政策，派发股利增加净流出3.4亿元，筹资活动现金流支出同比增加。谢谢。</w:t>
            </w:r>
          </w:p>
          <w:p>
            <w:pPr>
              <w:rPr>
                <w:sz w:val="24"/>
              </w:rPr>
            </w:pPr>
            <w:r>
              <w:rPr>
                <w:sz w:val="24"/>
              </w:rPr>
              <w:t xml:space="preserve">  </w:t>
            </w:r>
          </w:p>
          <w:p>
            <w:pPr>
              <w:rPr>
                <w:sz w:val="24"/>
              </w:rPr>
            </w:pPr>
            <w:r>
              <w:rPr>
                <w:sz w:val="24"/>
              </w:rPr>
              <w:t>Q</w:t>
            </w:r>
            <w:r>
              <w:rPr>
                <w:rFonts w:hint="eastAsia"/>
                <w:sz w:val="24"/>
              </w:rPr>
              <w:t>4</w:t>
            </w:r>
            <w:r>
              <w:rPr>
                <w:sz w:val="24"/>
              </w:rPr>
              <w:t>:</w:t>
            </w:r>
            <w:r>
              <w:rPr>
                <w:rFonts w:hint="eastAsia" w:ascii="宋体" w:hAnsi="宋体" w:cs="宋体"/>
                <w:kern w:val="0"/>
                <w:sz w:val="24"/>
              </w:rPr>
              <w:t>请问公司</w:t>
            </w:r>
            <w:r>
              <w:rPr>
                <w:rFonts w:asciiTheme="minorHAnsi" w:hAnsiTheme="minorHAnsi" w:cstheme="minorHAnsi"/>
                <w:kern w:val="0"/>
                <w:sz w:val="24"/>
              </w:rPr>
              <w:t>2024</w:t>
            </w:r>
            <w:r>
              <w:rPr>
                <w:rFonts w:hint="eastAsia" w:ascii="宋体" w:hAnsi="宋体" w:cs="宋体"/>
                <w:kern w:val="0"/>
                <w:sz w:val="24"/>
              </w:rPr>
              <w:t>资本开支计划？</w:t>
            </w:r>
          </w:p>
          <w:p>
            <w:pPr>
              <w:rPr>
                <w:sz w:val="24"/>
                <w:lang w:eastAsia="zh-Hans"/>
              </w:rPr>
            </w:pPr>
            <w:r>
              <w:rPr>
                <w:rFonts w:hint="eastAsia"/>
                <w:sz w:val="24"/>
              </w:rPr>
              <w:t>A4：2024年公司投资计划主要包括重点投资项目、科研项目资本性支出、信息化建设项目等。其中，重点投资项目主要立足油气增储上产的技术服务和专业支撑，项目投资满足公司基准收益率要求，主要包括油气生产储卸油装置项目，如海洋石油115坞修项目、海洋石油161增产扩容改造项目、涠洲10-3W油田开发自升式生产处理平台项目、“基础平台+”建造项目、海洋石油162平台改造项目等。LNG运输船项目计划投资，主要包括中长期FOB资源配套LNG运输船项目（一期、二期）、12000方LNG运输加注船项目、海洋石油301船加注功能改造项目。基地建设（生产）项目，主要包括海南澄迈生产支持基地建设项目、天津海洋装备智能制造基地建设项目（一期、二期）、天津院中海油惠州石化有限公司低温热联合利用项目等。谢谢。</w:t>
            </w:r>
          </w:p>
          <w:p>
            <w:pPr>
              <w:rPr>
                <w:sz w:val="24"/>
              </w:rPr>
            </w:pPr>
            <w:r>
              <w:rPr>
                <w:sz w:val="24"/>
              </w:rPr>
              <w:t xml:space="preserve">  </w:t>
            </w:r>
          </w:p>
          <w:p>
            <w:pPr>
              <w:rPr>
                <w:sz w:val="24"/>
              </w:rPr>
            </w:pPr>
            <w:r>
              <w:rPr>
                <w:rFonts w:hint="eastAsia"/>
                <w:sz w:val="24"/>
              </w:rPr>
              <w:t>Q5：关注到公司的研发费用都持续增长且近两年都在10亿元以上，请介绍一下公司2023年在</w:t>
            </w:r>
            <w:r>
              <w:rPr>
                <w:rFonts w:hint="eastAsia"/>
                <w:sz w:val="24"/>
                <w:lang w:eastAsia="zh-Hans"/>
              </w:rPr>
              <w:t>研发与技术创新</w:t>
            </w:r>
            <w:r>
              <w:rPr>
                <w:rFonts w:hint="eastAsia"/>
                <w:sz w:val="24"/>
              </w:rPr>
              <w:t>的重要成果和亮点。</w:t>
            </w:r>
          </w:p>
          <w:p>
            <w:pPr>
              <w:rPr>
                <w:sz w:val="24"/>
              </w:rPr>
            </w:pPr>
            <w:r>
              <w:rPr>
                <w:rFonts w:hint="eastAsia"/>
                <w:sz w:val="24"/>
              </w:rPr>
              <w:t>A5：公司坚持科技驱动战略，深入贯彻“自主创新，重点跨越，支撑发展，引领未来”的科技发展方针，构建了覆盖公司核心产业的科技研发体系，培养了一支素质优良、技术实力雄厚的科技创新队伍，并取得了丰硕的科技创新成果。</w:t>
            </w:r>
          </w:p>
          <w:p>
            <w:pPr>
              <w:ind w:firstLine="480"/>
              <w:rPr>
                <w:sz w:val="24"/>
              </w:rPr>
            </w:pPr>
            <w:r>
              <w:rPr>
                <w:rFonts w:hint="eastAsia"/>
                <w:sz w:val="24"/>
              </w:rPr>
              <w:t>2023年，公司实现SOLAR T60检修技术突破，成功建成SOLAR 6MW级测试台，实现进口透平的维修技术解卡；完成3台次2MW透平自主成撬制造并投产应用，实现平稳并网运行超1000小时目标；完成中海油首套完全自主知识产权的国产化浅水水下采油树产品研制，国产化率达到90%以上，并完成DNV产品认证和设计认证；海底管道超声内检测器实现系列化研制，产品尺寸基本覆盖所有海底管道，核心技术成果完全自主创新。</w:t>
            </w:r>
          </w:p>
          <w:p>
            <w:pPr>
              <w:ind w:firstLine="480"/>
              <w:rPr>
                <w:sz w:val="24"/>
              </w:rPr>
            </w:pPr>
            <w:r>
              <w:rPr>
                <w:rFonts w:hint="eastAsia"/>
                <w:sz w:val="24"/>
              </w:rPr>
              <w:t>目前，公司拥有国</w:t>
            </w:r>
            <w:bookmarkStart w:id="0" w:name="_GoBack"/>
            <w:bookmarkEnd w:id="0"/>
            <w:r>
              <w:rPr>
                <w:rFonts w:hint="eastAsia"/>
                <w:sz w:val="24"/>
              </w:rPr>
              <w:t>家及省部级科技进步奖93项，建立企业级以上标准1391项（包括国际标准11项、国家标准635项、行业标准672项、团体标准73项）。此外，公司拥有国家级研发平台等19个创新平台，拥有37家企业技术中心，运营海洋石油高效开发国家重点实验室、国家工业水处理工程技术研究中心等多个经科技部或工信部备案的国家级科研机构。谢谢。</w:t>
            </w:r>
            <w:r>
              <w:rPr>
                <w:sz w:val="24"/>
              </w:rPr>
              <w:t xml:space="preserve">    </w:t>
            </w:r>
            <w:r>
              <w:rPr>
                <w:rFonts w:hint="eastAsia"/>
                <w:sz w:val="24"/>
              </w:rPr>
              <w:t xml:space="preserve"> </w:t>
            </w:r>
          </w:p>
          <w:p>
            <w:pPr>
              <w:rPr>
                <w:sz w:val="24"/>
              </w:rPr>
            </w:pPr>
            <w:r>
              <w:rPr>
                <w:sz w:val="24"/>
              </w:rPr>
              <w:t xml:space="preserve">    </w:t>
            </w:r>
          </w:p>
          <w:p>
            <w:pPr>
              <w:rPr>
                <w:sz w:val="24"/>
              </w:rPr>
            </w:pPr>
            <w:r>
              <w:rPr>
                <w:rFonts w:hint="eastAsia"/>
                <w:sz w:val="24"/>
              </w:rPr>
              <w:t>Q6：请问公司在2023年产能建设方面取得了什么成果？</w:t>
            </w:r>
          </w:p>
          <w:p>
            <w:pPr>
              <w:rPr>
                <w:sz w:val="24"/>
              </w:rPr>
            </w:pPr>
            <w:r>
              <w:rPr>
                <w:rFonts w:hint="eastAsia"/>
                <w:sz w:val="24"/>
              </w:rPr>
              <w:t>A6：公司聚焦生产基地建设和大型装备全生命周期管理，全年推进重点工程建设项目20个，年度里程碑节点全部实现。我国首艘全新智能FPSO“海洋石油123”顺利投产，我国第二座海上移动式自安装井口平台“海洋石油165”提前投用。天津海洋装备智能制造基地（一期）项目开工建设，“海洋石油302”LNG运输加注船建造下水，中长期FOB资源配套LNG运输船项目（一期）首船建造完工，即将交付。</w:t>
            </w:r>
          </w:p>
          <w:p>
            <w:pPr>
              <w:ind w:firstLine="480" w:firstLineChars="200"/>
              <w:rPr>
                <w:sz w:val="24"/>
              </w:rPr>
            </w:pPr>
            <w:r>
              <w:rPr>
                <w:rFonts w:hint="eastAsia"/>
                <w:sz w:val="24"/>
              </w:rPr>
              <w:t>2024年，公司将重点围绕装备智能制造基地、提高采收率装备/装置等方向持续加大投入，确保“海洋石油 162”移动注热改造等重点项目落地，持续夯实“技术+装备/产品+服务”一体化服务能力，提升能源技术服务保障与支持水平。谢谢。</w:t>
            </w:r>
          </w:p>
          <w:p>
            <w:pPr>
              <w:ind w:firstLine="480" w:firstLineChars="200"/>
              <w:rPr>
                <w:sz w:val="24"/>
              </w:rPr>
            </w:pPr>
          </w:p>
          <w:p>
            <w:pPr>
              <w:rPr>
                <w:rFonts w:ascii="Times New Roman" w:hAnsi="Times New Roman"/>
                <w:sz w:val="36"/>
                <w:szCs w:val="36"/>
              </w:rPr>
            </w:pPr>
            <w:r>
              <w:rPr>
                <w:rFonts w:hint="eastAsia"/>
                <w:sz w:val="24"/>
              </w:rPr>
              <w:t>Q7：请问公司未来利润分配方案是否还有进一步上调的空间？请问公司在分红政策方面是怎么考虑的？</w:t>
            </w:r>
          </w:p>
          <w:p>
            <w:pPr>
              <w:rPr>
                <w:sz w:val="24"/>
              </w:rPr>
            </w:pPr>
            <w:r>
              <w:rPr>
                <w:rFonts w:hint="eastAsia"/>
                <w:sz w:val="24"/>
              </w:rPr>
              <w:t>A7：公司高度重视股东回报，一直努力保持稳定和可持续的现金分红政策。公司在制定2023年度利润分配方案时，综合考虑保持稳定的股息政策、保障公司现金安全、平衡长期投资与当期分红关系、传递资本市场信心等因素，在自由现金流稳定和充裕的情况下，总体保持分红比例、每股股利、股息率的稳定增长趋势，安排每10股派发现金红利1.10元（含税），派发现金股利约11.18亿元人民币，积极回馈股东，与股东共享公司发展成果。</w:t>
            </w:r>
          </w:p>
          <w:p>
            <w:pPr>
              <w:ind w:firstLine="480"/>
              <w:rPr>
                <w:sz w:val="24"/>
              </w:rPr>
            </w:pPr>
            <w:r>
              <w:rPr>
                <w:rFonts w:hint="eastAsia"/>
                <w:sz w:val="24"/>
              </w:rPr>
              <w:t>近年来，公司持续加强现金流管理，总体处于现金充裕状态，公司资产质量较高、盈利稳定、资产负债率处于合理水平，具备较强的融资能力，可以有效支撑公司未来的资本性开支和稳定的分红支出。公司将持续努力提升经营业绩和经营质量，努力为股东争取更大、更稳定、更可持续的回报。谢谢。</w:t>
            </w:r>
          </w:p>
          <w:p>
            <w:pPr>
              <w:rPr>
                <w:sz w:val="24"/>
              </w:rPr>
            </w:pPr>
            <w:r>
              <w:rPr>
                <w:sz w:val="24"/>
              </w:rPr>
              <w:t xml:space="preserve">    </w:t>
            </w:r>
          </w:p>
          <w:p>
            <w:pPr>
              <w:rPr>
                <w:sz w:val="24"/>
              </w:rPr>
            </w:pPr>
            <w:r>
              <w:rPr>
                <w:rFonts w:hint="eastAsia"/>
                <w:sz w:val="24"/>
              </w:rPr>
              <w:t>Q8：市值管理正成为A股的焦点和新风向，请问公司2024年在市值管理方面有什么考虑？</w:t>
            </w:r>
          </w:p>
          <w:p>
            <w:pPr>
              <w:rPr>
                <w:sz w:val="24"/>
              </w:rPr>
            </w:pPr>
            <w:r>
              <w:rPr>
                <w:rFonts w:hint="eastAsia"/>
                <w:sz w:val="24"/>
              </w:rPr>
              <w:t>A8：公司也关注到国资委关于将市值管理纳入央企负责人考核的相关事宜，但目前相关细则尚未出台，我们也将持续紧跟，做好相关工作的落实。</w:t>
            </w:r>
          </w:p>
          <w:p>
            <w:pPr>
              <w:ind w:firstLine="480" w:firstLineChars="200"/>
              <w:rPr>
                <w:sz w:val="24"/>
              </w:rPr>
            </w:pPr>
            <w:r>
              <w:rPr>
                <w:rFonts w:hint="eastAsia"/>
                <w:sz w:val="24"/>
              </w:rPr>
              <w:t>对公司来说，无论是董事会还是管理层，对市值管理工作都高度重视，坚持内外兼修，持续做好价值创造和价值传递。在价值创造方面，公司围绕核心能力建设，大力推进“卡脖子”技术、深度塑造一体化服务能力，打造比较优势，持续提升产业竞争力。在价值传递方面，公司也是主动跟踪并及时回应投资者关注，以交流常态化、多样化、精准化为目标，加深与投资者的沟通，近年来资本市场的认知度显著提升。谢谢。</w:t>
            </w:r>
          </w:p>
          <w:p>
            <w:pPr>
              <w:ind w:firstLine="480"/>
              <w:rPr>
                <w:sz w:val="24"/>
              </w:rPr>
            </w:pPr>
          </w:p>
          <w:p>
            <w:pPr>
              <w:pStyle w:val="15"/>
              <w:ind w:firstLine="0" w:firstLineChars="0"/>
              <w:rPr>
                <w:rFonts w:ascii="Calibri" w:hAnsi="Calibri" w:eastAsia="宋体" w:cs="Times New Roman"/>
                <w:sz w:val="24"/>
                <w:szCs w:val="24"/>
              </w:rPr>
            </w:pPr>
            <w:r>
              <w:rPr>
                <w:rFonts w:hint="eastAsia" w:ascii="Calibri" w:hAnsi="Calibri" w:eastAsia="宋体" w:cs="Times New Roman"/>
                <w:sz w:val="24"/>
                <w:szCs w:val="24"/>
              </w:rPr>
              <w:t>Q9：</w:t>
            </w:r>
            <w:r>
              <w:rPr>
                <w:rFonts w:ascii="Calibri" w:hAnsi="Calibri" w:eastAsia="宋体" w:cs="Times New Roman"/>
                <w:sz w:val="24"/>
                <w:szCs w:val="24"/>
              </w:rPr>
              <w:t>公司</w:t>
            </w:r>
            <w:r>
              <w:rPr>
                <w:rFonts w:hint="eastAsia" w:ascii="Calibri" w:hAnsi="Calibri" w:eastAsia="宋体" w:cs="Times New Roman"/>
                <w:sz w:val="24"/>
                <w:szCs w:val="24"/>
              </w:rPr>
              <w:t>会在近期推出</w:t>
            </w:r>
            <w:r>
              <w:rPr>
                <w:rFonts w:ascii="Calibri" w:hAnsi="Calibri" w:eastAsia="宋体" w:cs="Times New Roman"/>
                <w:sz w:val="24"/>
                <w:szCs w:val="24"/>
              </w:rPr>
              <w:t>股权</w:t>
            </w:r>
            <w:r>
              <w:rPr>
                <w:rFonts w:hint="eastAsia" w:ascii="Calibri" w:hAnsi="Calibri" w:eastAsia="宋体" w:cs="Times New Roman"/>
                <w:sz w:val="24"/>
                <w:szCs w:val="24"/>
              </w:rPr>
              <w:t>回购、股权</w:t>
            </w:r>
            <w:r>
              <w:rPr>
                <w:rFonts w:ascii="Calibri" w:hAnsi="Calibri" w:eastAsia="宋体" w:cs="Times New Roman"/>
                <w:sz w:val="24"/>
                <w:szCs w:val="24"/>
              </w:rPr>
              <w:t>激励计划吗？</w:t>
            </w:r>
          </w:p>
          <w:p>
            <w:pPr>
              <w:rPr>
                <w:sz w:val="24"/>
              </w:rPr>
            </w:pPr>
            <w:r>
              <w:rPr>
                <w:sz w:val="24"/>
              </w:rPr>
              <w:t>A</w:t>
            </w:r>
            <w:r>
              <w:rPr>
                <w:rFonts w:hint="eastAsia"/>
                <w:sz w:val="24"/>
              </w:rPr>
              <w:t>9</w:t>
            </w:r>
            <w:r>
              <w:rPr>
                <w:sz w:val="24"/>
              </w:rPr>
              <w:t>：公司近期暂无相关计划。如有</w:t>
            </w:r>
            <w:r>
              <w:rPr>
                <w:rFonts w:hint="eastAsia"/>
                <w:sz w:val="24"/>
              </w:rPr>
              <w:t>相关</w:t>
            </w:r>
            <w:r>
              <w:rPr>
                <w:sz w:val="24"/>
              </w:rPr>
              <w:t>计划，公司将会根据上市规则及时履行信息披露义务</w:t>
            </w:r>
            <w:r>
              <w:rPr>
                <w:rFonts w:hint="eastAsia"/>
                <w:sz w:val="24"/>
              </w:rPr>
              <w:t>。</w:t>
            </w:r>
            <w:r>
              <w:rPr>
                <w:sz w:val="24"/>
              </w:rPr>
              <w:t>公司</w:t>
            </w:r>
            <w:r>
              <w:rPr>
                <w:rFonts w:hint="eastAsia"/>
                <w:sz w:val="24"/>
              </w:rPr>
              <w:t>相关信息</w:t>
            </w:r>
            <w:r>
              <w:rPr>
                <w:sz w:val="24"/>
              </w:rPr>
              <w:t>请关注公司在指定信息披露媒体上披露的信息。</w:t>
            </w:r>
            <w:r>
              <w:rPr>
                <w:rFonts w:hint="eastAsia"/>
                <w:sz w:val="24"/>
              </w:rPr>
              <w:t>谢谢。</w:t>
            </w:r>
          </w:p>
          <w:p>
            <w:pPr>
              <w:spacing w:line="360" w:lineRule="auto"/>
              <w:rPr>
                <w:rFonts w:ascii="宋体" w:hAnsi="宋体" w:cs="宋体"/>
                <w:sz w:val="24"/>
              </w:rPr>
            </w:pPr>
          </w:p>
          <w:p>
            <w:pPr>
              <w:pStyle w:val="15"/>
              <w:ind w:firstLine="0" w:firstLineChars="0"/>
              <w:rPr>
                <w:rFonts w:ascii="Calibri" w:hAnsi="Calibri" w:eastAsia="宋体" w:cs="Times New Roman"/>
                <w:sz w:val="24"/>
                <w:szCs w:val="24"/>
              </w:rPr>
            </w:pPr>
            <w:r>
              <w:rPr>
                <w:rFonts w:hint="eastAsia" w:ascii="Calibri" w:hAnsi="Calibri" w:eastAsia="宋体" w:cs="Times New Roman"/>
                <w:sz w:val="24"/>
                <w:szCs w:val="24"/>
              </w:rPr>
              <w:t>Q10:请问新国九条的实施会对公司的发展及规划带来哪些影响？</w:t>
            </w:r>
          </w:p>
          <w:p>
            <w:pPr>
              <w:pStyle w:val="15"/>
              <w:ind w:firstLine="0" w:firstLineChars="0"/>
              <w:rPr>
                <w:rFonts w:ascii="Calibri" w:hAnsi="Calibri" w:eastAsia="宋体" w:cs="Times New Roman"/>
                <w:sz w:val="24"/>
                <w:szCs w:val="24"/>
              </w:rPr>
            </w:pPr>
            <w:r>
              <w:rPr>
                <w:rFonts w:hint="eastAsia" w:ascii="Calibri" w:hAnsi="Calibri" w:eastAsia="宋体" w:cs="Times New Roman"/>
                <w:sz w:val="24"/>
                <w:szCs w:val="24"/>
              </w:rPr>
              <w:t>A10：新国九条的实施将有助于进一步规范资本市场发展，公司和管理层将根据新国九条的指导方向，持续聚焦主责主业，提升公司发展质量，力争以良好的业绩表现和经营成果回报投资者。谢谢。</w:t>
            </w:r>
          </w:p>
          <w:p>
            <w:pPr>
              <w:pStyle w:val="15"/>
              <w:ind w:firstLine="0" w:firstLineChars="0"/>
              <w:rPr>
                <w:rFonts w:ascii="Calibri" w:hAnsi="Calibri" w:eastAsia="宋体" w:cs="Times New Roman"/>
                <w:sz w:val="24"/>
                <w:szCs w:val="24"/>
              </w:rPr>
            </w:pPr>
          </w:p>
          <w:p>
            <w:pPr>
              <w:autoSpaceDE w:val="0"/>
              <w:autoSpaceDN w:val="0"/>
              <w:adjustRightInd w:val="0"/>
              <w:spacing w:line="360" w:lineRule="auto"/>
              <w:jc w:val="left"/>
              <w:rPr>
                <w:rFonts w:ascii="宋体" w:hAnsi="宋体" w:cs="宋体"/>
                <w:kern w:val="0"/>
                <w:sz w:val="24"/>
                <w:lang w:val="zh-CN"/>
              </w:rPr>
            </w:pPr>
            <w:r>
              <w:rPr>
                <w:rFonts w:hint="eastAsia"/>
                <w:sz w:val="24"/>
              </w:rPr>
              <w:t>Q11：</w:t>
            </w:r>
            <w:r>
              <w:rPr>
                <w:rFonts w:hint="eastAsia" w:ascii="宋体" w:hAnsi="宋体" w:cs="宋体"/>
                <w:kern w:val="0"/>
                <w:sz w:val="24"/>
              </w:rPr>
              <w:t>关注到公司</w:t>
            </w:r>
            <w:r>
              <w:rPr>
                <w:rFonts w:asciiTheme="minorHAnsi" w:hAnsiTheme="minorHAnsi" w:cstheme="minorHAnsi"/>
                <w:kern w:val="0"/>
                <w:sz w:val="24"/>
              </w:rPr>
              <w:t>2024</w:t>
            </w:r>
            <w:r>
              <w:rPr>
                <w:rFonts w:hint="eastAsia" w:ascii="宋体" w:hAnsi="宋体" w:cs="宋体"/>
                <w:kern w:val="0"/>
                <w:sz w:val="24"/>
                <w:lang w:val="zh-CN"/>
              </w:rPr>
              <w:t>一季报毛利率</w:t>
            </w:r>
            <w:r>
              <w:rPr>
                <w:rFonts w:hint="eastAsia" w:ascii="宋体" w:hAnsi="宋体" w:cs="宋体"/>
                <w:kern w:val="0"/>
                <w:sz w:val="24"/>
              </w:rPr>
              <w:t>有一定提升</w:t>
            </w:r>
            <w:r>
              <w:rPr>
                <w:rFonts w:hint="eastAsia" w:ascii="宋体" w:hAnsi="宋体" w:cs="宋体"/>
                <w:kern w:val="0"/>
                <w:sz w:val="24"/>
                <w:lang w:val="zh-CN"/>
              </w:rPr>
              <w:t>，</w:t>
            </w:r>
            <w:r>
              <w:rPr>
                <w:rFonts w:hint="eastAsia" w:ascii="宋体" w:hAnsi="宋体" w:cs="宋体"/>
                <w:kern w:val="0"/>
                <w:sz w:val="24"/>
              </w:rPr>
              <w:t>请问后续毛利率</w:t>
            </w:r>
            <w:r>
              <w:rPr>
                <w:rFonts w:hint="eastAsia" w:ascii="宋体" w:hAnsi="宋体" w:cs="宋体"/>
                <w:kern w:val="0"/>
                <w:sz w:val="24"/>
                <w:lang w:val="zh-CN"/>
              </w:rPr>
              <w:t>改善空间？</w:t>
            </w:r>
          </w:p>
          <w:p>
            <w:pPr>
              <w:rPr>
                <w:sz w:val="24"/>
              </w:rPr>
            </w:pPr>
            <w:r>
              <w:rPr>
                <w:rFonts w:hint="eastAsia"/>
                <w:sz w:val="24"/>
              </w:rPr>
              <w:t>A11：</w:t>
            </w:r>
            <w:r>
              <w:rPr>
                <w:rFonts w:ascii="宋体" w:hAnsi="宋体" w:cs="宋体"/>
                <w:kern w:val="0"/>
                <w:sz w:val="24"/>
                <w:lang w:val="zh-CN"/>
              </w:rPr>
              <w:t>公司毛利率提升主要是三大产业保持稳健有序发展与公司提质降本增效共同作用的结果。</w:t>
            </w:r>
            <w:r>
              <w:rPr>
                <w:rFonts w:hint="eastAsia" w:ascii="宋体" w:hAnsi="宋体" w:cs="宋体"/>
                <w:kern w:val="0"/>
                <w:sz w:val="24"/>
              </w:rPr>
              <w:t>近几</w:t>
            </w:r>
            <w:r>
              <w:rPr>
                <w:rFonts w:ascii="宋体" w:hAnsi="宋体" w:cs="宋体"/>
                <w:kern w:val="0"/>
                <w:sz w:val="24"/>
                <w:lang w:val="zh-CN"/>
              </w:rPr>
              <w:t>年</w:t>
            </w:r>
            <w:r>
              <w:rPr>
                <w:rFonts w:hint="eastAsia" w:ascii="宋体" w:hAnsi="宋体" w:cs="宋体"/>
                <w:kern w:val="0"/>
                <w:sz w:val="24"/>
              </w:rPr>
              <w:t>公司</w:t>
            </w:r>
            <w:r>
              <w:rPr>
                <w:rFonts w:ascii="宋体" w:hAnsi="宋体" w:cs="宋体"/>
                <w:kern w:val="0"/>
                <w:sz w:val="24"/>
                <w:lang w:val="zh-CN"/>
              </w:rPr>
              <w:t>整体毛利率水平相对稳定，</w:t>
            </w:r>
            <w:r>
              <w:rPr>
                <w:rFonts w:hint="eastAsia" w:ascii="宋体" w:hAnsi="宋体" w:cs="宋体"/>
                <w:kern w:val="0"/>
                <w:sz w:val="24"/>
              </w:rPr>
              <w:t>并</w:t>
            </w:r>
            <w:r>
              <w:rPr>
                <w:rFonts w:ascii="宋体" w:hAnsi="宋体" w:cs="宋体"/>
                <w:kern w:val="0"/>
                <w:sz w:val="24"/>
                <w:lang w:val="zh-CN"/>
              </w:rPr>
              <w:t>稳中有升</w:t>
            </w:r>
            <w:r>
              <w:rPr>
                <w:rFonts w:hint="eastAsia" w:ascii="宋体" w:hAnsi="宋体" w:cs="宋体"/>
                <w:kern w:val="0"/>
                <w:sz w:val="24"/>
                <w:lang w:val="zh-CN"/>
              </w:rPr>
              <w:t>。</w:t>
            </w:r>
            <w:r>
              <w:rPr>
                <w:rFonts w:hint="eastAsia" w:ascii="宋体" w:hAnsi="宋体" w:cs="宋体"/>
                <w:kern w:val="0"/>
                <w:sz w:val="24"/>
              </w:rPr>
              <w:t>公司将持续优化经营管理，加强市场研判，强化科技创新引领，公司整体的</w:t>
            </w:r>
            <w:r>
              <w:rPr>
                <w:rFonts w:ascii="宋体" w:hAnsi="宋体" w:cs="宋体"/>
                <w:kern w:val="0"/>
                <w:sz w:val="24"/>
                <w:lang w:val="zh-CN"/>
              </w:rPr>
              <w:t>毛利率应该可以更好的改善</w:t>
            </w:r>
            <w:r>
              <w:rPr>
                <w:rFonts w:hint="eastAsia" w:ascii="宋体" w:hAnsi="宋体" w:cs="宋体"/>
                <w:kern w:val="0"/>
                <w:sz w:val="24"/>
              </w:rPr>
              <w:t>空间</w:t>
            </w:r>
            <w:r>
              <w:rPr>
                <w:rFonts w:ascii="宋体" w:hAnsi="宋体" w:cs="宋体"/>
                <w:kern w:val="0"/>
                <w:sz w:val="24"/>
                <w:lang w:val="zh-CN"/>
              </w:rPr>
              <w:t>。</w:t>
            </w:r>
            <w:r>
              <w:rPr>
                <w:rFonts w:hint="eastAsia"/>
                <w:sz w:val="24"/>
              </w:rPr>
              <w:t xml:space="preserve"> </w:t>
            </w:r>
          </w:p>
          <w:p>
            <w:pPr>
              <w:rPr>
                <w:sz w:val="24"/>
              </w:rPr>
            </w:pPr>
          </w:p>
          <w:p>
            <w:pPr>
              <w:pStyle w:val="15"/>
              <w:ind w:firstLine="0" w:firstLineChars="0"/>
              <w:rPr>
                <w:rFonts w:ascii="Calibri" w:hAnsi="Calibri" w:eastAsia="宋体" w:cs="Times New Roman"/>
                <w:sz w:val="24"/>
                <w:szCs w:val="24"/>
              </w:rPr>
            </w:pPr>
            <w:r>
              <w:rPr>
                <w:rFonts w:hint="eastAsia" w:ascii="Calibri" w:hAnsi="Calibri" w:eastAsia="宋体" w:cs="Times New Roman"/>
                <w:sz w:val="24"/>
                <w:szCs w:val="24"/>
              </w:rPr>
              <w:t>Q12：海油发展经营现金流一直很正常的，但是一季度为负，请问一下是什么原因造成的？</w:t>
            </w:r>
          </w:p>
          <w:p>
            <w:pPr>
              <w:rPr>
                <w:rFonts w:ascii="仿宋" w:hAnsi="仿宋" w:eastAsia="仿宋"/>
                <w:color w:val="000000" w:themeColor="text1"/>
                <w:sz w:val="28"/>
                <w:szCs w:val="28"/>
                <w14:textFill>
                  <w14:solidFill>
                    <w14:schemeClr w14:val="tx1"/>
                  </w14:solidFill>
                </w14:textFill>
              </w:rPr>
            </w:pPr>
            <w:r>
              <w:rPr>
                <w:rFonts w:hint="eastAsia"/>
                <w:sz w:val="24"/>
              </w:rPr>
              <w:t>A12：公司财务状况保持健康稳健，一季报显示经营性现金流为负主要原因是上年底集中回款较好，存在阶段性收付款时间差异。谢谢。</w:t>
            </w:r>
          </w:p>
          <w:p>
            <w:pPr>
              <w:pStyle w:val="15"/>
              <w:ind w:firstLine="0" w:firstLineChars="0"/>
              <w:rPr>
                <w:rFonts w:ascii="Calibri" w:hAnsi="Calibri" w:eastAsia="宋体" w:cs="Times New Roman"/>
                <w:sz w:val="24"/>
                <w:szCs w:val="24"/>
              </w:rPr>
            </w:pPr>
          </w:p>
          <w:p>
            <w:pPr>
              <w:pStyle w:val="15"/>
              <w:ind w:firstLine="0" w:firstLineChars="0"/>
              <w:rPr>
                <w:rFonts w:ascii="Calibri" w:hAnsi="Calibri" w:eastAsia="宋体" w:cs="Times New Roman"/>
                <w:sz w:val="24"/>
                <w:szCs w:val="24"/>
              </w:rPr>
            </w:pPr>
            <w:r>
              <w:rPr>
                <w:rFonts w:hint="eastAsia" w:ascii="Calibri" w:hAnsi="Calibri" w:eastAsia="宋体" w:cs="Times New Roman"/>
                <w:sz w:val="24"/>
                <w:szCs w:val="24"/>
              </w:rPr>
              <w:t>Q13:近两年上游油气公司和专业技术服务公司基于成本管控的压力均特别关注降本增效。面对成本控制压力，公司在2023年采取了哪些降本增效的主要措施？</w:t>
            </w:r>
          </w:p>
          <w:p>
            <w:pPr>
              <w:pStyle w:val="15"/>
              <w:ind w:firstLine="0" w:firstLineChars="0"/>
              <w:rPr>
                <w:rFonts w:ascii="Calibri" w:hAnsi="Calibri" w:eastAsia="宋体" w:cs="Times New Roman"/>
                <w:sz w:val="24"/>
                <w:szCs w:val="24"/>
              </w:rPr>
            </w:pPr>
            <w:r>
              <w:rPr>
                <w:rFonts w:hint="eastAsia" w:ascii="Calibri" w:hAnsi="Calibri" w:eastAsia="宋体" w:cs="Times New Roman"/>
                <w:sz w:val="24"/>
                <w:szCs w:val="24"/>
              </w:rPr>
              <w:t>A13：无论对于上游油气公司还是专业技术服务公司，成本管控都是实现高质量发展的必由之路，是以自身发展的确定性来应对外部环境不确定性的重要手段。</w:t>
            </w:r>
          </w:p>
          <w:p>
            <w:pPr>
              <w:pStyle w:val="15"/>
              <w:ind w:firstLine="480"/>
              <w:rPr>
                <w:rFonts w:ascii="Calibri" w:hAnsi="Calibri" w:eastAsia="宋体" w:cs="Times New Roman"/>
                <w:sz w:val="24"/>
                <w:szCs w:val="24"/>
              </w:rPr>
            </w:pPr>
            <w:r>
              <w:rPr>
                <w:rFonts w:hint="eastAsia" w:ascii="Calibri" w:hAnsi="Calibri" w:eastAsia="宋体" w:cs="Times New Roman"/>
                <w:sz w:val="24"/>
                <w:szCs w:val="24"/>
              </w:rPr>
              <w:t>2023年，公司围绕“一利五率”工作目标，坚持以“一切成本皆可降”的理念，聚焦提质增效、“三费”压降、维修费降本三大领域一体发力，推进强化核心能力提升实现结构性降本和加大数智化转型促进生产模式转变并举。全年成本费用利润率同比提升 1.78 个百分点。</w:t>
            </w:r>
          </w:p>
          <w:p>
            <w:pPr>
              <w:pStyle w:val="15"/>
              <w:ind w:firstLine="480"/>
              <w:rPr>
                <w:rFonts w:ascii="Calibri" w:hAnsi="Calibri" w:eastAsia="宋体" w:cs="Times New Roman"/>
                <w:sz w:val="24"/>
                <w:szCs w:val="24"/>
              </w:rPr>
            </w:pPr>
            <w:r>
              <w:rPr>
                <w:rFonts w:hint="eastAsia" w:ascii="Calibri" w:hAnsi="Calibri" w:eastAsia="宋体" w:cs="Times New Roman"/>
                <w:sz w:val="24"/>
                <w:szCs w:val="24"/>
              </w:rPr>
              <w:t>2024年，公司将持续在深层次降本上下功夫，完善“1+N”全面预算管理和项目预核算管控模式，全面构建公司成本管理体系，建立多维成本分析框架，成本控制与预算管理相互促进，持续打造低成本竞争优势。</w:t>
            </w:r>
          </w:p>
          <w:p>
            <w:pPr>
              <w:pStyle w:val="15"/>
              <w:ind w:firstLine="0" w:firstLineChars="0"/>
              <w:rPr>
                <w:rFonts w:ascii="Calibri" w:hAnsi="Calibri" w:eastAsia="宋体" w:cs="Times New Roman"/>
                <w:sz w:val="24"/>
                <w:szCs w:val="24"/>
              </w:rPr>
            </w:pPr>
          </w:p>
          <w:p>
            <w:pPr>
              <w:rPr>
                <w:sz w:val="24"/>
              </w:rPr>
            </w:pPr>
            <w:r>
              <w:rPr>
                <w:rFonts w:hint="eastAsia"/>
                <w:sz w:val="24"/>
              </w:rPr>
              <w:t>Q14:</w:t>
            </w:r>
            <w:r>
              <w:rPr>
                <w:rFonts w:hint="eastAsia" w:ascii="宋体" w:hAnsi="宋体" w:cs="宋体"/>
                <w:kern w:val="0"/>
                <w:sz w:val="24"/>
              </w:rPr>
              <w:t>请公司介绍</w:t>
            </w:r>
            <w:r>
              <w:rPr>
                <w:rFonts w:asciiTheme="minorHAnsi" w:hAnsiTheme="minorHAnsi" w:cstheme="minorHAnsi"/>
                <w:kern w:val="0"/>
                <w:sz w:val="24"/>
              </w:rPr>
              <w:t>2023</w:t>
            </w:r>
            <w:r>
              <w:rPr>
                <w:rFonts w:hint="eastAsia" w:ascii="宋体" w:hAnsi="宋体" w:cs="宋体"/>
                <w:kern w:val="0"/>
                <w:sz w:val="24"/>
              </w:rPr>
              <w:t>年能源技术服务产业与能源物流服务产业</w:t>
            </w:r>
            <w:r>
              <w:rPr>
                <w:rFonts w:hint="eastAsia" w:ascii="宋体" w:hAnsi="宋体" w:cs="宋体"/>
                <w:kern w:val="0"/>
                <w:sz w:val="24"/>
                <w:lang w:val="zh-CN"/>
              </w:rPr>
              <w:t>毛利率</w:t>
            </w:r>
            <w:r>
              <w:rPr>
                <w:rFonts w:hint="eastAsia" w:ascii="宋体" w:hAnsi="宋体" w:cs="宋体"/>
                <w:kern w:val="0"/>
                <w:sz w:val="24"/>
              </w:rPr>
              <w:t>均</w:t>
            </w:r>
            <w:r>
              <w:rPr>
                <w:rFonts w:hint="eastAsia" w:ascii="宋体" w:hAnsi="宋体" w:cs="宋体"/>
                <w:kern w:val="0"/>
                <w:sz w:val="24"/>
                <w:lang w:val="zh-CN"/>
              </w:rPr>
              <w:t>有比较明显的提升</w:t>
            </w:r>
            <w:r>
              <w:rPr>
                <w:rFonts w:hint="eastAsia" w:ascii="宋体" w:hAnsi="宋体" w:cs="宋体"/>
                <w:kern w:val="0"/>
                <w:sz w:val="24"/>
              </w:rPr>
              <w:t>的原因</w:t>
            </w:r>
            <w:r>
              <w:rPr>
                <w:rFonts w:hint="eastAsia" w:ascii="宋体" w:hAnsi="宋体" w:cs="宋体"/>
                <w:kern w:val="0"/>
                <w:sz w:val="24"/>
                <w:lang w:val="zh-CN"/>
              </w:rPr>
              <w:t xml:space="preserve">。 </w:t>
            </w:r>
          </w:p>
          <w:p>
            <w:pPr>
              <w:rPr>
                <w:sz w:val="24"/>
                <w:lang w:val="zh-CN"/>
              </w:rPr>
            </w:pPr>
            <w:r>
              <w:rPr>
                <w:rFonts w:hint="eastAsia"/>
                <w:sz w:val="24"/>
              </w:rPr>
              <w:t>A14：2023年，</w:t>
            </w:r>
            <w:r>
              <w:rPr>
                <w:sz w:val="24"/>
                <w:lang w:val="zh-CN"/>
              </w:rPr>
              <w:t>能源技术服务产业实现营业收入188.79亿元，同比增长21.19%。公司紧紧抓住石油公司增储上产的有利时机，全力保障油气开发生产需求，聚焦油气先进技术，创新商业模式，持续塑强产业竞争优势，通过内涵式发展促进能源技术服务产业工作量持续放量增长，智能注采市场占有率提升19%，井下举升产品市场占有率提升24%，FPSO及LNG运输船运营率100%，集输化学品配方自主化率提升至80%以上、生产自主化率提升至65%以上。</w:t>
            </w:r>
          </w:p>
          <w:p>
            <w:pPr>
              <w:pStyle w:val="15"/>
              <w:ind w:firstLine="480"/>
              <w:rPr>
                <w:sz w:val="24"/>
                <w:lang w:val="zh-CN"/>
              </w:rPr>
            </w:pPr>
            <w:r>
              <w:rPr>
                <w:sz w:val="24"/>
                <w:lang w:val="zh-CN"/>
              </w:rPr>
              <w:t>能源物流服务产业实现营业收入230.72亿元，同比下降8.71%。2023年布伦特原油均价82.2美元/桶，同比下降17%，引发凝析油、LPG等油气副产品价格出现波动，产业收入同比下降。为积极应对不利影响，公司加强市场分析研判、优化营销策略、把控销售节奏、深挖盈利空间，产业基础更加牢固，发展韧性显著增强。同时，随着上游工作量增长，海上作业物料和燃料供应量同比增长7.47%，产业整体效益健康向好。</w:t>
            </w:r>
          </w:p>
          <w:p>
            <w:pPr>
              <w:pStyle w:val="15"/>
              <w:ind w:firstLine="480"/>
              <w:rPr>
                <w:sz w:val="24"/>
                <w:lang w:val="zh-CN"/>
              </w:rPr>
            </w:pPr>
          </w:p>
          <w:p>
            <w:pPr>
              <w:rPr>
                <w:sz w:val="24"/>
              </w:rPr>
            </w:pPr>
            <w:r>
              <w:rPr>
                <w:rFonts w:hint="eastAsia"/>
                <w:sz w:val="24"/>
              </w:rPr>
              <w:t>Q15:考虑到能源行业的发展趋势，请介绍下公司在低碳环保和数字化产业方面的发展情况如何？</w:t>
            </w:r>
          </w:p>
          <w:p>
            <w:pPr>
              <w:rPr>
                <w:sz w:val="24"/>
              </w:rPr>
            </w:pPr>
            <w:r>
              <w:rPr>
                <w:rFonts w:hint="eastAsia"/>
                <w:sz w:val="24"/>
              </w:rPr>
              <w:t>A15：2023年，公司把握绿色低碳发展趋势，加大低碳环保产业资源要素投入，大力推动绿色低碳转型，在节能降碳领域已具备“监测+咨询+工程+运营”一体化服务能力，更好地为客户提供节能降碳服务打下了坚实基础。同时，公司践行绿色发展理念，也是公司未来业务增长基石。通过推动新理念、新技术、新模式及新业态在现有产业体系广泛嵌入并深化应用，构建以技术创新、应用创新、模式创新为内核并相互融合的绿色低碳产业体系和清洁能源技术服务体系，提供低碳绿色高品质服务，努力打造国际一流的低碳管理能力和低碳产业竞争力。</w:t>
            </w:r>
          </w:p>
          <w:p>
            <w:pPr>
              <w:ind w:firstLine="480" w:firstLineChars="200"/>
              <w:rPr>
                <w:rFonts w:eastAsiaTheme="minorEastAsia"/>
                <w:sz w:val="24"/>
              </w:rPr>
            </w:pPr>
            <w:r>
              <w:rPr>
                <w:rFonts w:hint="eastAsia"/>
                <w:sz w:val="24"/>
              </w:rPr>
              <w:t>2024年我们将在新能源、绿色低碳和产业数字化方面积极布局，完善低碳环保与数字化产业服务链条，有序打造海上风电、光伏、CCUS、节能产品等产业服务能力。启动第二批20个数字化转型场景建设，深化数据治理行动，积极推进以智能油田、智能工厂等为核心场景的工业互联网平台建设，加快推进低碳和数字化“两个转型”，打造公司未来 “增长极”。谢谢。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附件清单（如有）</w:t>
            </w:r>
          </w:p>
        </w:tc>
        <w:tc>
          <w:tcPr>
            <w:tcW w:w="435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bCs/>
                <w:sz w:val="24"/>
              </w:rPr>
            </w:pPr>
          </w:p>
          <w:p>
            <w:pPr>
              <w:spacing w:line="360" w:lineRule="auto"/>
              <w:rPr>
                <w:rFonts w:ascii="Arial" w:hAnsi="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备注</w:t>
            </w:r>
          </w:p>
        </w:tc>
        <w:tc>
          <w:tcPr>
            <w:tcW w:w="435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bCs/>
                <w:sz w:val="24"/>
              </w:rPr>
            </w:pPr>
          </w:p>
          <w:p>
            <w:pPr>
              <w:spacing w:line="360" w:lineRule="auto"/>
              <w:rPr>
                <w:rFonts w:ascii="Arial" w:hAnsi="Arial"/>
                <w:bCs/>
                <w:sz w:val="24"/>
              </w:rPr>
            </w:pPr>
          </w:p>
        </w:tc>
      </w:tr>
    </w:tbl>
    <w:p>
      <w:pPr>
        <w:spacing w:line="360" w:lineRule="auto"/>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AF"/>
    <w:rsid w:val="000064E8"/>
    <w:rsid w:val="00014730"/>
    <w:rsid w:val="0001671F"/>
    <w:rsid w:val="000249CF"/>
    <w:rsid w:val="000322B8"/>
    <w:rsid w:val="000514E2"/>
    <w:rsid w:val="00064957"/>
    <w:rsid w:val="0007152A"/>
    <w:rsid w:val="00092E77"/>
    <w:rsid w:val="000959C1"/>
    <w:rsid w:val="00095F49"/>
    <w:rsid w:val="000B2D26"/>
    <w:rsid w:val="000B5A0A"/>
    <w:rsid w:val="000C39CE"/>
    <w:rsid w:val="000C4415"/>
    <w:rsid w:val="000E3B6B"/>
    <w:rsid w:val="000F0D13"/>
    <w:rsid w:val="000F3391"/>
    <w:rsid w:val="00102C7B"/>
    <w:rsid w:val="00120BE7"/>
    <w:rsid w:val="00131336"/>
    <w:rsid w:val="00133145"/>
    <w:rsid w:val="00133934"/>
    <w:rsid w:val="00145654"/>
    <w:rsid w:val="00145874"/>
    <w:rsid w:val="0015176B"/>
    <w:rsid w:val="001640C6"/>
    <w:rsid w:val="00166E1D"/>
    <w:rsid w:val="00172322"/>
    <w:rsid w:val="00196E68"/>
    <w:rsid w:val="001B5980"/>
    <w:rsid w:val="001C3EE5"/>
    <w:rsid w:val="001C5E58"/>
    <w:rsid w:val="001C7FAB"/>
    <w:rsid w:val="001E701A"/>
    <w:rsid w:val="001F2BC6"/>
    <w:rsid w:val="001F53CD"/>
    <w:rsid w:val="00201181"/>
    <w:rsid w:val="00205C9B"/>
    <w:rsid w:val="002138F3"/>
    <w:rsid w:val="00217AD1"/>
    <w:rsid w:val="002234F1"/>
    <w:rsid w:val="00225F72"/>
    <w:rsid w:val="00231B7C"/>
    <w:rsid w:val="00232F5E"/>
    <w:rsid w:val="00251396"/>
    <w:rsid w:val="00262377"/>
    <w:rsid w:val="002917B0"/>
    <w:rsid w:val="00295886"/>
    <w:rsid w:val="0029714B"/>
    <w:rsid w:val="002A2354"/>
    <w:rsid w:val="002A7C64"/>
    <w:rsid w:val="002B3178"/>
    <w:rsid w:val="002B4C51"/>
    <w:rsid w:val="002C37B7"/>
    <w:rsid w:val="002D2D15"/>
    <w:rsid w:val="002D7106"/>
    <w:rsid w:val="002D71D3"/>
    <w:rsid w:val="002F08B5"/>
    <w:rsid w:val="002F105B"/>
    <w:rsid w:val="002F5019"/>
    <w:rsid w:val="002F57FB"/>
    <w:rsid w:val="003045BD"/>
    <w:rsid w:val="00337B48"/>
    <w:rsid w:val="00375169"/>
    <w:rsid w:val="00381350"/>
    <w:rsid w:val="0038279B"/>
    <w:rsid w:val="0038654F"/>
    <w:rsid w:val="00392023"/>
    <w:rsid w:val="00392EE5"/>
    <w:rsid w:val="003932E8"/>
    <w:rsid w:val="00396048"/>
    <w:rsid w:val="003A38F1"/>
    <w:rsid w:val="003B0A80"/>
    <w:rsid w:val="003C2D07"/>
    <w:rsid w:val="003C3CB2"/>
    <w:rsid w:val="003D4279"/>
    <w:rsid w:val="003D4E0A"/>
    <w:rsid w:val="003E0FCB"/>
    <w:rsid w:val="003E50AE"/>
    <w:rsid w:val="003F0C6C"/>
    <w:rsid w:val="0040026C"/>
    <w:rsid w:val="004115C5"/>
    <w:rsid w:val="00420C25"/>
    <w:rsid w:val="00425AD3"/>
    <w:rsid w:val="004261A5"/>
    <w:rsid w:val="00456B57"/>
    <w:rsid w:val="00461F34"/>
    <w:rsid w:val="00483104"/>
    <w:rsid w:val="0049413B"/>
    <w:rsid w:val="004A2313"/>
    <w:rsid w:val="004A48AF"/>
    <w:rsid w:val="004A5953"/>
    <w:rsid w:val="004A5CD1"/>
    <w:rsid w:val="004B64F0"/>
    <w:rsid w:val="004B6CCB"/>
    <w:rsid w:val="004C68C2"/>
    <w:rsid w:val="004E1560"/>
    <w:rsid w:val="004F6986"/>
    <w:rsid w:val="005028F2"/>
    <w:rsid w:val="00502AC1"/>
    <w:rsid w:val="00505C7F"/>
    <w:rsid w:val="00513939"/>
    <w:rsid w:val="00516029"/>
    <w:rsid w:val="0051704B"/>
    <w:rsid w:val="00520481"/>
    <w:rsid w:val="005306D2"/>
    <w:rsid w:val="005329E3"/>
    <w:rsid w:val="0053346B"/>
    <w:rsid w:val="00540D89"/>
    <w:rsid w:val="005415B8"/>
    <w:rsid w:val="005569B7"/>
    <w:rsid w:val="00576C16"/>
    <w:rsid w:val="005A675E"/>
    <w:rsid w:val="005B2535"/>
    <w:rsid w:val="005B2C08"/>
    <w:rsid w:val="005C0791"/>
    <w:rsid w:val="005F7998"/>
    <w:rsid w:val="006061B0"/>
    <w:rsid w:val="00613CB3"/>
    <w:rsid w:val="006339AA"/>
    <w:rsid w:val="00640637"/>
    <w:rsid w:val="006408CD"/>
    <w:rsid w:val="00642E5E"/>
    <w:rsid w:val="00647EF4"/>
    <w:rsid w:val="00667668"/>
    <w:rsid w:val="00670515"/>
    <w:rsid w:val="006A672C"/>
    <w:rsid w:val="006B23BF"/>
    <w:rsid w:val="006B31D9"/>
    <w:rsid w:val="006C55E7"/>
    <w:rsid w:val="006D0D9C"/>
    <w:rsid w:val="006D497F"/>
    <w:rsid w:val="006E211A"/>
    <w:rsid w:val="006E3954"/>
    <w:rsid w:val="00700F38"/>
    <w:rsid w:val="007207CB"/>
    <w:rsid w:val="0074245B"/>
    <w:rsid w:val="007500D3"/>
    <w:rsid w:val="00767BBE"/>
    <w:rsid w:val="007740D1"/>
    <w:rsid w:val="00781232"/>
    <w:rsid w:val="0078494D"/>
    <w:rsid w:val="00791A85"/>
    <w:rsid w:val="007A4BB1"/>
    <w:rsid w:val="007B4526"/>
    <w:rsid w:val="007B4B1C"/>
    <w:rsid w:val="007D2AA9"/>
    <w:rsid w:val="007D2DAD"/>
    <w:rsid w:val="007D6C5F"/>
    <w:rsid w:val="007F3F8D"/>
    <w:rsid w:val="007F52F9"/>
    <w:rsid w:val="00814B49"/>
    <w:rsid w:val="00820A07"/>
    <w:rsid w:val="0084183B"/>
    <w:rsid w:val="008418D3"/>
    <w:rsid w:val="00841B87"/>
    <w:rsid w:val="00842582"/>
    <w:rsid w:val="00852F42"/>
    <w:rsid w:val="00857736"/>
    <w:rsid w:val="00870841"/>
    <w:rsid w:val="00870E6D"/>
    <w:rsid w:val="00894C66"/>
    <w:rsid w:val="008A52A1"/>
    <w:rsid w:val="008D6D3B"/>
    <w:rsid w:val="008E16D4"/>
    <w:rsid w:val="008F33BB"/>
    <w:rsid w:val="0090720B"/>
    <w:rsid w:val="00915626"/>
    <w:rsid w:val="0092052F"/>
    <w:rsid w:val="00920A70"/>
    <w:rsid w:val="00931DF2"/>
    <w:rsid w:val="0094094D"/>
    <w:rsid w:val="00951C25"/>
    <w:rsid w:val="00952E2F"/>
    <w:rsid w:val="00953621"/>
    <w:rsid w:val="00955BD4"/>
    <w:rsid w:val="009713F6"/>
    <w:rsid w:val="009734F6"/>
    <w:rsid w:val="0097646C"/>
    <w:rsid w:val="00982303"/>
    <w:rsid w:val="009870C1"/>
    <w:rsid w:val="009A0AA8"/>
    <w:rsid w:val="009A0FDB"/>
    <w:rsid w:val="009A667A"/>
    <w:rsid w:val="009A6897"/>
    <w:rsid w:val="009A7E7D"/>
    <w:rsid w:val="009B0E27"/>
    <w:rsid w:val="009D0879"/>
    <w:rsid w:val="009D50D4"/>
    <w:rsid w:val="009F1F15"/>
    <w:rsid w:val="009F2007"/>
    <w:rsid w:val="009F4A15"/>
    <w:rsid w:val="00A016D7"/>
    <w:rsid w:val="00A06781"/>
    <w:rsid w:val="00A2008F"/>
    <w:rsid w:val="00A2669E"/>
    <w:rsid w:val="00A27FDB"/>
    <w:rsid w:val="00A32E27"/>
    <w:rsid w:val="00A46331"/>
    <w:rsid w:val="00A54A1D"/>
    <w:rsid w:val="00A56E13"/>
    <w:rsid w:val="00A64E11"/>
    <w:rsid w:val="00A7677A"/>
    <w:rsid w:val="00A80C96"/>
    <w:rsid w:val="00A9782D"/>
    <w:rsid w:val="00AA30E5"/>
    <w:rsid w:val="00AA751C"/>
    <w:rsid w:val="00AB1D47"/>
    <w:rsid w:val="00AE00F9"/>
    <w:rsid w:val="00AE6AAD"/>
    <w:rsid w:val="00AF0540"/>
    <w:rsid w:val="00B146C4"/>
    <w:rsid w:val="00B266A9"/>
    <w:rsid w:val="00B32FB4"/>
    <w:rsid w:val="00B34808"/>
    <w:rsid w:val="00B57DE2"/>
    <w:rsid w:val="00B61024"/>
    <w:rsid w:val="00B62DBF"/>
    <w:rsid w:val="00B63DDA"/>
    <w:rsid w:val="00B64A83"/>
    <w:rsid w:val="00B94426"/>
    <w:rsid w:val="00BA29F6"/>
    <w:rsid w:val="00BB6048"/>
    <w:rsid w:val="00BC06D0"/>
    <w:rsid w:val="00BD605B"/>
    <w:rsid w:val="00C2418C"/>
    <w:rsid w:val="00C31F14"/>
    <w:rsid w:val="00C42181"/>
    <w:rsid w:val="00C622EA"/>
    <w:rsid w:val="00C7176C"/>
    <w:rsid w:val="00C818BD"/>
    <w:rsid w:val="00C81F5B"/>
    <w:rsid w:val="00CA2C89"/>
    <w:rsid w:val="00CA3859"/>
    <w:rsid w:val="00CD0EC1"/>
    <w:rsid w:val="00CE53D2"/>
    <w:rsid w:val="00D02FF1"/>
    <w:rsid w:val="00D07FB4"/>
    <w:rsid w:val="00D12A2E"/>
    <w:rsid w:val="00D140C0"/>
    <w:rsid w:val="00D459BA"/>
    <w:rsid w:val="00D6600B"/>
    <w:rsid w:val="00D67300"/>
    <w:rsid w:val="00D67AA4"/>
    <w:rsid w:val="00D72A6F"/>
    <w:rsid w:val="00D75EFF"/>
    <w:rsid w:val="00D762C1"/>
    <w:rsid w:val="00D87F10"/>
    <w:rsid w:val="00D915CA"/>
    <w:rsid w:val="00D91F02"/>
    <w:rsid w:val="00D9302B"/>
    <w:rsid w:val="00DA2171"/>
    <w:rsid w:val="00DA3392"/>
    <w:rsid w:val="00DA34B0"/>
    <w:rsid w:val="00DA6434"/>
    <w:rsid w:val="00DB0F03"/>
    <w:rsid w:val="00DB3D89"/>
    <w:rsid w:val="00DC1EC5"/>
    <w:rsid w:val="00DC26ED"/>
    <w:rsid w:val="00DD156D"/>
    <w:rsid w:val="00DE5486"/>
    <w:rsid w:val="00DF4270"/>
    <w:rsid w:val="00E1402E"/>
    <w:rsid w:val="00E2445B"/>
    <w:rsid w:val="00E26F36"/>
    <w:rsid w:val="00E27AE2"/>
    <w:rsid w:val="00E54867"/>
    <w:rsid w:val="00E65FD5"/>
    <w:rsid w:val="00E878A5"/>
    <w:rsid w:val="00E947C4"/>
    <w:rsid w:val="00EB501A"/>
    <w:rsid w:val="00EC087B"/>
    <w:rsid w:val="00EC140C"/>
    <w:rsid w:val="00EC4B5E"/>
    <w:rsid w:val="00ED2FEA"/>
    <w:rsid w:val="00ED5B82"/>
    <w:rsid w:val="00EF595C"/>
    <w:rsid w:val="00EF63B5"/>
    <w:rsid w:val="00F065EA"/>
    <w:rsid w:val="00F12982"/>
    <w:rsid w:val="00F46311"/>
    <w:rsid w:val="00F54829"/>
    <w:rsid w:val="00F55C2F"/>
    <w:rsid w:val="00F5728D"/>
    <w:rsid w:val="00F76932"/>
    <w:rsid w:val="00F804AA"/>
    <w:rsid w:val="00F8256E"/>
    <w:rsid w:val="00F828C0"/>
    <w:rsid w:val="00F84A96"/>
    <w:rsid w:val="00F91EC5"/>
    <w:rsid w:val="00F930C8"/>
    <w:rsid w:val="00F9390C"/>
    <w:rsid w:val="00F94E49"/>
    <w:rsid w:val="00F959DE"/>
    <w:rsid w:val="00FB2757"/>
    <w:rsid w:val="00FB2E13"/>
    <w:rsid w:val="00FB36AF"/>
    <w:rsid w:val="00FD7CDB"/>
    <w:rsid w:val="00FE4171"/>
    <w:rsid w:val="0130215C"/>
    <w:rsid w:val="06C65AE4"/>
    <w:rsid w:val="07F118A7"/>
    <w:rsid w:val="0C654F6B"/>
    <w:rsid w:val="108E0C2E"/>
    <w:rsid w:val="11E00E28"/>
    <w:rsid w:val="14B8165B"/>
    <w:rsid w:val="15E6367B"/>
    <w:rsid w:val="19B55927"/>
    <w:rsid w:val="22903F40"/>
    <w:rsid w:val="2428786F"/>
    <w:rsid w:val="250E6BFE"/>
    <w:rsid w:val="2FC015D3"/>
    <w:rsid w:val="300F2202"/>
    <w:rsid w:val="30E8054D"/>
    <w:rsid w:val="33C01926"/>
    <w:rsid w:val="34584414"/>
    <w:rsid w:val="370D1705"/>
    <w:rsid w:val="37697DF6"/>
    <w:rsid w:val="3C9E1F83"/>
    <w:rsid w:val="40190FE2"/>
    <w:rsid w:val="40516596"/>
    <w:rsid w:val="424413B5"/>
    <w:rsid w:val="430420E0"/>
    <w:rsid w:val="486E3858"/>
    <w:rsid w:val="4F0A43C4"/>
    <w:rsid w:val="52EC50DE"/>
    <w:rsid w:val="579266F5"/>
    <w:rsid w:val="5B6B7E52"/>
    <w:rsid w:val="5C9B4908"/>
    <w:rsid w:val="5E0D31DF"/>
    <w:rsid w:val="5E831ACF"/>
    <w:rsid w:val="5FCE799C"/>
    <w:rsid w:val="60A9304C"/>
    <w:rsid w:val="60D72176"/>
    <w:rsid w:val="610477C7"/>
    <w:rsid w:val="61727C75"/>
    <w:rsid w:val="72724C57"/>
    <w:rsid w:val="73194621"/>
    <w:rsid w:val="73D357FF"/>
    <w:rsid w:val="73E21972"/>
    <w:rsid w:val="76901005"/>
    <w:rsid w:val="793A669D"/>
    <w:rsid w:val="799646AA"/>
    <w:rsid w:val="7AF74291"/>
    <w:rsid w:val="7DB33A51"/>
    <w:rsid w:val="7E9F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ody Text Indent 2"/>
    <w:basedOn w:val="1"/>
    <w:qFormat/>
    <w:uiPriority w:val="0"/>
    <w:pPr>
      <w:ind w:left="420"/>
    </w:pPr>
    <w:rPr>
      <w:rFonts w:asciiTheme="minorHAnsi" w:hAnsiTheme="minorHAnsi" w:eastAsiaTheme="minorEastAsia" w:cstheme="minorBidi"/>
      <w:b/>
      <w:sz w:val="24"/>
    </w:rPr>
  </w:style>
  <w:style w:type="paragraph" w:styleId="5">
    <w:name w:val="Balloon Text"/>
    <w:basedOn w:val="1"/>
    <w:link w:val="12"/>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批注框文本 Char"/>
    <w:basedOn w:val="10"/>
    <w:link w:val="5"/>
    <w:semiHidden/>
    <w:qFormat/>
    <w:uiPriority w:val="99"/>
    <w:rPr>
      <w:rFonts w:ascii="Calibri" w:hAnsi="Calibri" w:eastAsia="宋体" w:cs="Times New Roman"/>
      <w:sz w:val="18"/>
      <w:szCs w:val="18"/>
    </w:rPr>
  </w:style>
  <w:style w:type="character" w:customStyle="1" w:styleId="13">
    <w:name w:val="页眉 Char"/>
    <w:basedOn w:val="10"/>
    <w:link w:val="7"/>
    <w:qFormat/>
    <w:uiPriority w:val="99"/>
    <w:rPr>
      <w:rFonts w:ascii="Calibri" w:hAnsi="Calibri" w:eastAsia="宋体" w:cs="Times New Roman"/>
      <w:sz w:val="18"/>
      <w:szCs w:val="18"/>
    </w:rPr>
  </w:style>
  <w:style w:type="character" w:customStyle="1" w:styleId="14">
    <w:name w:val="页脚 Char"/>
    <w:basedOn w:val="10"/>
    <w:link w:val="6"/>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6">
    <w:name w:val="批注文字 Char"/>
    <w:basedOn w:val="10"/>
    <w:link w:val="3"/>
    <w:semiHidden/>
    <w:qFormat/>
    <w:uiPriority w:val="99"/>
    <w:rPr>
      <w:rFonts w:ascii="Calibri" w:hAnsi="Calibri" w:eastAsia="宋体" w:cs="Times New Roman"/>
      <w:szCs w:val="24"/>
    </w:rPr>
  </w:style>
  <w:style w:type="character" w:customStyle="1" w:styleId="17">
    <w:name w:val="批注主题 Char"/>
    <w:basedOn w:val="16"/>
    <w:link w:val="8"/>
    <w:semiHidden/>
    <w:qFormat/>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868</Words>
  <Characters>4951</Characters>
  <Lines>41</Lines>
  <Paragraphs>11</Paragraphs>
  <TotalTime>1</TotalTime>
  <ScaleCrop>false</ScaleCrop>
  <LinksUpToDate>false</LinksUpToDate>
  <CharactersWithSpaces>5808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2024-07-01T06:49:00Z</dcterms:created>
  <dc:creator>Xu Zhengrong</dc:creator>
  <cp:lastModifiedBy>高 静</cp:lastModifiedBy>
  <cp:lastPrinted>2021-04-22T01:41:00Z</cp:lastPrinted>
  <dcterms:modified xsi:type="dcterms:W3CDTF">2024-07-01T06:56:13Z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3D946B7A01594F8AA2C25A99802AB41C</vt:lpwstr>
  </property>
</Properties>
</file>