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pPr>
        <w:jc w:val="right"/>
        <w:rPr>
          <w:rFonts w:ascii="宋体" w:hAnsi="宋体"/>
        </w:rPr>
      </w:pPr>
      <w:r>
        <w:rPr>
          <w:rFonts w:hint="eastAsia" w:ascii="宋体" w:hAnsi="宋体"/>
        </w:rPr>
        <w:t>编号：2024-004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pPr>
              <w:pStyle w:val="24"/>
              <w:adjustRightInd w:val="0"/>
              <w:snapToGrid w:val="0"/>
              <w:spacing w:line="348" w:lineRule="auto"/>
              <w:rPr>
                <w:b/>
                <w:bCs/>
                <w:iCs/>
                <w:sz w:val="24"/>
              </w:rPr>
            </w:pPr>
            <w:r>
              <w:rPr>
                <w:b/>
                <w:bCs/>
                <w:iCs/>
                <w:sz w:val="24"/>
              </w:rPr>
              <w:t>投资者关系活动类别</w:t>
            </w:r>
          </w:p>
        </w:tc>
        <w:tc>
          <w:tcPr>
            <w:tcW w:w="6996" w:type="dxa"/>
            <w:vAlign w:val="center"/>
          </w:tcPr>
          <w:p>
            <w:pPr>
              <w:adjustRightInd w:val="0"/>
              <w:snapToGrid w:val="0"/>
              <w:spacing w:line="348"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pPr>
              <w:pStyle w:val="24"/>
              <w:adjustRightInd w:val="0"/>
              <w:snapToGrid w:val="0"/>
              <w:spacing w:line="348"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pPr>
              <w:pStyle w:val="24"/>
              <w:adjustRightInd w:val="0"/>
              <w:snapToGrid w:val="0"/>
              <w:spacing w:line="348"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pPr>
              <w:adjustRightInd w:val="0"/>
              <w:snapToGrid w:val="0"/>
              <w:spacing w:line="348" w:lineRule="auto"/>
              <w:rPr>
                <w:bCs/>
                <w:iCs/>
                <w:sz w:val="24"/>
                <w:szCs w:val="24"/>
              </w:rPr>
            </w:pPr>
            <w:r>
              <w:rPr>
                <w:sz w:val="24"/>
                <w:szCs w:val="24"/>
              </w:rPr>
              <w:sym w:font="Wingdings 2" w:char="0052"/>
            </w:r>
            <w:r>
              <w:rPr>
                <w:sz w:val="24"/>
                <w:szCs w:val="24"/>
              </w:rPr>
              <w:t>电话会议</w:t>
            </w:r>
          </w:p>
          <w:p>
            <w:pPr>
              <w:pStyle w:val="24"/>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pPr>
              <w:pStyle w:val="24"/>
              <w:adjustRightInd w:val="0"/>
              <w:snapToGrid w:val="0"/>
              <w:spacing w:line="348" w:lineRule="auto"/>
              <w:rPr>
                <w:b/>
                <w:bCs/>
                <w:iCs/>
                <w:sz w:val="24"/>
              </w:rPr>
            </w:pPr>
            <w:r>
              <w:rPr>
                <w:b/>
                <w:bCs/>
                <w:iCs/>
                <w:sz w:val="24"/>
              </w:rPr>
              <w:t>参与单位名称及人员姓名</w:t>
            </w:r>
          </w:p>
        </w:tc>
        <w:tc>
          <w:tcPr>
            <w:tcW w:w="6996" w:type="dxa"/>
            <w:vAlign w:val="center"/>
          </w:tcPr>
          <w:p>
            <w:pPr>
              <w:spacing w:line="348" w:lineRule="auto"/>
              <w:textAlignment w:val="baseline"/>
              <w:rPr>
                <w:rFonts w:ascii="Times New Roman" w:hAnsi="Times New Roman"/>
                <w:sz w:val="24"/>
                <w:szCs w:val="24"/>
              </w:rPr>
            </w:pPr>
            <w:r>
              <w:rPr>
                <w:rFonts w:hint="eastAsia" w:ascii="Times New Roman" w:hAnsi="Times New Roman"/>
                <w:sz w:val="24"/>
                <w:szCs w:val="24"/>
              </w:rPr>
              <w:t>广发基金 陈韫中 贾乃鑫 蒋  科 杨志栋</w:t>
            </w:r>
          </w:p>
          <w:p>
            <w:pPr>
              <w:spacing w:line="348" w:lineRule="auto"/>
              <w:textAlignment w:val="baseline"/>
              <w:rPr>
                <w:rFonts w:ascii="Times New Roman" w:hAnsi="Times New Roman"/>
                <w:sz w:val="24"/>
                <w:szCs w:val="24"/>
              </w:rPr>
            </w:pPr>
            <w:r>
              <w:rPr>
                <w:rFonts w:hint="eastAsia" w:ascii="Times New Roman" w:hAnsi="Times New Roman"/>
                <w:sz w:val="24"/>
                <w:szCs w:val="24"/>
              </w:rPr>
              <w:t>银河基金 王加煨</w:t>
            </w:r>
          </w:p>
          <w:p>
            <w:pPr>
              <w:spacing w:line="348" w:lineRule="auto"/>
              <w:textAlignment w:val="baseline"/>
              <w:rPr>
                <w:rFonts w:ascii="Times New Roman" w:hAnsi="Times New Roman"/>
                <w:sz w:val="24"/>
                <w:szCs w:val="24"/>
              </w:rPr>
            </w:pPr>
            <w:r>
              <w:rPr>
                <w:rFonts w:hint="eastAsia" w:ascii="Times New Roman" w:hAnsi="Times New Roman"/>
                <w:sz w:val="24"/>
                <w:szCs w:val="24"/>
              </w:rPr>
              <w:t>申万菱信基金 刘世昌</w:t>
            </w:r>
          </w:p>
          <w:p>
            <w:pPr>
              <w:spacing w:line="348" w:lineRule="auto"/>
              <w:textAlignment w:val="baseline"/>
              <w:rPr>
                <w:rFonts w:ascii="Times New Roman" w:hAnsi="Times New Roman"/>
                <w:sz w:val="24"/>
                <w:szCs w:val="24"/>
              </w:rPr>
            </w:pPr>
            <w:r>
              <w:rPr>
                <w:rFonts w:hint="eastAsia" w:ascii="Times New Roman" w:hAnsi="Times New Roman"/>
                <w:sz w:val="24"/>
                <w:szCs w:val="24"/>
              </w:rPr>
              <w:t>汇添富基金 石玉山</w:t>
            </w:r>
          </w:p>
          <w:p>
            <w:pPr>
              <w:spacing w:line="348" w:lineRule="auto"/>
              <w:textAlignment w:val="baseline"/>
              <w:rPr>
                <w:rFonts w:ascii="Times New Roman" w:hAnsi="Times New Roman"/>
                <w:sz w:val="24"/>
                <w:szCs w:val="24"/>
              </w:rPr>
            </w:pPr>
            <w:r>
              <w:rPr>
                <w:rFonts w:hint="eastAsia" w:ascii="Times New Roman" w:hAnsi="Times New Roman"/>
                <w:sz w:val="24"/>
                <w:szCs w:val="24"/>
              </w:rPr>
              <w:t>鑫元基金 费  凡</w:t>
            </w:r>
          </w:p>
          <w:p>
            <w:pPr>
              <w:spacing w:line="348" w:lineRule="auto"/>
              <w:textAlignment w:val="baseline"/>
              <w:rPr>
                <w:rFonts w:ascii="Times New Roman" w:hAnsi="Times New Roman"/>
                <w:sz w:val="24"/>
                <w:szCs w:val="24"/>
              </w:rPr>
            </w:pPr>
            <w:r>
              <w:rPr>
                <w:rFonts w:hint="eastAsia" w:ascii="Times New Roman" w:hAnsi="Times New Roman"/>
                <w:sz w:val="24"/>
                <w:szCs w:val="24"/>
              </w:rPr>
              <w:t xml:space="preserve">华泰柏瑞基金 陆丛珍 李  春 钱建江 刘腾飞 汪  政 </w:t>
            </w:r>
          </w:p>
          <w:p>
            <w:pPr>
              <w:spacing w:line="348" w:lineRule="auto"/>
              <w:textAlignment w:val="baseline"/>
              <w:rPr>
                <w:rFonts w:ascii="Times New Roman" w:hAnsi="Times New Roman"/>
                <w:sz w:val="24"/>
                <w:szCs w:val="24"/>
              </w:rPr>
            </w:pPr>
            <w:r>
              <w:rPr>
                <w:rFonts w:hint="eastAsia" w:ascii="Times New Roman" w:hAnsi="Times New Roman"/>
                <w:sz w:val="24"/>
                <w:szCs w:val="24"/>
              </w:rPr>
              <w:t>东方资管 金  春</w:t>
            </w:r>
          </w:p>
          <w:p>
            <w:pPr>
              <w:spacing w:line="348" w:lineRule="auto"/>
              <w:textAlignment w:val="baseline"/>
              <w:rPr>
                <w:rFonts w:ascii="Times New Roman" w:hAnsi="Times New Roman"/>
                <w:sz w:val="24"/>
                <w:szCs w:val="24"/>
              </w:rPr>
            </w:pPr>
            <w:r>
              <w:rPr>
                <w:rFonts w:hint="eastAsia" w:ascii="Times New Roman" w:hAnsi="Times New Roman"/>
                <w:sz w:val="24"/>
                <w:szCs w:val="24"/>
              </w:rPr>
              <w:t>国寿安保 高志鹏</w:t>
            </w:r>
          </w:p>
          <w:p>
            <w:pPr>
              <w:spacing w:line="348" w:lineRule="auto"/>
              <w:textAlignment w:val="baseline"/>
              <w:rPr>
                <w:rFonts w:ascii="Times New Roman" w:hAnsi="Times New Roman"/>
                <w:sz w:val="24"/>
                <w:szCs w:val="24"/>
              </w:rPr>
            </w:pPr>
            <w:r>
              <w:rPr>
                <w:rFonts w:hint="eastAsia" w:ascii="Times New Roman" w:hAnsi="Times New Roman"/>
                <w:sz w:val="24"/>
                <w:szCs w:val="24"/>
              </w:rPr>
              <w:t>建信理财 栾天悦</w:t>
            </w:r>
          </w:p>
          <w:p>
            <w:pPr>
              <w:spacing w:line="348" w:lineRule="auto"/>
              <w:textAlignment w:val="baseline"/>
              <w:rPr>
                <w:rFonts w:ascii="Times New Roman" w:hAnsi="Times New Roman"/>
                <w:sz w:val="24"/>
                <w:szCs w:val="24"/>
              </w:rPr>
            </w:pPr>
            <w:r>
              <w:rPr>
                <w:rFonts w:hint="eastAsia" w:ascii="Times New Roman" w:hAnsi="Times New Roman"/>
                <w:sz w:val="24"/>
                <w:szCs w:val="24"/>
              </w:rPr>
              <w:t>星石投资 曹恩祥</w:t>
            </w:r>
          </w:p>
          <w:p>
            <w:pPr>
              <w:spacing w:line="348" w:lineRule="auto"/>
              <w:textAlignment w:val="baseline"/>
              <w:rPr>
                <w:rFonts w:ascii="Times New Roman" w:hAnsi="Times New Roman"/>
                <w:sz w:val="24"/>
                <w:szCs w:val="24"/>
              </w:rPr>
            </w:pPr>
            <w:r>
              <w:rPr>
                <w:rFonts w:hint="eastAsia" w:ascii="Times New Roman" w:hAnsi="Times New Roman"/>
                <w:sz w:val="24"/>
                <w:szCs w:val="24"/>
              </w:rPr>
              <w:t>盘京投资 乔  磊</w:t>
            </w:r>
          </w:p>
          <w:p>
            <w:pPr>
              <w:spacing w:line="348" w:lineRule="auto"/>
              <w:textAlignment w:val="baseline"/>
              <w:rPr>
                <w:rFonts w:ascii="Times New Roman" w:hAnsi="Times New Roman"/>
                <w:sz w:val="24"/>
                <w:szCs w:val="24"/>
              </w:rPr>
            </w:pPr>
            <w:r>
              <w:rPr>
                <w:rFonts w:hint="eastAsia" w:ascii="Times New Roman" w:hAnsi="Times New Roman"/>
                <w:sz w:val="24"/>
                <w:szCs w:val="24"/>
              </w:rPr>
              <w:t>中金资管 韩  诚</w:t>
            </w:r>
          </w:p>
          <w:p>
            <w:pPr>
              <w:spacing w:line="348" w:lineRule="auto"/>
              <w:textAlignment w:val="baseline"/>
              <w:rPr>
                <w:rFonts w:ascii="Times New Roman" w:hAnsi="Times New Roman"/>
                <w:sz w:val="24"/>
                <w:szCs w:val="24"/>
              </w:rPr>
            </w:pPr>
            <w:r>
              <w:rPr>
                <w:rFonts w:hint="eastAsia" w:ascii="Times New Roman" w:hAnsi="Times New Roman"/>
                <w:sz w:val="24"/>
                <w:szCs w:val="24"/>
              </w:rPr>
              <w:t>中金公司 刘中玉 张  煊</w:t>
            </w:r>
          </w:p>
          <w:p>
            <w:pPr>
              <w:spacing w:line="348" w:lineRule="auto"/>
              <w:textAlignment w:val="baseline"/>
              <w:rPr>
                <w:rFonts w:ascii="Times New Roman" w:hAnsi="Times New Roman"/>
                <w:sz w:val="24"/>
                <w:szCs w:val="24"/>
              </w:rPr>
            </w:pPr>
            <w:r>
              <w:rPr>
                <w:rFonts w:hint="eastAsia" w:ascii="Times New Roman" w:hAnsi="Times New Roman"/>
                <w:sz w:val="24"/>
                <w:szCs w:val="24"/>
              </w:rPr>
              <w:t>国泰君安 黄  龙</w:t>
            </w:r>
          </w:p>
          <w:p>
            <w:pPr>
              <w:spacing w:line="348" w:lineRule="auto"/>
              <w:textAlignment w:val="baseline"/>
              <w:rPr>
                <w:rFonts w:ascii="Times New Roman" w:hAnsi="Times New Roman"/>
                <w:sz w:val="24"/>
                <w:szCs w:val="24"/>
              </w:rPr>
            </w:pPr>
            <w:r>
              <w:rPr>
                <w:rFonts w:hint="eastAsia" w:ascii="Times New Roman" w:hAnsi="Times New Roman"/>
                <w:sz w:val="24"/>
                <w:szCs w:val="24"/>
              </w:rPr>
              <w:t>国联证券 叶  鑫</w:t>
            </w:r>
          </w:p>
          <w:p>
            <w:pPr>
              <w:spacing w:line="348" w:lineRule="auto"/>
              <w:textAlignment w:val="baseline"/>
              <w:rPr>
                <w:rFonts w:ascii="Times New Roman" w:hAnsi="Times New Roman"/>
                <w:sz w:val="24"/>
                <w:szCs w:val="24"/>
              </w:rPr>
            </w:pPr>
            <w:r>
              <w:rPr>
                <w:rFonts w:hint="eastAsia" w:ascii="Times New Roman" w:hAnsi="Times New Roman"/>
                <w:sz w:val="24"/>
                <w:szCs w:val="24"/>
              </w:rPr>
              <w:t>长江证券 张晨晨</w:t>
            </w:r>
          </w:p>
          <w:p>
            <w:pPr>
              <w:spacing w:line="348" w:lineRule="auto"/>
              <w:textAlignment w:val="baseline"/>
              <w:rPr>
                <w:rFonts w:ascii="Times New Roman" w:hAnsi="Times New Roman"/>
                <w:sz w:val="24"/>
                <w:szCs w:val="24"/>
              </w:rPr>
            </w:pPr>
            <w:r>
              <w:rPr>
                <w:rFonts w:hint="eastAsia" w:ascii="Times New Roman" w:hAnsi="Times New Roman"/>
                <w:sz w:val="24"/>
                <w:szCs w:val="24"/>
              </w:rPr>
              <w:t>兴业证券 李博彦</w:t>
            </w:r>
          </w:p>
          <w:p>
            <w:pPr>
              <w:spacing w:line="348" w:lineRule="auto"/>
              <w:textAlignment w:val="baseline"/>
              <w:rPr>
                <w:rFonts w:ascii="Times New Roman" w:hAnsi="Times New Roman"/>
                <w:sz w:val="24"/>
                <w:szCs w:val="24"/>
              </w:rPr>
            </w:pPr>
            <w:r>
              <w:rPr>
                <w:rFonts w:hint="eastAsia" w:ascii="Times New Roman" w:hAnsi="Times New Roman"/>
                <w:sz w:val="24"/>
                <w:szCs w:val="24"/>
              </w:rPr>
              <w:t>华福证券 周丹露</w:t>
            </w:r>
          </w:p>
          <w:p>
            <w:pPr>
              <w:spacing w:line="348" w:lineRule="auto"/>
              <w:textAlignment w:val="baseline"/>
              <w:rPr>
                <w:rFonts w:ascii="Times New Roman" w:hAnsi="Times New Roman"/>
                <w:sz w:val="24"/>
                <w:szCs w:val="24"/>
              </w:rPr>
            </w:pPr>
            <w:r>
              <w:rPr>
                <w:rFonts w:hint="eastAsia" w:ascii="Times New Roman" w:hAnsi="Times New Roman"/>
                <w:sz w:val="24"/>
                <w:szCs w:val="24"/>
              </w:rPr>
              <w:t>招商证券 廖世刚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pPr>
              <w:pStyle w:val="24"/>
              <w:spacing w:line="348" w:lineRule="auto"/>
              <w:rPr>
                <w:rFonts w:ascii="Times New Roman" w:hAnsi="Times New Roman"/>
                <w:iCs/>
                <w:sz w:val="24"/>
              </w:rPr>
            </w:pPr>
            <w:r>
              <w:rPr>
                <w:rFonts w:hint="eastAsia" w:ascii="Times New Roman" w:hAnsi="Times New Roman"/>
                <w:iCs/>
                <w:sz w:val="24"/>
              </w:rPr>
              <w:t>2024年6月18日至6月28日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pPr>
              <w:pStyle w:val="24"/>
              <w:spacing w:line="348" w:lineRule="auto"/>
              <w:rPr>
                <w:rFonts w:ascii="Times New Roman" w:hAnsi="Times New Roman"/>
                <w:iCs/>
                <w:sz w:val="24"/>
              </w:rPr>
            </w:pPr>
            <w:r>
              <w:rPr>
                <w:rFonts w:hint="eastAsia" w:ascii="Times New Roman" w:hAnsi="Times New Roman"/>
                <w:iCs/>
                <w:sz w:val="24"/>
              </w:rPr>
              <w:t>江西省南昌市高新开发区高新大道699号国泰集团会议室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pPr>
              <w:adjustRightInd w:val="0"/>
              <w:snapToGrid w:val="0"/>
              <w:spacing w:line="348" w:lineRule="auto"/>
              <w:rPr>
                <w:rFonts w:ascii="Times New Roman" w:hAnsi="Times New Roman"/>
                <w:sz w:val="24"/>
                <w:szCs w:val="24"/>
              </w:rPr>
            </w:pPr>
            <w:r>
              <w:rPr>
                <w:rFonts w:hint="eastAsia" w:ascii="Times New Roman" w:hAnsi="Times New Roman"/>
                <w:sz w:val="24"/>
                <w:szCs w:val="24"/>
              </w:rPr>
              <w:t xml:space="preserve">国泰集团 董事长 熊旭晴；董事会秘书 何骥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26" w:type="dxa"/>
            <w:vAlign w:val="center"/>
          </w:tcPr>
          <w:p>
            <w:pPr>
              <w:pStyle w:val="24"/>
              <w:adjustRightInd w:val="0"/>
              <w:snapToGrid w:val="0"/>
              <w:spacing w:line="348" w:lineRule="auto"/>
              <w:rPr>
                <w:b/>
                <w:bCs/>
                <w:iCs/>
                <w:sz w:val="24"/>
              </w:rPr>
            </w:pPr>
            <w:r>
              <w:rPr>
                <w:rFonts w:hint="eastAsia"/>
                <w:b/>
                <w:bCs/>
                <w:iCs/>
                <w:sz w:val="24"/>
              </w:rPr>
              <w:t>投资者关系活动主要内容介绍</w:t>
            </w:r>
          </w:p>
        </w:tc>
        <w:tc>
          <w:tcPr>
            <w:tcW w:w="6996" w:type="dxa"/>
          </w:tcPr>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首先向投资者简要介绍公司2023年度经营业绩情况，民爆业务、军工新材料业务情况，随后针对投资者关心的重点问题作了具体交流如下：</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1、公司含能材料项目建设有无最新进展？</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公司含能材料项目于今年5月初取得国家有关部门核准批文后，6月19日公司完成对项目实施主体江西九江国泰新材料有限公司注册资本金增至3.5亿元工作。目前公司正全力推进项目实施主体取得项目用地，进行项目初步设计评审以及启动项目相关招投标工作，努力按核准批文确定的时间节点建成投产，争取2025年下半年开始交付产品。</w:t>
            </w:r>
          </w:p>
          <w:p>
            <w:pPr>
              <w:adjustRightInd w:val="0"/>
              <w:snapToGrid w:val="0"/>
              <w:spacing w:line="336" w:lineRule="auto"/>
              <w:ind w:firstLine="480" w:firstLineChars="200"/>
              <w:rPr>
                <w:rFonts w:ascii="宋体" w:hAnsi="宋体" w:cs="宋体"/>
                <w:sz w:val="24"/>
                <w:szCs w:val="24"/>
              </w:rPr>
            </w:pP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2、公司所处民爆行业竞争格局如何，未来变化有什么展望？</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随着民爆企业重组整合稳步推进，行业集中度持续提升。2023年，行业排名前20家企业集团合计生产总值达352亿元，约占行业总产值的81%，所占比例比2022年增长约5个百分点。行业排名前20家企业集团合计炸药产量达381万吨，约占行业总产量的83%，所占比例比2022年增长约5个百分点。</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江西省是全国率先完成省内民爆资产整合的省份之一，未来公司将顺应民爆行业结构调整及重组整合政策导向，落实公司“一体两翼”发展战略，以市场和客户需求为导向，持续优化业务结构，进一步加大民爆产业开拓，持续推进一体化经营，推动民爆一体化产业做强做优做大。</w:t>
            </w:r>
          </w:p>
          <w:p>
            <w:pPr>
              <w:adjustRightInd w:val="0"/>
              <w:snapToGrid w:val="0"/>
              <w:spacing w:line="336" w:lineRule="auto"/>
              <w:ind w:firstLine="480" w:firstLineChars="200"/>
              <w:rPr>
                <w:rFonts w:ascii="宋体" w:hAnsi="宋体" w:cs="宋体"/>
                <w:sz w:val="24"/>
                <w:szCs w:val="24"/>
              </w:rPr>
            </w:pP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3、今年原材料硝酸铵的价格变动情况如何，对公司业绩有何影响？</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根据中国爆破器材行业协会统计信息，2024年第一季度硝酸铵均价约2,516.28元，较2023年同期下降11.37%，硝酸铵作为民爆产品主要原材料，其价格下行使得公司民爆产品成本降低，综合毛利率提升，对公司业绩产生积极影响。</w:t>
            </w:r>
          </w:p>
          <w:p>
            <w:pPr>
              <w:adjustRightInd w:val="0"/>
              <w:snapToGrid w:val="0"/>
              <w:spacing w:line="336" w:lineRule="auto"/>
              <w:ind w:firstLine="480" w:firstLineChars="200"/>
              <w:rPr>
                <w:rFonts w:ascii="宋体" w:hAnsi="宋体" w:cs="宋体"/>
                <w:sz w:val="24"/>
                <w:szCs w:val="24"/>
              </w:rPr>
            </w:pP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4、国家对民爆行业的准入门槛及资质审批，有无可能出现重大变化？</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根据2021年工信部发布《“十四五”民用爆炸物品行业安全发展规划》，明确提到：提高安全准入标准，严格行政许可审查，对于技术条件和经营规模不符合要求的，不再延续生产许可、安全生产许可、销售许可。</w:t>
            </w:r>
          </w:p>
          <w:p>
            <w:pPr>
              <w:adjustRightInd w:val="0"/>
              <w:snapToGrid w:val="0"/>
              <w:spacing w:line="336" w:lineRule="auto"/>
              <w:ind w:firstLine="480" w:firstLineChars="200"/>
              <w:rPr>
                <w:rFonts w:ascii="宋体" w:hAnsi="宋体" w:cs="宋体"/>
                <w:sz w:val="24"/>
                <w:szCs w:val="24"/>
              </w:rPr>
            </w:pPr>
          </w:p>
          <w:p>
            <w:pPr>
              <w:adjustRightInd w:val="0"/>
              <w:snapToGrid w:val="0"/>
              <w:spacing w:line="336"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5、公司混装及包装炸药产能分别有多少，《“十四五”民用爆炸物品行业安全发展规划》提出，到2025年，企业现场混装炸药许可产能占比≥35%，公司后续是否考虑扩大现场混装炸药产能</w:t>
            </w:r>
            <w:r>
              <w:rPr>
                <w:rFonts w:hint="eastAsia" w:ascii="宋体" w:hAnsi="宋体" w:cs="宋体"/>
                <w:sz w:val="24"/>
                <w:szCs w:val="24"/>
                <w:lang w:eastAsia="zh-CN"/>
              </w:rPr>
              <w:t>？</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答：公司现有工业炸药产能 17.4万吨，其中现场混装炸药产能5.22万吨，占公司炸药总产能的30%。《“十四五”民用爆炸物品行业安全发展规划》提出，到2025年，企业现场混装炸药许可产能占比≥35%，公司将积极顺应国家民爆行业“十四五”安全发展规划要求，充分发挥国有上市公司的平台优势，通过并购重组、联优并强增加民爆物品生产许可，实现产能适度扩张，推动产能结构与区域市场合理布局。</w:t>
            </w:r>
          </w:p>
          <w:p>
            <w:pPr>
              <w:adjustRightInd w:val="0"/>
              <w:snapToGrid w:val="0"/>
              <w:spacing w:line="336" w:lineRule="auto"/>
              <w:ind w:firstLine="480" w:firstLineChars="200"/>
              <w:textAlignment w:val="baseline"/>
              <w:rPr>
                <w:rFonts w:ascii="宋体" w:hAnsi="宋体" w:cs="宋体"/>
                <w:sz w:val="24"/>
                <w:szCs w:val="24"/>
              </w:rPr>
            </w:pPr>
          </w:p>
          <w:p>
            <w:pPr>
              <w:adjustRightInd w:val="0"/>
              <w:snapToGrid w:val="0"/>
              <w:spacing w:line="336"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rPr>
              <w:t>6、简要介绍国泰集团工业互联网平台及其应用情况</w:t>
            </w:r>
            <w:r>
              <w:rPr>
                <w:rFonts w:hint="eastAsia" w:ascii="宋体" w:hAnsi="宋体" w:cs="宋体"/>
                <w:sz w:val="24"/>
                <w:szCs w:val="24"/>
                <w:lang w:eastAsia="zh-CN"/>
              </w:rPr>
              <w:t>？</w:t>
            </w:r>
            <w:bookmarkStart w:id="0" w:name="_GoBack"/>
            <w:bookmarkEnd w:id="0"/>
          </w:p>
          <w:p>
            <w:pPr>
              <w:adjustRightInd w:val="0"/>
              <w:snapToGrid w:val="0"/>
              <w:spacing w:line="336" w:lineRule="auto"/>
              <w:ind w:firstLine="480" w:firstLineChars="200"/>
              <w:textAlignment w:val="baseline"/>
              <w:rPr>
                <w:rFonts w:ascii="宋体" w:hAnsi="宋体" w:cs="宋体"/>
                <w:sz w:val="24"/>
                <w:szCs w:val="24"/>
              </w:rPr>
            </w:pPr>
            <w:r>
              <w:rPr>
                <w:rFonts w:hint="eastAsia" w:ascii="宋体" w:hAnsi="宋体" w:cs="宋体"/>
                <w:sz w:val="24"/>
                <w:szCs w:val="24"/>
              </w:rPr>
              <w:t>答：公司充分发挥自身产业优势，从轨道交通数字化、国防工业仿真、危化品数字工厂等应用实践出发，不断探索工业互联网产业链能力，积极探索信息化新技术，形成了具备通讯解决能力、基础设施服务能力、平台架构、工业软件、创新应用、以及安全一体化的国泰工业互联网平台。国泰工业互联网平台入选国家工业和信息化部2023年新增跨行业跨领域工业互联网平台名单，成为江西省首个获批的国家级跨行业跨领域工业互联网平台，代表了国内工业互联网平台的最高水平。</w:t>
            </w:r>
          </w:p>
          <w:p>
            <w:pPr>
              <w:adjustRightInd w:val="0"/>
              <w:snapToGrid w:val="0"/>
              <w:spacing w:line="336" w:lineRule="auto"/>
              <w:ind w:firstLine="480" w:firstLineChars="200"/>
              <w:textAlignment w:val="baseline"/>
              <w:rPr>
                <w:rFonts w:ascii="宋体" w:hAnsi="宋体" w:cs="宋体"/>
                <w:sz w:val="24"/>
                <w:szCs w:val="24"/>
              </w:rPr>
            </w:pPr>
            <w:r>
              <w:rPr>
                <w:rFonts w:hint="eastAsia" w:ascii="宋体" w:hAnsi="宋体" w:cs="宋体"/>
                <w:sz w:val="24"/>
                <w:szCs w:val="24"/>
              </w:rPr>
              <w:t>国泰工业互联网平台旨在为工业企业提供一站式的数字化转型解决方案，帮助企业实现智能化、数字化和网络化的生产与经营。构建了人、机、料、法、环等全方位互联，累积了大量行业数据和落地经验，具备纵向复制、横向扩展、多方延伸的能力。</w:t>
            </w:r>
          </w:p>
          <w:p>
            <w:pPr>
              <w:adjustRightInd w:val="0"/>
              <w:snapToGrid w:val="0"/>
              <w:spacing w:line="336" w:lineRule="auto"/>
              <w:ind w:firstLine="480" w:firstLineChars="200"/>
              <w:textAlignment w:val="baseline"/>
              <w:rPr>
                <w:rFonts w:ascii="宋体" w:hAnsi="宋体" w:cs="宋体"/>
                <w:sz w:val="24"/>
                <w:szCs w:val="24"/>
              </w:rPr>
            </w:pPr>
          </w:p>
          <w:p>
            <w:pPr>
              <w:adjustRightInd w:val="0"/>
              <w:snapToGrid w:val="0"/>
              <w:spacing w:line="336" w:lineRule="auto"/>
              <w:ind w:firstLine="480" w:firstLineChars="200"/>
              <w:textAlignment w:val="baseline"/>
              <w:rPr>
                <w:rFonts w:ascii="宋体" w:hAnsi="宋体" w:cs="宋体"/>
                <w:sz w:val="24"/>
                <w:szCs w:val="24"/>
              </w:rPr>
            </w:pPr>
            <w:r>
              <w:rPr>
                <w:rFonts w:hint="eastAsia" w:ascii="宋体" w:hAnsi="宋体" w:cs="宋体"/>
                <w:sz w:val="24"/>
                <w:szCs w:val="24"/>
              </w:rPr>
              <w:t>7.请问在未来一段时间，如何加强对股东的回报？</w:t>
            </w:r>
          </w:p>
          <w:p>
            <w:pPr>
              <w:adjustRightInd w:val="0"/>
              <w:snapToGrid w:val="0"/>
              <w:spacing w:line="336" w:lineRule="auto"/>
              <w:ind w:firstLine="480" w:firstLineChars="200"/>
              <w:textAlignment w:val="baseline"/>
              <w:rPr>
                <w:rFonts w:ascii="宋体" w:hAnsi="宋体" w:cs="宋体"/>
                <w:b/>
                <w:sz w:val="24"/>
                <w:szCs w:val="24"/>
              </w:rPr>
            </w:pPr>
            <w:r>
              <w:rPr>
                <w:rFonts w:hint="eastAsia" w:ascii="宋体" w:hAnsi="宋体" w:cs="宋体"/>
                <w:sz w:val="24"/>
                <w:szCs w:val="24"/>
              </w:rPr>
              <w:t>答：公司始终致力于为全体股东创造价值，坚持以高质量发展成果为投资者创造良好回报，向资本市场和投资者传递公司稳健经营、持续发展的积极信号。自上市以来，公司每年均实施现金分红政策，近三年公司累计现金分红金额2.19亿元，占公司近三年年均净利润的95.42%。</w:t>
            </w:r>
          </w:p>
          <w:p>
            <w:pPr>
              <w:adjustRightInd w:val="0"/>
              <w:snapToGrid w:val="0"/>
              <w:spacing w:line="336" w:lineRule="auto"/>
              <w:ind w:firstLine="480" w:firstLineChars="200"/>
              <w:textAlignment w:val="baseline"/>
              <w:rPr>
                <w:rFonts w:ascii="宋体" w:hAnsi="宋体" w:cs="宋体"/>
                <w:sz w:val="24"/>
                <w:szCs w:val="24"/>
              </w:rPr>
            </w:pPr>
            <w:r>
              <w:rPr>
                <w:rFonts w:hint="eastAsia" w:ascii="宋体" w:hAnsi="宋体" w:cs="宋体"/>
                <w:sz w:val="24"/>
                <w:szCs w:val="24"/>
              </w:rPr>
              <w:t>未来，公司将综合考虑所处行业特征、发展战略和经营计划、股东回报、社会资金成本及外部融资环境等因素，拟定符合实际的分红方案。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pPr>
              <w:pStyle w:val="24"/>
              <w:spacing w:line="348" w:lineRule="auto"/>
              <w:rPr>
                <w:rFonts w:ascii="Times New Roman" w:hAnsi="Times New Roman"/>
                <w:bCs/>
                <w:iCs/>
                <w:sz w:val="24"/>
              </w:rPr>
            </w:pPr>
            <w:r>
              <w:rPr>
                <w:rFonts w:ascii="Times New Roman" w:hAnsi="Times New Roman"/>
                <w:bCs/>
                <w:iCs/>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24"/>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pPr>
              <w:pStyle w:val="24"/>
              <w:spacing w:line="348"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4</w:t>
            </w:r>
            <w:r>
              <w:rPr>
                <w:rFonts w:ascii="Times New Roman" w:hAnsi="Times New Roman"/>
                <w:bCs/>
                <w:iCs/>
                <w:sz w:val="24"/>
              </w:rPr>
              <w:t>年</w:t>
            </w:r>
            <w:r>
              <w:rPr>
                <w:rFonts w:hint="eastAsia" w:ascii="Times New Roman" w:hAnsi="Times New Roman"/>
                <w:bCs/>
                <w:iCs/>
                <w:sz w:val="24"/>
              </w:rPr>
              <w:t>7月1</w:t>
            </w:r>
            <w:r>
              <w:rPr>
                <w:rFonts w:ascii="Times New Roman" w:hAnsi="Times New Roman"/>
                <w:bCs/>
                <w:iCs/>
                <w:sz w:val="24"/>
              </w:rPr>
              <w:t>日</w:t>
            </w:r>
          </w:p>
        </w:tc>
      </w:tr>
    </w:tbl>
    <w:p>
      <w:pPr>
        <w:rPr>
          <w:rFonts w:ascii="Times New Roman" w:hAnsi="Times New Roman"/>
          <w:sz w:val="28"/>
          <w:szCs w:val="28"/>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YzYjg5NzJmMjE3YWM3NWQ2Mzg1MDAyNjc5MjRlMDMifQ=="/>
  </w:docVars>
  <w:rsids>
    <w:rsidRoot w:val="00172A27"/>
    <w:rsid w:val="00005BE5"/>
    <w:rsid w:val="00012A14"/>
    <w:rsid w:val="00051401"/>
    <w:rsid w:val="000729AD"/>
    <w:rsid w:val="00075373"/>
    <w:rsid w:val="000B3CDB"/>
    <w:rsid w:val="000B5A24"/>
    <w:rsid w:val="000D5F99"/>
    <w:rsid w:val="000E7FD8"/>
    <w:rsid w:val="000F3952"/>
    <w:rsid w:val="00111F29"/>
    <w:rsid w:val="001408E3"/>
    <w:rsid w:val="0014474A"/>
    <w:rsid w:val="001549ED"/>
    <w:rsid w:val="00172A27"/>
    <w:rsid w:val="00173BDF"/>
    <w:rsid w:val="0019468E"/>
    <w:rsid w:val="001C5BB5"/>
    <w:rsid w:val="001F4888"/>
    <w:rsid w:val="002037D4"/>
    <w:rsid w:val="00260223"/>
    <w:rsid w:val="00282BE8"/>
    <w:rsid w:val="002A4B4C"/>
    <w:rsid w:val="002D7F64"/>
    <w:rsid w:val="00303F67"/>
    <w:rsid w:val="003215D0"/>
    <w:rsid w:val="003333AB"/>
    <w:rsid w:val="00415011"/>
    <w:rsid w:val="004502D8"/>
    <w:rsid w:val="004609B1"/>
    <w:rsid w:val="004762D3"/>
    <w:rsid w:val="004D0367"/>
    <w:rsid w:val="004D0F55"/>
    <w:rsid w:val="004E12F1"/>
    <w:rsid w:val="004F05BD"/>
    <w:rsid w:val="0054333A"/>
    <w:rsid w:val="005508BF"/>
    <w:rsid w:val="005516FE"/>
    <w:rsid w:val="005A56BD"/>
    <w:rsid w:val="005B0351"/>
    <w:rsid w:val="005D3B41"/>
    <w:rsid w:val="00610F76"/>
    <w:rsid w:val="00621D23"/>
    <w:rsid w:val="006267C4"/>
    <w:rsid w:val="00654E41"/>
    <w:rsid w:val="00660154"/>
    <w:rsid w:val="00660AD4"/>
    <w:rsid w:val="006A76EB"/>
    <w:rsid w:val="00714BDD"/>
    <w:rsid w:val="00726C8D"/>
    <w:rsid w:val="00735737"/>
    <w:rsid w:val="007572EB"/>
    <w:rsid w:val="007A6170"/>
    <w:rsid w:val="007D2B30"/>
    <w:rsid w:val="007D484F"/>
    <w:rsid w:val="00807D0E"/>
    <w:rsid w:val="00837B23"/>
    <w:rsid w:val="00856970"/>
    <w:rsid w:val="00900289"/>
    <w:rsid w:val="009E3246"/>
    <w:rsid w:val="00A6191B"/>
    <w:rsid w:val="00A628F4"/>
    <w:rsid w:val="00A70EAF"/>
    <w:rsid w:val="00A74DB1"/>
    <w:rsid w:val="00AE2EA5"/>
    <w:rsid w:val="00AE7B95"/>
    <w:rsid w:val="00AF217D"/>
    <w:rsid w:val="00B008D6"/>
    <w:rsid w:val="00B13B61"/>
    <w:rsid w:val="00B45C19"/>
    <w:rsid w:val="00B53767"/>
    <w:rsid w:val="00B636F0"/>
    <w:rsid w:val="00B67E74"/>
    <w:rsid w:val="00B72B1E"/>
    <w:rsid w:val="00B95F24"/>
    <w:rsid w:val="00BA60E8"/>
    <w:rsid w:val="00BC6896"/>
    <w:rsid w:val="00BE3D4A"/>
    <w:rsid w:val="00BF44E6"/>
    <w:rsid w:val="00C528EC"/>
    <w:rsid w:val="00C9040D"/>
    <w:rsid w:val="00C96D4E"/>
    <w:rsid w:val="00CC5CA9"/>
    <w:rsid w:val="00CF0CB9"/>
    <w:rsid w:val="00D466A6"/>
    <w:rsid w:val="00D70E55"/>
    <w:rsid w:val="00D764E4"/>
    <w:rsid w:val="00D82ADB"/>
    <w:rsid w:val="00E23F3C"/>
    <w:rsid w:val="00E310B8"/>
    <w:rsid w:val="00E62CB1"/>
    <w:rsid w:val="00E67BAB"/>
    <w:rsid w:val="00EA2A0B"/>
    <w:rsid w:val="00EB3F3E"/>
    <w:rsid w:val="00ED68F4"/>
    <w:rsid w:val="00EF628C"/>
    <w:rsid w:val="00F071C8"/>
    <w:rsid w:val="00F42141"/>
    <w:rsid w:val="00F846A9"/>
    <w:rsid w:val="00FC7064"/>
    <w:rsid w:val="00FE1056"/>
    <w:rsid w:val="012F77FB"/>
    <w:rsid w:val="017052C2"/>
    <w:rsid w:val="01BE6AF9"/>
    <w:rsid w:val="0220070B"/>
    <w:rsid w:val="0272649F"/>
    <w:rsid w:val="040A0C52"/>
    <w:rsid w:val="057E50FA"/>
    <w:rsid w:val="062E19DF"/>
    <w:rsid w:val="079F2DB5"/>
    <w:rsid w:val="086C2CFF"/>
    <w:rsid w:val="086F3FA3"/>
    <w:rsid w:val="09C6525C"/>
    <w:rsid w:val="09F04B00"/>
    <w:rsid w:val="0A1D72FB"/>
    <w:rsid w:val="0A9172F3"/>
    <w:rsid w:val="0AD97127"/>
    <w:rsid w:val="0C112E71"/>
    <w:rsid w:val="0E776918"/>
    <w:rsid w:val="0E8F0CEC"/>
    <w:rsid w:val="0EA06710"/>
    <w:rsid w:val="108D02AC"/>
    <w:rsid w:val="10A9384D"/>
    <w:rsid w:val="112573D4"/>
    <w:rsid w:val="11882673"/>
    <w:rsid w:val="12C41C61"/>
    <w:rsid w:val="12F31613"/>
    <w:rsid w:val="1491634A"/>
    <w:rsid w:val="14D507B4"/>
    <w:rsid w:val="15146085"/>
    <w:rsid w:val="158F0E59"/>
    <w:rsid w:val="15E962C8"/>
    <w:rsid w:val="17090DA6"/>
    <w:rsid w:val="187F55E4"/>
    <w:rsid w:val="18EF7F00"/>
    <w:rsid w:val="19CC5666"/>
    <w:rsid w:val="1ACA7824"/>
    <w:rsid w:val="1B153B0F"/>
    <w:rsid w:val="1B2D6D86"/>
    <w:rsid w:val="1CCF12B9"/>
    <w:rsid w:val="1CEA0CB6"/>
    <w:rsid w:val="1D590854"/>
    <w:rsid w:val="1E7233D8"/>
    <w:rsid w:val="203606F7"/>
    <w:rsid w:val="226E1C50"/>
    <w:rsid w:val="23C737F1"/>
    <w:rsid w:val="2522011E"/>
    <w:rsid w:val="27A41130"/>
    <w:rsid w:val="28740B91"/>
    <w:rsid w:val="293765A7"/>
    <w:rsid w:val="2A396FA8"/>
    <w:rsid w:val="2B2A2B97"/>
    <w:rsid w:val="2C742F1C"/>
    <w:rsid w:val="2C8974F1"/>
    <w:rsid w:val="2C8D1007"/>
    <w:rsid w:val="2D4F45EC"/>
    <w:rsid w:val="2DBC19FE"/>
    <w:rsid w:val="31A53D8D"/>
    <w:rsid w:val="32440EDC"/>
    <w:rsid w:val="326C0551"/>
    <w:rsid w:val="33690F44"/>
    <w:rsid w:val="33CE2331"/>
    <w:rsid w:val="356B0A3B"/>
    <w:rsid w:val="373C3BA7"/>
    <w:rsid w:val="38CD681E"/>
    <w:rsid w:val="38DC5496"/>
    <w:rsid w:val="39760E2C"/>
    <w:rsid w:val="39D4375B"/>
    <w:rsid w:val="39D964F3"/>
    <w:rsid w:val="3A3042F0"/>
    <w:rsid w:val="3A5B4367"/>
    <w:rsid w:val="3A953F23"/>
    <w:rsid w:val="3BD0316A"/>
    <w:rsid w:val="3BEE40FB"/>
    <w:rsid w:val="3C5C4961"/>
    <w:rsid w:val="3E7551CA"/>
    <w:rsid w:val="3ED846AD"/>
    <w:rsid w:val="3FD2226D"/>
    <w:rsid w:val="40293542"/>
    <w:rsid w:val="40F912CC"/>
    <w:rsid w:val="42A329D9"/>
    <w:rsid w:val="431B63A1"/>
    <w:rsid w:val="469B1418"/>
    <w:rsid w:val="46F56910"/>
    <w:rsid w:val="481E5EE0"/>
    <w:rsid w:val="48562A5D"/>
    <w:rsid w:val="48D2515B"/>
    <w:rsid w:val="4933371F"/>
    <w:rsid w:val="49B37CF3"/>
    <w:rsid w:val="4A1C0F29"/>
    <w:rsid w:val="4A9F3C99"/>
    <w:rsid w:val="4B7B1369"/>
    <w:rsid w:val="4BDB5432"/>
    <w:rsid w:val="4C0E4530"/>
    <w:rsid w:val="4DF5519C"/>
    <w:rsid w:val="50CE348B"/>
    <w:rsid w:val="51A83C8D"/>
    <w:rsid w:val="53E607EA"/>
    <w:rsid w:val="546F389A"/>
    <w:rsid w:val="554C3B9F"/>
    <w:rsid w:val="557378ED"/>
    <w:rsid w:val="55E40C52"/>
    <w:rsid w:val="579C7722"/>
    <w:rsid w:val="58AE5E7C"/>
    <w:rsid w:val="595E459B"/>
    <w:rsid w:val="5A7D0C9E"/>
    <w:rsid w:val="5AD41F13"/>
    <w:rsid w:val="5C6B3654"/>
    <w:rsid w:val="5CE91611"/>
    <w:rsid w:val="5D2D269B"/>
    <w:rsid w:val="5D5201C0"/>
    <w:rsid w:val="5DC9716E"/>
    <w:rsid w:val="5DDE5652"/>
    <w:rsid w:val="5E613EA4"/>
    <w:rsid w:val="5FEA56D8"/>
    <w:rsid w:val="607313C1"/>
    <w:rsid w:val="60B66CA4"/>
    <w:rsid w:val="60FD3B15"/>
    <w:rsid w:val="62315391"/>
    <w:rsid w:val="62C108C4"/>
    <w:rsid w:val="63921342"/>
    <w:rsid w:val="6498572D"/>
    <w:rsid w:val="64B9162B"/>
    <w:rsid w:val="663740B6"/>
    <w:rsid w:val="66601051"/>
    <w:rsid w:val="66902670"/>
    <w:rsid w:val="6710771C"/>
    <w:rsid w:val="678E1D9F"/>
    <w:rsid w:val="68053E8D"/>
    <w:rsid w:val="6A36252B"/>
    <w:rsid w:val="6A724BD9"/>
    <w:rsid w:val="6E3E5853"/>
    <w:rsid w:val="6E576C48"/>
    <w:rsid w:val="6E711399"/>
    <w:rsid w:val="6E7D2E87"/>
    <w:rsid w:val="6EC33075"/>
    <w:rsid w:val="6F595014"/>
    <w:rsid w:val="72075026"/>
    <w:rsid w:val="722608CA"/>
    <w:rsid w:val="730B5005"/>
    <w:rsid w:val="732B0626"/>
    <w:rsid w:val="73FE0E42"/>
    <w:rsid w:val="74314109"/>
    <w:rsid w:val="745B2A20"/>
    <w:rsid w:val="74911176"/>
    <w:rsid w:val="749E60E7"/>
    <w:rsid w:val="74F846EB"/>
    <w:rsid w:val="76044EAD"/>
    <w:rsid w:val="76D07EF6"/>
    <w:rsid w:val="77CA4C87"/>
    <w:rsid w:val="78093CAC"/>
    <w:rsid w:val="78607595"/>
    <w:rsid w:val="788861F9"/>
    <w:rsid w:val="795D77B7"/>
    <w:rsid w:val="79BD7ABA"/>
    <w:rsid w:val="7A2F7E05"/>
    <w:rsid w:val="7AB5242F"/>
    <w:rsid w:val="7AF87737"/>
    <w:rsid w:val="7B0B1932"/>
    <w:rsid w:val="7B1D2DF5"/>
    <w:rsid w:val="7B292635"/>
    <w:rsid w:val="7D236D81"/>
    <w:rsid w:val="7D2C2DAC"/>
    <w:rsid w:val="7FAE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19"/>
    <w:autoRedefine/>
    <w:qFormat/>
    <w:uiPriority w:val="0"/>
    <w:rPr>
      <w:sz w:val="18"/>
      <w:szCs w:val="18"/>
    </w:rPr>
  </w:style>
  <w:style w:type="paragraph" w:styleId="8">
    <w:name w:val="footer"/>
    <w:basedOn w:val="1"/>
    <w:link w:val="15"/>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0"/>
    <w:autoRedefine/>
    <w:qFormat/>
    <w:uiPriority w:val="0"/>
    <w:rPr>
      <w:b/>
      <w:bCs/>
    </w:rPr>
  </w:style>
  <w:style w:type="character" w:styleId="14">
    <w:name w:val="annotation reference"/>
    <w:autoRedefine/>
    <w:qFormat/>
    <w:uiPriority w:val="0"/>
    <w:rPr>
      <w:sz w:val="21"/>
      <w:szCs w:val="21"/>
    </w:rPr>
  </w:style>
  <w:style w:type="character" w:customStyle="1" w:styleId="15">
    <w:name w:val="页脚 Char"/>
    <w:link w:val="8"/>
    <w:autoRedefine/>
    <w:qFormat/>
    <w:uiPriority w:val="99"/>
    <w:rPr>
      <w:kern w:val="2"/>
      <w:sz w:val="18"/>
    </w:rPr>
  </w:style>
  <w:style w:type="character" w:customStyle="1" w:styleId="16">
    <w:name w:val="页码 New"/>
    <w:basedOn w:val="13"/>
    <w:autoRedefine/>
    <w:qFormat/>
    <w:uiPriority w:val="0"/>
  </w:style>
  <w:style w:type="character" w:customStyle="1" w:styleId="17">
    <w:name w:val="页码 New New"/>
    <w:basedOn w:val="13"/>
    <w:autoRedefine/>
    <w:qFormat/>
    <w:uiPriority w:val="0"/>
  </w:style>
  <w:style w:type="character" w:customStyle="1" w:styleId="18">
    <w:name w:val="页码 New New New"/>
    <w:basedOn w:val="13"/>
    <w:autoRedefine/>
    <w:qFormat/>
    <w:uiPriority w:val="0"/>
  </w:style>
  <w:style w:type="character" w:customStyle="1" w:styleId="19">
    <w:name w:val="批注框文本 Char"/>
    <w:link w:val="7"/>
    <w:autoRedefine/>
    <w:qFormat/>
    <w:uiPriority w:val="0"/>
    <w:rPr>
      <w:kern w:val="2"/>
      <w:sz w:val="18"/>
      <w:szCs w:val="18"/>
    </w:rPr>
  </w:style>
  <w:style w:type="character" w:customStyle="1" w:styleId="20">
    <w:name w:val="批注主题 Char"/>
    <w:link w:val="11"/>
    <w:autoRedefine/>
    <w:qFormat/>
    <w:uiPriority w:val="0"/>
    <w:rPr>
      <w:b/>
      <w:bCs/>
      <w:kern w:val="2"/>
      <w:sz w:val="21"/>
    </w:rPr>
  </w:style>
  <w:style w:type="character" w:customStyle="1" w:styleId="21">
    <w:name w:val="批注文字 Char"/>
    <w:link w:val="5"/>
    <w:autoRedefine/>
    <w:qFormat/>
    <w:uiPriority w:val="0"/>
    <w:rPr>
      <w:kern w:val="2"/>
      <w:sz w:val="21"/>
    </w:rPr>
  </w:style>
  <w:style w:type="character" w:customStyle="1" w:styleId="22">
    <w:name w:val="页码 New New New New"/>
    <w:basedOn w:val="13"/>
    <w:autoRedefine/>
    <w:qFormat/>
    <w:uiPriority w:val="0"/>
  </w:style>
  <w:style w:type="paragraph" w:customStyle="1" w:styleId="23">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7">
    <w:name w:val="页眉 New"/>
    <w:basedOn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8">
    <w:name w:val="页脚 New New New"/>
    <w:basedOn w:val="29"/>
    <w:autoRedefine/>
    <w:qFormat/>
    <w:uiPriority w:val="0"/>
    <w:pPr>
      <w:tabs>
        <w:tab w:val="center" w:pos="4153"/>
        <w:tab w:val="right" w:pos="8306"/>
      </w:tabs>
      <w:snapToGrid w:val="0"/>
      <w:jc w:val="left"/>
    </w:pPr>
    <w:rPr>
      <w:sz w:val="18"/>
    </w:rPr>
  </w:style>
  <w:style w:type="paragraph" w:customStyle="1" w:styleId="29">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0">
    <w:name w:val="页眉 New New"/>
    <w:basedOn w:val="2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1">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2">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页脚 New"/>
    <w:basedOn w:val="24"/>
    <w:autoRedefine/>
    <w:qFormat/>
    <w:uiPriority w:val="0"/>
    <w:pPr>
      <w:tabs>
        <w:tab w:val="center" w:pos="4153"/>
        <w:tab w:val="right" w:pos="8306"/>
      </w:tabs>
      <w:snapToGrid w:val="0"/>
      <w:jc w:val="left"/>
    </w:pPr>
    <w:rPr>
      <w:sz w:val="18"/>
      <w:szCs w:val="18"/>
    </w:rPr>
  </w:style>
  <w:style w:type="paragraph" w:customStyle="1" w:styleId="34">
    <w:name w:val="页脚1"/>
    <w:basedOn w:val="1"/>
    <w:autoRedefine/>
    <w:qFormat/>
    <w:uiPriority w:val="99"/>
    <w:pPr>
      <w:tabs>
        <w:tab w:val="center" w:pos="4153"/>
        <w:tab w:val="right" w:pos="8306"/>
      </w:tabs>
      <w:snapToGrid w:val="0"/>
      <w:jc w:val="right"/>
    </w:pPr>
    <w:rPr>
      <w:rFonts w:hint="eastAsia"/>
    </w:rPr>
  </w:style>
  <w:style w:type="paragraph" w:customStyle="1" w:styleId="35">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
    <w:name w:val="页脚 New New"/>
    <w:basedOn w:val="23"/>
    <w:autoRedefine/>
    <w:qFormat/>
    <w:uiPriority w:val="0"/>
    <w:pPr>
      <w:tabs>
        <w:tab w:val="center" w:pos="4153"/>
        <w:tab w:val="right" w:pos="8306"/>
      </w:tabs>
      <w:snapToGrid w:val="0"/>
      <w:jc w:val="left"/>
    </w:pPr>
    <w:rPr>
      <w:sz w:val="18"/>
    </w:rPr>
  </w:style>
  <w:style w:type="paragraph" w:customStyle="1" w:styleId="37">
    <w:name w:val="页脚 New New New New"/>
    <w:basedOn w:val="38"/>
    <w:autoRedefine/>
    <w:qFormat/>
    <w:uiPriority w:val="0"/>
    <w:pPr>
      <w:tabs>
        <w:tab w:val="center" w:pos="4153"/>
        <w:tab w:val="right" w:pos="8306"/>
      </w:tabs>
      <w:snapToGrid w:val="0"/>
      <w:jc w:val="left"/>
    </w:pPr>
    <w:rPr>
      <w:sz w:val="18"/>
      <w:szCs w:val="18"/>
    </w:rPr>
  </w:style>
  <w:style w:type="paragraph" w:customStyle="1" w:styleId="38">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39">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0">
    <w:name w:val="修订1"/>
    <w:autoRedefine/>
    <w:qFormat/>
    <w:uiPriority w:val="99"/>
    <w:rPr>
      <w:rFonts w:ascii="Calibri" w:hAnsi="Calibri" w:eastAsia="宋体" w:cs="Times New Roman"/>
      <w:kern w:val="2"/>
      <w:sz w:val="21"/>
      <w:lang w:val="en-US" w:eastAsia="zh-CN" w:bidi="ar-SA"/>
    </w:rPr>
  </w:style>
  <w:style w:type="paragraph" w:customStyle="1" w:styleId="41">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2">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8">
    <w:name w:val="标题 2 Char"/>
    <w:basedOn w:val="13"/>
    <w:link w:val="3"/>
    <w:autoRedefine/>
    <w:qFormat/>
    <w:uiPriority w:val="0"/>
    <w:rPr>
      <w:rFonts w:ascii="Arial" w:hAnsi="Arial" w:eastAsia="黑体" w:cs="宋体"/>
      <w:kern w:val="2"/>
      <w:sz w:val="32"/>
      <w:szCs w:val="22"/>
    </w:rPr>
  </w:style>
  <w:style w:type="character" w:customStyle="1" w:styleId="49">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DD3A-3DA8-48A5-A51B-AE06636DE46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329</Words>
  <Characters>1880</Characters>
  <Lines>15</Lines>
  <Paragraphs>4</Paragraphs>
  <TotalTime>51</TotalTime>
  <ScaleCrop>false</ScaleCrop>
  <LinksUpToDate>false</LinksUpToDate>
  <CharactersWithSpaces>2205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2024-06-30T08:07:00Z</dcterms:created>
  <dc:creator>Administrator</dc:creator>
  <cp:lastModifiedBy>郭辉</cp:lastModifiedBy>
  <cp:lastPrinted>2024-05-31T09:11:00Z</cp:lastPrinted>
  <dcterms:modified xsi:type="dcterms:W3CDTF">2024-07-01T08:20:34Z</dcterms:modified>
  <dc:title>投资者关系活动记录表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D8D047921B9A4B2ABBDB864DA255FF82_13</vt:lpwstr>
  </property>
</Properties>
</file>