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40"/>
          <w:szCs w:val="40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lang w:val="en-US" w:eastAsia="zh-CN"/>
        </w:rPr>
        <w:t>2</w:t>
      </w:r>
      <w:r>
        <w:rPr>
          <w:rFonts w:hint="default" w:ascii="仿宋_GB2312" w:eastAsia="仿宋_GB2312" w:cs="Times New Roman"/>
          <w:color w:val="000000"/>
          <w:spacing w:val="12"/>
          <w:sz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〕</w:t>
      </w:r>
      <w:r>
        <w:rPr>
          <w:rFonts w:hint="default" w:ascii="仿宋_GB2312" w:eastAsia="仿宋_GB2312" w:cs="Times New Roman"/>
          <w:color w:val="000000"/>
          <w:spacing w:val="12"/>
          <w:sz w:val="28"/>
          <w:lang w:val="en-US"/>
        </w:rPr>
        <w:t>75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DML7WS1gAAAAgBAAAPAAAAAAAAAAEAIAAAADgAAABkcnMvZG93bnJldi54bWxQ&#10;SwECFAAUAAAACACHTuJAIhmvX+MBAACqAwAADgAAAAAAAAABACAAAAA7AQAAZHJzL2Uyb0RvYy54&#10;bWxQSwUGAAAAAAYABgBZAQAAkA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widowControl/>
        <w:adjustRightInd w:val="0"/>
        <w:snapToGrid w:val="0"/>
        <w:spacing w:beforeLines="0" w:afterLines="0" w:line="240" w:lineRule="auto"/>
        <w:jc w:val="center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eastAsia="zh-CN"/>
        </w:rPr>
      </w:pPr>
      <w:bookmarkStart w:id="0" w:name="quanwen"/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</w:rPr>
        <w:t>对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eastAsia="zh-CN"/>
        </w:rPr>
        <w:t>广东超华科技股份</w:t>
      </w:r>
      <w:r>
        <w:rPr>
          <w:rFonts w:hint="eastAsia" w:ascii="方正小标宋简体" w:hAnsi="方正小标宋简体" w:eastAsia="方正小标宋简体" w:cs="Times New Roman"/>
          <w:color w:val="auto"/>
          <w:kern w:val="0"/>
          <w:sz w:val="44"/>
          <w:highlight w:val="none"/>
          <w:lang w:eastAsia="zh-CN" w:bidi="ar-SA"/>
        </w:rPr>
        <w:t>有限公司、梁健锋、梁宏、梁新贤、李敬华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</w:rPr>
        <w:t>采取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eastAsia="zh-CN"/>
        </w:rPr>
        <w:t>出具</w:t>
      </w:r>
    </w:p>
    <w:p>
      <w:pPr>
        <w:widowControl/>
        <w:adjustRightInd w:val="0"/>
        <w:snapToGrid w:val="0"/>
        <w:spacing w:beforeLines="0" w:afterLines="0" w:line="240" w:lineRule="auto"/>
        <w:jc w:val="center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eastAsia="zh-CN"/>
        </w:rPr>
        <w:t>警示函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</w:rPr>
        <w:t>措施的决定</w:t>
      </w:r>
    </w:p>
    <w:p>
      <w:pPr>
        <w:adjustRightInd w:val="0"/>
        <w:snapToGrid w:val="0"/>
        <w:spacing w:beforeLines="0" w:afterLines="0" w:line="240" w:lineRule="auto"/>
        <w:rPr>
          <w:rFonts w:hint="eastAsia" w:ascii="方正小标宋简体" w:hAnsi="方正小标宋简体" w:eastAsia="方正小标宋简体" w:cs="方正小标宋简体"/>
          <w:kern w:val="0"/>
          <w:sz w:val="32"/>
          <w:highlight w:val="none"/>
          <w:lang w:eastAsia="zh-CN"/>
        </w:rPr>
      </w:pPr>
    </w:p>
    <w:p>
      <w:pPr>
        <w:overflowPunct w:val="0"/>
        <w:adjustRightInd w:val="0"/>
        <w:snapToGrid w:val="0"/>
        <w:spacing w:beforeLines="0" w:afterLines="0" w:line="312" w:lineRule="auto"/>
        <w:rPr>
          <w:rFonts w:hint="eastAsia" w:ascii="仿宋_GB2312" w:hAnsi="仿宋_GB2312" w:eastAsia="仿宋_GB2312" w:cs="仿宋_GB2312"/>
          <w:kern w:val="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highlight w:val="none"/>
          <w:lang w:eastAsia="zh-CN"/>
        </w:rPr>
        <w:t>广东超华科技股份有限公司、梁健锋、梁宏、梁新贤、李敬华</w:t>
      </w:r>
      <w:r>
        <w:rPr>
          <w:rFonts w:hint="eastAsia" w:ascii="仿宋_GB2312" w:hAnsi="仿宋_GB2312" w:eastAsia="仿宋_GB2312" w:cs="仿宋_GB2312"/>
          <w:kern w:val="0"/>
          <w:sz w:val="32"/>
          <w:highlight w:val="none"/>
        </w:rPr>
        <w:t>：</w:t>
      </w:r>
    </w:p>
    <w:p>
      <w:pPr>
        <w:widowControl w:val="0"/>
        <w:numPr>
          <w:ilvl w:val="0"/>
          <w:numId w:val="0"/>
        </w:numPr>
        <w:wordWrap/>
        <w:overflowPunct w:val="0"/>
        <w:adjustRightInd w:val="0"/>
        <w:snapToGrid w:val="0"/>
        <w:spacing w:beforeLines="0" w:afterLines="0" w:line="312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pacing w:val="0"/>
          <w:sz w:val="32"/>
          <w:lang w:eastAsia="zh-CN"/>
        </w:rPr>
      </w:pPr>
      <w:r>
        <w:rPr>
          <w:rFonts w:hint="eastAsia" w:ascii="仿宋_GB2312" w:hAnsi="仿宋_GB2312" w:eastAsia="仿宋_GB2312" w:cs="Times New Roman"/>
          <w:spacing w:val="0"/>
          <w:sz w:val="32"/>
          <w:lang w:eastAsia="zh-CN"/>
        </w:rPr>
        <w:t>经查，广东超华科技股份有限公司（以下简称</w:t>
      </w:r>
      <w:r>
        <w:rPr>
          <w:rFonts w:hint="eastAsia" w:ascii="仿宋_GB2312" w:hAnsi="仿宋_GB2312" w:eastAsia="仿宋_GB2312" w:cs="Times New Roman"/>
          <w:spacing w:val="0"/>
          <w:sz w:val="32"/>
          <w:lang w:val="en-US" w:eastAsia="zh-CN"/>
        </w:rPr>
        <w:t>*ST</w:t>
      </w:r>
      <w:r>
        <w:rPr>
          <w:rFonts w:hint="eastAsia" w:ascii="仿宋_GB2312" w:hAnsi="仿宋_GB2312" w:eastAsia="仿宋_GB2312" w:cs="Times New Roman"/>
          <w:spacing w:val="0"/>
          <w:sz w:val="32"/>
          <w:lang w:eastAsia="zh-CN"/>
        </w:rPr>
        <w:t>超华或公司）存在以下违规问题：</w:t>
      </w:r>
    </w:p>
    <w:p>
      <w:pPr>
        <w:widowControl w:val="0"/>
        <w:numPr>
          <w:ilvl w:val="0"/>
          <w:numId w:val="0"/>
        </w:numPr>
        <w:wordWrap/>
        <w:overflowPunct w:val="0"/>
        <w:adjustRightInd w:val="0"/>
        <w:snapToGrid w:val="0"/>
        <w:spacing w:beforeLines="0" w:afterLines="0" w:line="312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22"/>
          <w:lang w:val="en-US" w:eastAsia="zh-CN" w:bidi="ar-SA"/>
        </w:rPr>
        <w:t>2024年1月31日，</w:t>
      </w:r>
      <w:r>
        <w:rPr>
          <w:rFonts w:hint="eastAsia" w:ascii="仿宋_GB2312" w:hAnsi="仿宋_GB2312" w:eastAsia="仿宋_GB2312" w:cs="Times New Roman"/>
          <w:spacing w:val="0"/>
          <w:sz w:val="32"/>
          <w:lang w:val="en-US" w:eastAsia="zh-CN"/>
        </w:rPr>
        <w:t>*ST</w:t>
      </w:r>
      <w:r>
        <w:rPr>
          <w:rFonts w:hint="eastAsia" w:ascii="仿宋_GB2312" w:hAnsi="仿宋_GB2312" w:eastAsia="仿宋_GB2312" w:cs="Times New Roman"/>
          <w:spacing w:val="0"/>
          <w:sz w:val="32"/>
          <w:lang w:eastAsia="zh-CN"/>
        </w:rPr>
        <w:t>超华</w:t>
      </w:r>
      <w:r>
        <w:rPr>
          <w:rFonts w:hint="eastAsia" w:ascii="仿宋_GB2312" w:hAnsi="仿宋_GB2312" w:eastAsia="仿宋_GB2312" w:cs="Times New Roman"/>
          <w:kern w:val="0"/>
          <w:sz w:val="32"/>
          <w:szCs w:val="22"/>
          <w:lang w:val="en-US" w:eastAsia="zh-CN" w:bidi="ar-SA"/>
        </w:rPr>
        <w:t>披露《2023年度业绩预告》，预计公司2023年归属于上市公司股东的净利润（以下简称净利润）为亏损2.5亿元至3亿元，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扣除非经常性损益后的净利润(以下简称</w:t>
      </w:r>
      <w:r>
        <w:rPr>
          <w:rFonts w:hint="default" w:ascii="仿宋_GB2312" w:eastAsia="仿宋_GB2312" w:cs="仿宋_GB2312"/>
          <w:color w:val="auto"/>
          <w:kern w:val="2"/>
          <w:sz w:val="32"/>
          <w:szCs w:val="32"/>
          <w:lang w:val="en" w:eastAsia="zh-CN" w:bidi="ar"/>
        </w:rPr>
        <w:t>扣非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净利润)为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亏损约2.40亿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元至2.90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亿元</w:t>
      </w:r>
      <w:r>
        <w:rPr>
          <w:rFonts w:hint="eastAsia" w:ascii="仿宋_GB2312" w:hAnsi="仿宋_GB2312" w:eastAsia="仿宋_GB2312" w:cs="Times New Roman"/>
          <w:kern w:val="0"/>
          <w:sz w:val="32"/>
          <w:szCs w:val="22"/>
          <w:highlight w:val="none"/>
          <w:lang w:val="en-US" w:eastAsia="zh-CN" w:bidi="ar-SA"/>
        </w:rPr>
        <w:t>。4月30日，公司发布2023年年度报告，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披露2023年度经审计净利润为</w:t>
      </w:r>
      <w:r>
        <w:rPr>
          <w:rFonts w:hint="eastAsia" w:ascii="仿宋_GB2312" w:hAnsi="仿宋_GB2312" w:eastAsia="仿宋_GB2312" w:cs="Times New Roman"/>
          <w:kern w:val="0"/>
          <w:sz w:val="32"/>
          <w:szCs w:val="22"/>
          <w:highlight w:val="none"/>
          <w:lang w:val="en-US" w:eastAsia="zh-CN" w:bidi="ar-SA"/>
        </w:rPr>
        <w:t>亏损约5.38亿元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仿宋_GB2312" w:eastAsia="仿宋_GB2312" w:cs="仿宋_GB2312"/>
          <w:color w:val="auto"/>
          <w:kern w:val="2"/>
          <w:sz w:val="32"/>
          <w:szCs w:val="32"/>
          <w:highlight w:val="none"/>
          <w:lang w:val="en" w:eastAsia="zh-CN" w:bidi="ar"/>
        </w:rPr>
        <w:t>扣非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净利润为亏损约4.24亿元</w:t>
      </w:r>
      <w:r>
        <w:rPr>
          <w:rFonts w:hint="eastAsia" w:ascii="仿宋_GB2312" w:hAnsi="仿宋_GB2312" w:eastAsia="仿宋_GB2312" w:cs="Times New Roman"/>
          <w:kern w:val="0"/>
          <w:sz w:val="32"/>
          <w:szCs w:val="22"/>
          <w:lang w:val="en-US" w:eastAsia="zh-CN" w:bidi="ar-SA"/>
        </w:rPr>
        <w:t>。公司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业绩预告与年度报告中披露的相关数据相比差异较大，</w:t>
      </w:r>
      <w:r>
        <w:rPr>
          <w:rFonts w:hint="eastAsia" w:ascii="仿宋_GB2312" w:hAnsi="仿宋_GB2312" w:eastAsia="仿宋_GB2312" w:cs="Times New Roman"/>
          <w:kern w:val="0"/>
          <w:sz w:val="32"/>
          <w:szCs w:val="22"/>
          <w:lang w:val="en-US" w:eastAsia="zh-CN" w:bidi="ar-SA"/>
        </w:rPr>
        <w:t>且未及时进行修正，上述行为违反了《上市公司信息披露管理办法》（证监会令第182号，下同）第三条第一款的规定。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312" w:lineRule="auto"/>
        <w:rPr>
          <w:rFonts w:hint="default" w:ascii="仿宋_GB2312" w:hAnsi="仿宋_GB2312" w:eastAsia="仿宋_GB2312" w:cs="仿宋_GB2312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Times New Roman"/>
          <w:spacing w:val="0"/>
          <w:sz w:val="32"/>
          <w:lang w:val="en-US" w:eastAsia="zh-CN"/>
        </w:rPr>
        <w:t>*ST</w:t>
      </w:r>
      <w:r>
        <w:rPr>
          <w:rFonts w:hint="eastAsia" w:ascii="仿宋_GB2312" w:hAnsi="仿宋_GB2312" w:eastAsia="仿宋_GB2312" w:cs="Times New Roman"/>
          <w:spacing w:val="0"/>
          <w:sz w:val="32"/>
          <w:lang w:eastAsia="zh-CN"/>
        </w:rPr>
        <w:t>超华</w:t>
      </w:r>
      <w:r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/>
        </w:rPr>
        <w:t>董事长梁健锋、总裁</w:t>
      </w:r>
      <w:r>
        <w:rPr>
          <w:rFonts w:hint="eastAsia" w:ascii="仿宋_GB2312" w:hAnsi="仿宋_GB2312" w:eastAsia="仿宋_GB2312" w:cs="仿宋_GB2312"/>
          <w:kern w:val="0"/>
          <w:sz w:val="32"/>
          <w:highlight w:val="none"/>
          <w:lang w:eastAsia="zh-CN"/>
        </w:rPr>
        <w:t>梁宏</w:t>
      </w:r>
      <w:r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/>
        </w:rPr>
        <w:t>、财务总监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梁新贤、董事会秘书李敬华</w:t>
      </w:r>
      <w:r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/>
        </w:rPr>
        <w:t>未能按照《上市公司信息披露管理办法》第四条的规定履行勤勉尽责义务，对公司上述违规行为负有主要责任。</w:t>
      </w:r>
    </w:p>
    <w:p>
      <w:pPr>
        <w:widowControl w:val="0"/>
        <w:wordWrap/>
        <w:overflowPunct w:val="0"/>
        <w:adjustRightInd w:val="0"/>
        <w:snapToGrid w:val="0"/>
        <w:spacing w:before="0" w:beforeLines="0" w:after="0" w:afterLines="0" w:line="312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pacing w:val="0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1"/>
          <w:highlight w:val="none"/>
          <w:lang w:val="en-US" w:eastAsia="zh-CN" w:bidi="ar-SA"/>
        </w:rPr>
        <w:t>《上市公司信息披露管理办法》</w:t>
      </w:r>
      <w:r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val="en-US" w:eastAsia="zh-CN"/>
        </w:rPr>
        <w:t>第五十二条的规定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，我局决定对</w:t>
      </w:r>
      <w:r>
        <w:rPr>
          <w:rFonts w:hint="eastAsia" w:ascii="仿宋_GB2312" w:hAnsi="仿宋_GB2312" w:eastAsia="仿宋_GB2312" w:cs="Times New Roman"/>
          <w:spacing w:val="0"/>
          <w:sz w:val="32"/>
          <w:lang w:val="en-US" w:eastAsia="zh-CN"/>
        </w:rPr>
        <w:t>*ST</w:t>
      </w:r>
      <w:r>
        <w:rPr>
          <w:rFonts w:hint="eastAsia" w:ascii="仿宋_GB2312" w:hAnsi="仿宋_GB2312" w:eastAsia="仿宋_GB2312" w:cs="Times New Roman"/>
          <w:spacing w:val="0"/>
          <w:sz w:val="32"/>
          <w:lang w:eastAsia="zh-CN"/>
        </w:rPr>
        <w:t>超华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highlight w:val="none"/>
          <w:lang w:eastAsia="zh-CN"/>
        </w:rPr>
        <w:t>梁健锋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highlight w:val="none"/>
          <w:lang w:eastAsia="zh-CN"/>
        </w:rPr>
        <w:t>梁宏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、梁新贤、李敬华采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取出具警示函的行政监管措施，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highlight w:val="none"/>
          <w:lang w:eastAsia="zh-CN"/>
        </w:rPr>
        <w:t>你们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highlight w:val="none"/>
        </w:rPr>
        <w:t>应认真吸取教训，切实加强对证券法律法规的学习，</w:t>
      </w:r>
      <w:r>
        <w:rPr>
          <w:rFonts w:hint="eastAsia" w:ascii="仿宋_GB2312" w:hAnsi="Times New Roman" w:eastAsia="仿宋_GB2312" w:cs="Times New Roman"/>
          <w:color w:val="000000"/>
          <w:spacing w:val="0"/>
          <w:kern w:val="0"/>
          <w:sz w:val="32"/>
        </w:rPr>
        <w:t>依法真实、准确、完整、及时</w:t>
      </w:r>
      <w:r>
        <w:rPr>
          <w:rFonts w:hint="eastAsia" w:ascii="仿宋_GB2312" w:hAnsi="Times New Roman" w:eastAsia="仿宋_GB2312" w:cs="Times New Roman"/>
          <w:color w:val="000000"/>
          <w:spacing w:val="0"/>
          <w:kern w:val="0"/>
          <w:sz w:val="32"/>
          <w:lang w:eastAsia="zh-CN"/>
        </w:rPr>
        <w:t>、公平</w:t>
      </w:r>
      <w:r>
        <w:rPr>
          <w:rFonts w:hint="eastAsia" w:ascii="仿宋_GB2312" w:hAnsi="Times New Roman" w:eastAsia="仿宋_GB2312" w:cs="Times New Roman"/>
          <w:color w:val="000000"/>
          <w:spacing w:val="0"/>
          <w:kern w:val="0"/>
          <w:sz w:val="32"/>
        </w:rPr>
        <w:t>地履行信息披露义务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highlight w:val="none"/>
          <w:lang w:eastAsia="zh-CN"/>
        </w:rPr>
        <w:t>，于收到本决定书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highlight w:val="none"/>
          <w:lang w:val="en-US" w:eastAsia="zh-CN"/>
        </w:rPr>
        <w:t>30日内向我局报送整改报告，并抄报深圳证券交易所。</w:t>
      </w:r>
    </w:p>
    <w:p>
      <w:pPr>
        <w:overflowPunct w:val="0"/>
        <w:adjustRightInd w:val="0"/>
        <w:snapToGrid w:val="0"/>
        <w:spacing w:beforeLines="0" w:afterLines="0" w:line="312" w:lineRule="auto"/>
        <w:ind w:firstLine="0" w:firstLineChars="0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如果对本监督管理措施不服，可以在收到本决定书之日起60日内向中国证券监督管理委员会提出行政复议申请；也可以在收到本决定书之日起6个月内向有管辖权的人民法院提起诉讼。复议与诉讼期间，上述监督管理措施不停止执行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广东证监局</w:t>
      </w:r>
    </w:p>
    <w:p>
      <w:pPr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adjustRightInd w:val="0"/>
        <w:snapToGrid w:val="0"/>
        <w:spacing w:beforeLines="0" w:afterLines="0" w:line="360" w:lineRule="auto"/>
        <w:jc w:val="center"/>
        <w:outlineLvl w:val="9"/>
        <w:rPr>
          <w:rFonts w:hint="eastAsia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28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24"/>
          <w:szCs w:val="24"/>
        </w:rPr>
      </w:pPr>
    </w:p>
    <w:p>
      <w:pPr>
        <w:pBdr>
          <w:top w:val="single" w:color="auto" w:sz="8" w:space="6"/>
        </w:pBdr>
        <w:adjustRightInd w:val="0"/>
        <w:snapToGrid w:val="0"/>
        <w:spacing w:after="109" w:afterLines="35"/>
        <w:ind w:firstLine="296" w:firstLineChars="100"/>
        <w:rPr>
          <w:rFonts w:hint="eastAsia" w:ascii="仿宋_GB2312" w:eastAsia="仿宋_GB2312"/>
          <w:spacing w:val="0"/>
          <w:sz w:val="28"/>
          <w:lang w:val="en-US" w:eastAsia="zh-CN"/>
        </w:rPr>
      </w:pPr>
      <w:r>
        <w:rPr>
          <w:rFonts w:hint="eastAsia" w:ascii="仿宋_GB2312" w:eastAsia="仿宋_GB2312"/>
          <w:spacing w:val="8"/>
          <w:sz w:val="28"/>
        </w:rPr>
        <w:t>抄送：</w:t>
      </w:r>
      <w:r>
        <w:rPr>
          <w:rFonts w:hint="eastAsia" w:ascii="仿宋_GB2312" w:eastAsia="仿宋_GB2312"/>
          <w:spacing w:val="6"/>
          <w:sz w:val="28"/>
        </w:rPr>
        <w:t>证监会上市司、法治司；深圳证券交易所</w:t>
      </w:r>
      <w:r>
        <w:rPr>
          <w:rFonts w:hint="eastAsia" w:ascii="仿宋_GB2312" w:eastAsia="仿宋_GB2312"/>
          <w:spacing w:val="0"/>
          <w:sz w:val="28"/>
          <w:lang w:val="en-US" w:eastAsia="zh-CN"/>
        </w:rPr>
        <w:t>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/>
        <w:ind w:firstLine="318"/>
        <w:jc w:val="left"/>
        <w:rPr>
          <w:rFonts w:ascii="仿宋_GB2312" w:eastAsia="仿宋_GB2312"/>
          <w:spacing w:val="8"/>
          <w:sz w:val="28"/>
        </w:rPr>
      </w:pPr>
      <w:r>
        <w:rPr>
          <w:rFonts w:hint="eastAsia" w:ascii="仿宋_GB2312" w:eastAsia="仿宋_GB2312"/>
          <w:spacing w:val="8"/>
          <w:sz w:val="28"/>
        </w:rPr>
        <w:t xml:space="preserve">广东证监局办公室             </w:t>
      </w:r>
      <w:r>
        <w:rPr>
          <w:rFonts w:hint="default" w:ascii="仿宋_GB2312" w:eastAsia="仿宋_GB2312"/>
          <w:spacing w:val="8"/>
          <w:sz w:val="28"/>
          <w:lang w:val="en-US"/>
        </w:rPr>
        <w:t xml:space="preserve"> </w:t>
      </w:r>
      <w:r>
        <w:rPr>
          <w:rFonts w:hint="eastAsia" w:ascii="仿宋_GB2312" w:eastAsia="仿宋_GB2312"/>
          <w:spacing w:val="8"/>
          <w:sz w:val="28"/>
        </w:rPr>
        <w:t xml:space="preserve">     202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4</w:t>
      </w:r>
      <w:r>
        <w:rPr>
          <w:rFonts w:hint="eastAsia" w:ascii="仿宋_GB2312" w:eastAsia="仿宋_GB2312"/>
          <w:spacing w:val="8"/>
          <w:sz w:val="28"/>
        </w:rPr>
        <w:t>年</w:t>
      </w:r>
      <w:r>
        <w:rPr>
          <w:rFonts w:hint="default" w:ascii="仿宋_GB2312" w:eastAsia="仿宋_GB2312"/>
          <w:spacing w:val="8"/>
          <w:sz w:val="28"/>
          <w:lang w:val="en-US" w:eastAsia="zh-CN"/>
        </w:rPr>
        <w:t>6</w:t>
      </w:r>
      <w:r>
        <w:rPr>
          <w:rFonts w:hint="eastAsia" w:ascii="仿宋_GB2312" w:eastAsia="仿宋_GB2312"/>
          <w:spacing w:val="8"/>
          <w:sz w:val="28"/>
        </w:rPr>
        <w:t>月</w:t>
      </w:r>
      <w:r>
        <w:rPr>
          <w:rFonts w:hint="default" w:ascii="仿宋_GB2312" w:eastAsia="仿宋_GB2312"/>
          <w:spacing w:val="8"/>
          <w:sz w:val="28"/>
          <w:lang w:val="en-US" w:eastAsia="zh-CN"/>
        </w:rPr>
        <w:t>28</w:t>
      </w:r>
      <w:r>
        <w:rPr>
          <w:rFonts w:hint="eastAsia" w:ascii="仿宋_GB2312" w:eastAsia="仿宋_GB2312"/>
          <w:spacing w:val="8"/>
          <w:sz w:val="28"/>
        </w:rPr>
        <w:t>日印发</w:t>
      </w:r>
    </w:p>
    <w:p>
      <w:pPr>
        <w:widowControl w:val="0"/>
        <w:pBdr>
          <w:top w:val="single" w:color="auto" w:sz="8" w:space="7"/>
        </w:pBdr>
        <w:overflowPunct w:val="0"/>
        <w:adjustRightInd w:val="0"/>
        <w:snapToGrid w:val="0"/>
        <w:spacing w:beforeLines="0" w:afterLines="0"/>
        <w:jc w:val="left"/>
        <w:rPr>
          <w:rFonts w:ascii="仿宋_GB2312" w:eastAsia="仿宋_GB2312"/>
          <w:spacing w:val="8"/>
          <w:sz w:val="2"/>
          <w:szCs w:val="2"/>
        </w:rPr>
      </w:pPr>
    </w:p>
    <w:bookmarkEnd w:id="0"/>
    <w:p>
      <w:pPr>
        <w:snapToGrid w:val="0"/>
        <w:spacing w:beforeLines="0" w:afterLines="0"/>
        <w:rPr>
          <w:sz w:val="2"/>
          <w:szCs w:val="2"/>
        </w:rPr>
      </w:pPr>
    </w:p>
    <w:sectPr>
      <w:headerReference r:id="rId3" w:type="default"/>
      <w:footerReference r:id="rId4" w:type="default"/>
      <w:pgSz w:w="11906" w:h="16838"/>
      <w:pgMar w:top="2097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true"/>
  <w:bordersDoNotSurroundFooter w:val="true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FA2BD"/>
    <w:rsid w:val="3F7F8D80"/>
    <w:rsid w:val="3FDF59D6"/>
    <w:rsid w:val="576CCAFB"/>
    <w:rsid w:val="5D7FA2BD"/>
    <w:rsid w:val="7FFFDCEC"/>
    <w:rsid w:val="B77D883B"/>
    <w:rsid w:val="BF4EB31F"/>
    <w:rsid w:val="BFF55B3A"/>
    <w:rsid w:val="C3FDD33F"/>
    <w:rsid w:val="D7DA9535"/>
    <w:rsid w:val="D7FEF63F"/>
    <w:rsid w:val="DFFD3C0D"/>
    <w:rsid w:val="EFFEAEAB"/>
    <w:rsid w:val="F40F5629"/>
    <w:rsid w:val="F765E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2024-06-14T19:25:00Z</dcterms:created>
  <dc:creator>刘毅：承办人修改</dc:creator>
  <cp:lastModifiedBy>刘毅</cp:lastModifiedBy>
  <dcterms:modified xsi:type="dcterms:W3CDTF">2024-07-03T10:49:47Z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BF8FDD1D4104AEEC190E69668D40D537</vt:lpwstr>
  </property>
</Properties>
</file>