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ascii="宋体" w:hAnsi="宋体"/>
          <w:bCs/>
          <w:iCs/>
          <w:color w:val="000000"/>
          <w:sz w:val="24"/>
        </w:rPr>
      </w:pPr>
    </w:p>
    <w:p w14:paraId="531D70F7">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编号：2024</w:t>
      </w:r>
      <w:r>
        <w:rPr>
          <w:rFonts w:ascii="宋体" w:hAnsi="宋体"/>
          <w:bCs/>
          <w:iCs/>
          <w:color w:val="000000"/>
          <w:sz w:val="24"/>
          <w:lang w:eastAsia="zh-Hans"/>
        </w:rPr>
        <w:t>-00</w:t>
      </w:r>
      <w:r>
        <w:rPr>
          <w:rFonts w:hint="eastAsia" w:ascii="宋体" w:hAnsi="宋体"/>
          <w:bCs/>
          <w:iCs/>
          <w:color w:val="000000"/>
          <w:sz w:val="24"/>
          <w:lang w:val="en-US" w:eastAsia="zh-CN"/>
        </w:rPr>
        <w:t>4</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373"/>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92E63ED">
            <w:pPr>
              <w:spacing w:line="480" w:lineRule="atLeast"/>
              <w:jc w:val="center"/>
              <w:rPr>
                <w:rFonts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ascii="宋体" w:hAnsi="宋体"/>
                <w:b/>
                <w:bCs/>
                <w:iCs/>
                <w:color w:val="000000"/>
                <w:kern w:val="0"/>
                <w:sz w:val="24"/>
              </w:rPr>
            </w:pPr>
            <w:r>
              <w:rPr>
                <w:rFonts w:hint="eastAsia" w:ascii="宋体" w:hAnsi="宋体"/>
                <w:b/>
                <w:bCs/>
                <w:iCs/>
                <w:color w:val="000000"/>
                <w:kern w:val="0"/>
                <w:sz w:val="24"/>
              </w:rPr>
              <w:t>活动类别</w:t>
            </w:r>
          </w:p>
        </w:tc>
        <w:tc>
          <w:tcPr>
            <w:tcW w:w="7373" w:type="dxa"/>
          </w:tcPr>
          <w:p w14:paraId="681B6C31">
            <w:pPr>
              <w:adjustRightInd w:val="0"/>
              <w:snapToGrid w:val="0"/>
              <w:rPr>
                <w:rFonts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228DE7E">
            <w:pPr>
              <w:spacing w:line="480" w:lineRule="atLeast"/>
              <w:jc w:val="center"/>
              <w:rPr>
                <w:rFonts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ascii="宋体" w:hAnsi="宋体"/>
                <w:b/>
                <w:bCs/>
                <w:iCs/>
                <w:color w:val="000000"/>
                <w:kern w:val="0"/>
                <w:sz w:val="24"/>
              </w:rPr>
            </w:pPr>
            <w:r>
              <w:rPr>
                <w:rFonts w:hint="eastAsia" w:ascii="宋体" w:hAnsi="宋体"/>
                <w:b/>
                <w:bCs/>
                <w:iCs/>
                <w:color w:val="000000"/>
                <w:kern w:val="0"/>
                <w:sz w:val="24"/>
              </w:rPr>
              <w:t>名称及人员姓名</w:t>
            </w:r>
          </w:p>
        </w:tc>
        <w:tc>
          <w:tcPr>
            <w:tcW w:w="7373" w:type="dxa"/>
            <w:vAlign w:val="center"/>
          </w:tcPr>
          <w:p w14:paraId="1A7D84FF">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浙商证券：徐渊</w:t>
            </w:r>
          </w:p>
          <w:p w14:paraId="6311E0AF">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东方马拉松投资：卜乐</w:t>
            </w:r>
          </w:p>
          <w:p w14:paraId="7C9D3CB0">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大牛踏燕资管：王战勇</w:t>
            </w:r>
          </w:p>
          <w:p w14:paraId="4505A9E4">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申万宏源：张璇、汪俊龙</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173B8F3">
            <w:pPr>
              <w:spacing w:line="480" w:lineRule="atLeast"/>
              <w:jc w:val="center"/>
              <w:rPr>
                <w:rFonts w:ascii="宋体" w:hAnsi="宋体"/>
                <w:b/>
                <w:bCs/>
                <w:iCs/>
                <w:color w:val="000000"/>
                <w:kern w:val="0"/>
                <w:sz w:val="24"/>
              </w:rPr>
            </w:pPr>
            <w:r>
              <w:rPr>
                <w:rFonts w:hint="eastAsia" w:ascii="宋体" w:hAnsi="宋体"/>
                <w:b/>
                <w:bCs/>
                <w:iCs/>
                <w:color w:val="000000"/>
                <w:kern w:val="0"/>
                <w:sz w:val="24"/>
              </w:rPr>
              <w:t>时  间</w:t>
            </w:r>
          </w:p>
        </w:tc>
        <w:tc>
          <w:tcPr>
            <w:tcW w:w="7373" w:type="dxa"/>
          </w:tcPr>
          <w:p w14:paraId="7DD74143">
            <w:pPr>
              <w:spacing w:line="480" w:lineRule="atLeast"/>
              <w:rPr>
                <w:rFonts w:ascii="宋体" w:hAnsi="宋体"/>
                <w:bCs/>
                <w:iCs/>
                <w:color w:val="000000"/>
                <w:kern w:val="0"/>
                <w:sz w:val="24"/>
              </w:rPr>
            </w:pPr>
            <w:r>
              <w:rPr>
                <w:rFonts w:hint="eastAsia" w:ascii="宋体" w:hAnsi="宋体"/>
                <w:bCs/>
                <w:iCs/>
                <w:color w:val="000000"/>
                <w:kern w:val="0"/>
                <w:sz w:val="24"/>
              </w:rPr>
              <w:t>2024年</w:t>
            </w:r>
            <w:r>
              <w:rPr>
                <w:rFonts w:hint="eastAsia" w:ascii="宋体" w:hAnsi="宋体"/>
                <w:bCs/>
                <w:iCs/>
                <w:color w:val="000000"/>
                <w:kern w:val="0"/>
                <w:sz w:val="24"/>
                <w:lang w:val="en-US" w:eastAsia="zh-CN"/>
              </w:rPr>
              <w:t>7</w:t>
            </w:r>
            <w:r>
              <w:rPr>
                <w:rFonts w:hint="eastAsia" w:ascii="宋体" w:hAnsi="宋体"/>
                <w:bCs/>
                <w:iCs/>
                <w:color w:val="000000"/>
                <w:kern w:val="0"/>
                <w:sz w:val="24"/>
              </w:rPr>
              <w:t>月</w:t>
            </w:r>
            <w:r>
              <w:rPr>
                <w:rFonts w:hint="eastAsia" w:ascii="宋体" w:hAnsi="宋体"/>
                <w:bCs/>
                <w:iCs/>
                <w:color w:val="000000"/>
                <w:kern w:val="0"/>
                <w:sz w:val="24"/>
                <w:lang w:val="en-US" w:eastAsia="zh-CN"/>
              </w:rPr>
              <w:t>4</w:t>
            </w:r>
            <w:r>
              <w:rPr>
                <w:rFonts w:hint="eastAsia" w:ascii="宋体" w:hAnsi="宋体"/>
                <w:bCs/>
                <w:iCs/>
                <w:color w:val="000000"/>
                <w:kern w:val="0"/>
                <w:sz w:val="24"/>
              </w:rPr>
              <w:t>日（1</w:t>
            </w:r>
            <w:r>
              <w:rPr>
                <w:rFonts w:hint="eastAsia" w:ascii="宋体" w:hAnsi="宋体"/>
                <w:bCs/>
                <w:iCs/>
                <w:color w:val="000000"/>
                <w:kern w:val="0"/>
                <w:sz w:val="24"/>
                <w:lang w:val="en-US" w:eastAsia="zh-CN"/>
              </w:rPr>
              <w:t>5</w:t>
            </w:r>
            <w:r>
              <w:rPr>
                <w:rFonts w:hint="eastAsia" w:ascii="宋体" w:hAnsi="宋体"/>
                <w:bCs/>
                <w:iCs/>
                <w:color w:val="000000"/>
                <w:kern w:val="0"/>
                <w:sz w:val="24"/>
              </w:rPr>
              <w:t>：</w:t>
            </w:r>
            <w:r>
              <w:rPr>
                <w:rFonts w:hint="eastAsia" w:ascii="宋体" w:hAnsi="宋体"/>
                <w:bCs/>
                <w:iCs/>
                <w:color w:val="000000"/>
                <w:kern w:val="0"/>
                <w:sz w:val="24"/>
                <w:lang w:val="en-US" w:eastAsia="zh-CN"/>
              </w:rPr>
              <w:t>0</w:t>
            </w:r>
            <w:r>
              <w:rPr>
                <w:rFonts w:hint="eastAsia" w:ascii="宋体" w:hAnsi="宋体"/>
                <w:bCs/>
                <w:iCs/>
                <w:color w:val="000000"/>
                <w:kern w:val="0"/>
                <w:sz w:val="24"/>
              </w:rPr>
              <w:t>0-1</w:t>
            </w:r>
            <w:r>
              <w:rPr>
                <w:rFonts w:hint="eastAsia" w:ascii="宋体" w:hAnsi="宋体"/>
                <w:bCs/>
                <w:iCs/>
                <w:color w:val="000000"/>
                <w:kern w:val="0"/>
                <w:sz w:val="24"/>
                <w:lang w:val="en-US" w:eastAsia="zh-CN"/>
              </w:rPr>
              <w:t>7</w:t>
            </w:r>
            <w:r>
              <w:rPr>
                <w:rFonts w:hint="eastAsia" w:ascii="宋体" w:hAnsi="宋体"/>
                <w:bCs/>
                <w:iCs/>
                <w:color w:val="000000"/>
                <w:kern w:val="0"/>
                <w:sz w:val="24"/>
              </w:rPr>
              <w:t>：1</w:t>
            </w:r>
            <w:r>
              <w:rPr>
                <w:rFonts w:hint="eastAsia" w:ascii="宋体" w:hAnsi="宋体"/>
                <w:bCs/>
                <w:iCs/>
                <w:color w:val="000000"/>
                <w:kern w:val="0"/>
                <w:sz w:val="24"/>
                <w:lang w:val="en-US" w:eastAsia="zh-CN"/>
              </w:rPr>
              <w:t>5</w:t>
            </w:r>
            <w:r>
              <w:rPr>
                <w:rFonts w:hint="eastAsia" w:ascii="宋体" w:hAnsi="宋体"/>
                <w:bCs/>
                <w:iCs/>
                <w:color w:val="000000"/>
                <w:kern w:val="0"/>
                <w:sz w:val="24"/>
              </w:rPr>
              <w:t>）</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7C65814">
            <w:pPr>
              <w:spacing w:line="480" w:lineRule="atLeast"/>
              <w:jc w:val="center"/>
              <w:rPr>
                <w:rFonts w:ascii="宋体" w:hAnsi="宋体"/>
                <w:b/>
                <w:bCs/>
                <w:iCs/>
                <w:color w:val="000000"/>
                <w:kern w:val="0"/>
                <w:sz w:val="24"/>
              </w:rPr>
            </w:pPr>
            <w:r>
              <w:rPr>
                <w:rFonts w:hint="eastAsia" w:ascii="宋体" w:hAnsi="宋体"/>
                <w:b/>
                <w:bCs/>
                <w:iCs/>
                <w:color w:val="000000"/>
                <w:kern w:val="0"/>
                <w:sz w:val="24"/>
              </w:rPr>
              <w:t>地  点</w:t>
            </w:r>
          </w:p>
        </w:tc>
        <w:tc>
          <w:tcPr>
            <w:tcW w:w="7373" w:type="dxa"/>
          </w:tcPr>
          <w:p w14:paraId="2AD855F6">
            <w:pPr>
              <w:spacing w:line="480" w:lineRule="atLeast"/>
              <w:rPr>
                <w:rFonts w:hint="eastAsia" w:ascii="宋体" w:hAnsi="宋体" w:eastAsia="宋体"/>
                <w:bCs/>
                <w:iCs/>
                <w:color w:val="000000"/>
                <w:kern w:val="0"/>
                <w:sz w:val="24"/>
                <w:lang w:eastAsia="zh-CN"/>
              </w:rPr>
            </w:pPr>
            <w:r>
              <w:rPr>
                <w:rFonts w:hint="eastAsia" w:ascii="宋体" w:hAnsi="宋体"/>
                <w:bCs/>
                <w:iCs/>
                <w:color w:val="000000"/>
                <w:kern w:val="0"/>
                <w:sz w:val="24"/>
              </w:rPr>
              <w:t>总装调试厂房</w:t>
            </w:r>
            <w:r>
              <w:rPr>
                <w:rFonts w:hint="eastAsia" w:ascii="宋体" w:hAnsi="宋体"/>
                <w:bCs/>
                <w:iCs/>
                <w:color w:val="000000"/>
                <w:kern w:val="0"/>
                <w:sz w:val="24"/>
                <w:lang w:eastAsia="zh-CN"/>
              </w:rPr>
              <w:t>、</w:t>
            </w:r>
            <w:r>
              <w:rPr>
                <w:rFonts w:hint="eastAsia" w:ascii="宋体" w:hAnsi="宋体"/>
                <w:bCs/>
                <w:iCs/>
                <w:color w:val="000000"/>
                <w:kern w:val="0"/>
                <w:sz w:val="24"/>
              </w:rPr>
              <w:t>公司展厅、第六</w:t>
            </w:r>
            <w:r>
              <w:rPr>
                <w:rFonts w:hint="eastAsia" w:ascii="宋体" w:hAnsi="宋体"/>
                <w:bCs/>
                <w:iCs/>
                <w:color w:val="000000"/>
                <w:kern w:val="0"/>
                <w:sz w:val="24"/>
                <w:lang w:eastAsia="zh-Hans"/>
              </w:rPr>
              <w:t>会议室</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3265B6E">
            <w:pPr>
              <w:spacing w:line="276" w:lineRule="auto"/>
              <w:jc w:val="center"/>
              <w:rPr>
                <w:rFonts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ascii="宋体" w:hAnsi="宋体"/>
                <w:b/>
                <w:bCs/>
                <w:iCs/>
                <w:color w:val="000000"/>
                <w:kern w:val="0"/>
                <w:sz w:val="24"/>
              </w:rPr>
            </w:pPr>
            <w:r>
              <w:rPr>
                <w:rFonts w:hint="eastAsia" w:ascii="宋体" w:hAnsi="宋体"/>
                <w:b/>
                <w:bCs/>
                <w:iCs/>
                <w:color w:val="000000"/>
                <w:kern w:val="0"/>
                <w:sz w:val="24"/>
              </w:rPr>
              <w:t>接待人员姓名</w:t>
            </w:r>
          </w:p>
        </w:tc>
        <w:tc>
          <w:tcPr>
            <w:tcW w:w="7373" w:type="dxa"/>
            <w:vAlign w:val="center"/>
          </w:tcPr>
          <w:p w14:paraId="5BFCE9D5">
            <w:pPr>
              <w:spacing w:line="480" w:lineRule="atLeast"/>
              <w:rPr>
                <w:rFonts w:ascii="宋体" w:hAnsi="宋体"/>
                <w:bCs/>
                <w:iCs/>
                <w:color w:val="000000"/>
                <w:kern w:val="0"/>
                <w:sz w:val="24"/>
              </w:rPr>
            </w:pPr>
            <w:r>
              <w:rPr>
                <w:rFonts w:hint="eastAsia" w:ascii="宋体" w:hAnsi="宋体"/>
                <w:bCs/>
                <w:iCs/>
                <w:color w:val="000000"/>
                <w:kern w:val="0"/>
                <w:sz w:val="24"/>
              </w:rPr>
              <w:t>证券事务代表</w:t>
            </w:r>
            <w:r>
              <w:rPr>
                <w:rFonts w:hint="eastAsia" w:ascii="宋体" w:hAnsi="宋体"/>
                <w:bCs/>
                <w:iCs/>
                <w:color w:val="000000"/>
                <w:kern w:val="0"/>
                <w:sz w:val="24"/>
                <w:lang w:eastAsia="zh-CN"/>
              </w:rPr>
              <w:t>、</w:t>
            </w:r>
            <w:r>
              <w:rPr>
                <w:rFonts w:hint="eastAsia" w:ascii="宋体" w:hAnsi="宋体"/>
                <w:bCs/>
                <w:iCs/>
                <w:color w:val="000000"/>
                <w:kern w:val="0"/>
                <w:sz w:val="24"/>
              </w:rPr>
              <w:t>证券投资部副主任：梁建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8" w:type="dxa"/>
            <w:vAlign w:val="center"/>
          </w:tcPr>
          <w:p w14:paraId="12FABC7C">
            <w:pPr>
              <w:spacing w:line="480" w:lineRule="atLeast"/>
              <w:jc w:val="center"/>
              <w:rPr>
                <w:rFonts w:ascii="宋体" w:hAnsi="宋体"/>
                <w:b/>
                <w:bCs/>
                <w:iCs/>
                <w:color w:val="000000"/>
                <w:kern w:val="0"/>
                <w:sz w:val="24"/>
              </w:rPr>
            </w:pPr>
            <w:r>
              <w:rPr>
                <w:rFonts w:hint="eastAsia" w:ascii="宋体" w:hAnsi="宋体"/>
                <w:b/>
                <w:bCs/>
                <w:iCs/>
                <w:color w:val="000000"/>
                <w:kern w:val="0"/>
                <w:sz w:val="24"/>
              </w:rPr>
              <w:t>投资者关系活动主要内容介绍</w:t>
            </w:r>
          </w:p>
        </w:tc>
        <w:tc>
          <w:tcPr>
            <w:tcW w:w="7373" w:type="dxa"/>
          </w:tcPr>
          <w:p w14:paraId="05EE9B5B">
            <w:pPr>
              <w:spacing w:line="276" w:lineRule="auto"/>
              <w:ind w:firstLine="484" w:firstLineChars="201"/>
              <w:rPr>
                <w:rFonts w:ascii="宋体" w:hAnsi="宋体"/>
                <w:b/>
                <w:bCs/>
                <w:sz w:val="24"/>
              </w:rPr>
            </w:pPr>
            <w:r>
              <w:rPr>
                <w:rFonts w:hint="eastAsia" w:ascii="宋体" w:hAnsi="宋体"/>
                <w:b/>
                <w:bCs/>
                <w:sz w:val="24"/>
              </w:rPr>
              <w:t>投资者关系活动主要包括：</w:t>
            </w:r>
          </w:p>
          <w:p w14:paraId="57AECD5E">
            <w:pPr>
              <w:spacing w:line="276" w:lineRule="auto"/>
              <w:ind w:firstLine="484" w:firstLineChars="201"/>
              <w:rPr>
                <w:rFonts w:ascii="宋体" w:hAnsi="宋体"/>
                <w:b/>
                <w:bCs/>
                <w:sz w:val="24"/>
              </w:rPr>
            </w:pPr>
            <w:r>
              <w:rPr>
                <w:rFonts w:hint="eastAsia" w:ascii="宋体" w:hAnsi="宋体"/>
                <w:b/>
                <w:bCs/>
                <w:sz w:val="24"/>
              </w:rPr>
              <w:t>（1）参观总装调试厂房，就相关展品开展介绍</w:t>
            </w:r>
          </w:p>
          <w:p w14:paraId="1C9EF2B0">
            <w:pPr>
              <w:spacing w:line="276" w:lineRule="auto"/>
              <w:ind w:firstLine="484" w:firstLineChars="201"/>
              <w:rPr>
                <w:rFonts w:ascii="宋体" w:hAnsi="宋体"/>
                <w:b/>
                <w:bCs/>
                <w:sz w:val="24"/>
              </w:rPr>
            </w:pPr>
            <w:r>
              <w:rPr>
                <w:rFonts w:hint="eastAsia" w:ascii="宋体" w:hAnsi="宋体"/>
                <w:b/>
                <w:bCs/>
                <w:sz w:val="24"/>
              </w:rPr>
              <w:t>（2）参观公司展厅，观看38所和公司宣传片</w:t>
            </w:r>
          </w:p>
          <w:p w14:paraId="73FB27FC">
            <w:pPr>
              <w:spacing w:line="276" w:lineRule="auto"/>
              <w:ind w:firstLine="484" w:firstLineChars="201"/>
              <w:rPr>
                <w:rFonts w:ascii="宋体" w:hAnsi="宋体"/>
                <w:b/>
                <w:bCs/>
                <w:sz w:val="24"/>
              </w:rPr>
            </w:pPr>
            <w:r>
              <w:rPr>
                <w:rFonts w:hint="eastAsia" w:ascii="宋体" w:hAnsi="宋体"/>
                <w:b/>
                <w:bCs/>
                <w:sz w:val="24"/>
              </w:rPr>
              <w:t>（3）公司接待人员与来访投资者在会议室进行互动交流。</w:t>
            </w:r>
          </w:p>
          <w:p w14:paraId="0600598B">
            <w:pPr>
              <w:spacing w:line="276" w:lineRule="auto"/>
              <w:ind w:firstLine="484" w:firstLineChars="201"/>
              <w:rPr>
                <w:rFonts w:ascii="宋体" w:hAnsi="宋体"/>
                <w:b/>
                <w:bCs/>
                <w:sz w:val="24"/>
              </w:rPr>
            </w:pPr>
            <w:r>
              <w:rPr>
                <w:rFonts w:hint="eastAsia" w:ascii="宋体" w:hAnsi="宋体"/>
                <w:b/>
                <w:bCs/>
                <w:sz w:val="24"/>
                <w:lang w:val="en-US" w:eastAsia="zh-CN"/>
              </w:rPr>
              <w:t>一</w:t>
            </w:r>
            <w:r>
              <w:rPr>
                <w:rFonts w:hint="eastAsia" w:ascii="宋体" w:hAnsi="宋体"/>
                <w:b/>
                <w:bCs/>
                <w:sz w:val="24"/>
              </w:rPr>
              <w:t>、互动问答</w:t>
            </w:r>
          </w:p>
          <w:p w14:paraId="1626DE92">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1、请问上市公司有没有资本化运作的进一步动作？</w:t>
            </w:r>
          </w:p>
          <w:p w14:paraId="07671556">
            <w:pPr>
              <w:widowControl/>
              <w:ind w:firstLine="420" w:firstLineChars="200"/>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公司</w:t>
            </w:r>
            <w:r>
              <w:rPr>
                <w:rFonts w:hint="eastAsia" w:ascii="楷体" w:hAnsi="楷体" w:eastAsia="楷体" w:cs="宋体"/>
                <w:b w:val="0"/>
                <w:bCs w:val="0"/>
                <w:kern w:val="0"/>
                <w:szCs w:val="21"/>
              </w:rPr>
              <w:t>有</w:t>
            </w:r>
            <w:r>
              <w:rPr>
                <w:rFonts w:hint="eastAsia" w:ascii="楷体" w:hAnsi="楷体" w:eastAsia="楷体" w:cs="宋体"/>
                <w:b w:val="0"/>
                <w:bCs w:val="0"/>
                <w:kern w:val="0"/>
                <w:szCs w:val="21"/>
                <w:lang w:val="en-US" w:eastAsia="zh-CN"/>
              </w:rPr>
              <w:t>制定资本运作规划，也有不同年度的投资</w:t>
            </w:r>
            <w:r>
              <w:rPr>
                <w:rFonts w:hint="eastAsia" w:ascii="楷体" w:hAnsi="楷体" w:eastAsia="楷体" w:cs="宋体"/>
                <w:b w:val="0"/>
                <w:bCs w:val="0"/>
                <w:kern w:val="0"/>
                <w:szCs w:val="21"/>
              </w:rPr>
              <w:t>计划，</w:t>
            </w:r>
            <w:r>
              <w:rPr>
                <w:rFonts w:hint="eastAsia" w:ascii="楷体" w:hAnsi="楷体" w:eastAsia="楷体" w:cs="宋体"/>
                <w:b w:val="0"/>
                <w:bCs w:val="0"/>
                <w:kern w:val="0"/>
                <w:szCs w:val="21"/>
                <w:lang w:val="en-US" w:eastAsia="zh-CN"/>
              </w:rPr>
              <w:t>前面开展了相关的专题研究，比如</w:t>
            </w:r>
            <w:r>
              <w:rPr>
                <w:rFonts w:hint="eastAsia" w:ascii="楷体" w:hAnsi="楷体" w:eastAsia="楷体" w:cs="宋体"/>
                <w:b w:val="0"/>
                <w:bCs w:val="0"/>
                <w:kern w:val="0"/>
                <w:szCs w:val="21"/>
              </w:rPr>
              <w:t>资产证券化</w:t>
            </w:r>
            <w:r>
              <w:rPr>
                <w:rFonts w:hint="eastAsia" w:ascii="楷体" w:hAnsi="楷体" w:eastAsia="楷体" w:cs="宋体"/>
                <w:b w:val="0"/>
                <w:bCs w:val="0"/>
                <w:kern w:val="0"/>
                <w:szCs w:val="21"/>
                <w:lang w:val="en-US" w:eastAsia="zh-CN"/>
              </w:rPr>
              <w:t>的方式、业务协同的探讨等</w:t>
            </w:r>
            <w:r>
              <w:rPr>
                <w:rFonts w:hint="eastAsia" w:ascii="楷体" w:hAnsi="楷体" w:eastAsia="楷体" w:cs="宋体"/>
                <w:b w:val="0"/>
                <w:bCs w:val="0"/>
                <w:kern w:val="0"/>
                <w:szCs w:val="21"/>
              </w:rPr>
              <w:t>，</w:t>
            </w:r>
            <w:r>
              <w:rPr>
                <w:rFonts w:hint="eastAsia" w:ascii="楷体" w:hAnsi="楷体" w:eastAsia="楷体" w:cs="宋体"/>
                <w:b w:val="0"/>
                <w:bCs w:val="0"/>
                <w:kern w:val="0"/>
                <w:szCs w:val="21"/>
                <w:lang w:val="en-US" w:eastAsia="zh-CN"/>
              </w:rPr>
              <w:t>会结合公司的业务规划情况、市场环境变化积极</w:t>
            </w:r>
            <w:r>
              <w:rPr>
                <w:rFonts w:hint="eastAsia" w:ascii="楷体" w:hAnsi="楷体" w:eastAsia="楷体" w:cs="宋体"/>
                <w:b w:val="0"/>
                <w:bCs w:val="0"/>
                <w:kern w:val="0"/>
                <w:szCs w:val="21"/>
              </w:rPr>
              <w:t>推进。</w:t>
            </w:r>
          </w:p>
          <w:p w14:paraId="766F3B1B">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2、</w:t>
            </w:r>
            <w:r>
              <w:rPr>
                <w:rFonts w:hint="eastAsia" w:ascii="楷体" w:hAnsi="楷体" w:eastAsia="楷体" w:cs="宋体"/>
                <w:b/>
                <w:bCs/>
                <w:kern w:val="0"/>
                <w:szCs w:val="21"/>
              </w:rPr>
              <w:t>去年年报业绩下滑较大，请问</w:t>
            </w:r>
            <w:r>
              <w:rPr>
                <w:rFonts w:hint="eastAsia" w:ascii="楷体" w:hAnsi="楷体" w:eastAsia="楷体" w:cs="宋体"/>
                <w:b/>
                <w:bCs/>
                <w:kern w:val="0"/>
                <w:szCs w:val="21"/>
                <w:lang w:val="en-US" w:eastAsia="zh-CN"/>
              </w:rPr>
              <w:t>主要</w:t>
            </w:r>
            <w:r>
              <w:rPr>
                <w:rFonts w:hint="eastAsia" w:ascii="楷体" w:hAnsi="楷体" w:eastAsia="楷体" w:cs="宋体"/>
                <w:b/>
                <w:bCs/>
                <w:kern w:val="0"/>
                <w:szCs w:val="21"/>
              </w:rPr>
              <w:t>原因？</w:t>
            </w:r>
          </w:p>
          <w:p w14:paraId="2EC720F8">
            <w:pPr>
              <w:widowControl/>
              <w:ind w:firstLine="420" w:firstLineChars="200"/>
              <w:jc w:val="left"/>
              <w:rPr>
                <w:rFonts w:hint="eastAsia" w:ascii="楷体" w:hAnsi="楷体" w:eastAsia="楷体" w:cs="宋体"/>
                <w:b w:val="0"/>
                <w:bCs w:val="0"/>
                <w:kern w:val="0"/>
                <w:szCs w:val="21"/>
                <w:lang w:val="en-US" w:eastAsia="zh-CN"/>
              </w:rPr>
            </w:pPr>
            <w:r>
              <w:rPr>
                <w:rFonts w:hint="eastAsia" w:ascii="楷体" w:hAnsi="楷体" w:eastAsia="楷体" w:cs="宋体"/>
                <w:b w:val="0"/>
                <w:bCs w:val="0"/>
                <w:kern w:val="0"/>
                <w:szCs w:val="21"/>
                <w:lang w:val="en-US" w:eastAsia="zh-CN"/>
              </w:rPr>
              <w:t>去年的年报业绩披露了，并且在业绩预告里，对业绩下滑的原因有非常详细的阐述，既有主业的三方面影响，也有计提减值的影响。但是在感知产品中，也积极争取了新的型号产品，感知基础中，积极开拓了一些外部客户。</w:t>
            </w:r>
          </w:p>
          <w:p w14:paraId="115EBA06">
            <w:pPr>
              <w:snapToGrid w:val="0"/>
              <w:ind w:firstLine="422" w:firstLineChars="200"/>
              <w:rPr>
                <w:rFonts w:ascii="Calibri" w:hAnsi="Calibri" w:eastAsia="楷体_GB2312" w:cs="Calibri"/>
                <w:b/>
                <w:bCs/>
                <w:szCs w:val="21"/>
              </w:rPr>
            </w:pPr>
            <w:r>
              <w:rPr>
                <w:rFonts w:hint="eastAsia" w:ascii="楷体" w:hAnsi="楷体" w:eastAsia="楷体" w:cs="宋体"/>
                <w:b/>
                <w:bCs/>
                <w:kern w:val="0"/>
                <w:szCs w:val="21"/>
                <w:lang w:val="en-US" w:eastAsia="zh-CN"/>
              </w:rPr>
              <w:t>3</w:t>
            </w:r>
            <w:r>
              <w:rPr>
                <w:rFonts w:ascii="Calibri" w:hAnsi="Calibri" w:eastAsia="楷体_GB2312" w:cs="Calibri"/>
                <w:b/>
                <w:bCs/>
                <w:szCs w:val="21"/>
              </w:rPr>
              <w:t>、</w:t>
            </w:r>
            <w:r>
              <w:rPr>
                <w:rFonts w:hint="eastAsia" w:ascii="Calibri" w:hAnsi="Calibri" w:eastAsia="楷体_GB2312" w:cs="Calibri"/>
                <w:b/>
                <w:bCs/>
                <w:szCs w:val="21"/>
              </w:rPr>
              <w:t>在低空经济</w:t>
            </w:r>
            <w:r>
              <w:rPr>
                <w:rFonts w:hint="eastAsia" w:ascii="Calibri" w:hAnsi="Calibri" w:eastAsia="楷体_GB2312" w:cs="Calibri"/>
                <w:b/>
                <w:bCs/>
                <w:szCs w:val="21"/>
                <w:lang w:val="en-US" w:eastAsia="zh-CN"/>
              </w:rPr>
              <w:t>领域，</w:t>
            </w:r>
            <w:r>
              <w:rPr>
                <w:rFonts w:hint="eastAsia" w:ascii="Calibri" w:hAnsi="Calibri" w:eastAsia="楷体_GB2312" w:cs="Calibri"/>
                <w:b/>
                <w:bCs/>
                <w:szCs w:val="21"/>
              </w:rPr>
              <w:t>公司承担的角色是什么？</w:t>
            </w:r>
          </w:p>
          <w:p w14:paraId="70DA242E">
            <w:pPr>
              <w:widowControl/>
              <w:ind w:firstLine="420" w:firstLineChars="200"/>
              <w:jc w:val="left"/>
              <w:rPr>
                <w:rFonts w:hint="eastAsia" w:ascii="楷体" w:hAnsi="楷体" w:eastAsia="楷体" w:cs="宋体"/>
                <w:b/>
                <w:bCs/>
                <w:kern w:val="0"/>
                <w:szCs w:val="21"/>
              </w:rPr>
            </w:pPr>
            <w:r>
              <w:rPr>
                <w:rFonts w:hint="eastAsia" w:ascii="Calibri" w:hAnsi="Calibri" w:eastAsia="楷体_GB2312" w:cs="Calibri"/>
                <w:bCs/>
                <w:szCs w:val="21"/>
              </w:rPr>
              <w:t>从公司规划角度来说，我们主要思路，或者说期望通过体系带系统、系统带装备、装备带应用，未来能够重点承担核心设备（通信、导航、监视、环境感知等）+应用的两端任务。目前，在应用端，公司基于前期平安城市、智慧城市、雪亮工程的基础，重点在开展T</w:t>
            </w:r>
            <w:r>
              <w:rPr>
                <w:rFonts w:ascii="Calibri" w:hAnsi="Calibri" w:eastAsia="楷体_GB2312" w:cs="Calibri"/>
                <w:bCs/>
                <w:szCs w:val="21"/>
              </w:rPr>
              <w:t>O G</w:t>
            </w:r>
            <w:r>
              <w:rPr>
                <w:rFonts w:hint="eastAsia" w:ascii="Calibri" w:hAnsi="Calibri" w:eastAsia="楷体_GB2312" w:cs="Calibri"/>
                <w:bCs/>
                <w:szCs w:val="21"/>
              </w:rPr>
              <w:t>业务以及低空飞行器上的软件系统（如A</w:t>
            </w:r>
            <w:r>
              <w:rPr>
                <w:rFonts w:ascii="Calibri" w:hAnsi="Calibri" w:eastAsia="楷体_GB2312" w:cs="Calibri"/>
                <w:bCs/>
                <w:szCs w:val="21"/>
              </w:rPr>
              <w:t>DS-B</w:t>
            </w:r>
            <w:r>
              <w:rPr>
                <w:rFonts w:hint="eastAsia" w:ascii="Calibri" w:hAnsi="Calibri" w:eastAsia="楷体_GB2312" w:cs="Calibri"/>
                <w:bCs/>
                <w:szCs w:val="21"/>
              </w:rPr>
              <w:t>的应答机），用于身份识别和定位。而在核心设备上，公司在监视和环境感知产品上有着核心优势，在应急通信领域，国内第一个互联互通系统标准是公司参与制定的，公司还是安徽省唯一的北斗导航重点实验室。</w:t>
            </w:r>
          </w:p>
          <w:p w14:paraId="68658CE7">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4、</w:t>
            </w:r>
            <w:r>
              <w:rPr>
                <w:rFonts w:hint="eastAsia" w:ascii="楷体" w:hAnsi="楷体" w:eastAsia="楷体" w:cs="宋体"/>
                <w:b/>
                <w:bCs/>
                <w:kern w:val="0"/>
                <w:szCs w:val="21"/>
              </w:rPr>
              <w:t>请问公司气象雷达、空管雷达、监视雷达、电源、特种车辆改装、PC</w:t>
            </w:r>
            <w:r>
              <w:rPr>
                <w:rFonts w:hint="eastAsia" w:ascii="楷体" w:hAnsi="楷体" w:eastAsia="楷体" w:cs="宋体"/>
                <w:b/>
                <w:bCs/>
                <w:kern w:val="0"/>
                <w:szCs w:val="21"/>
                <w:lang w:val="en-US" w:eastAsia="zh-CN"/>
              </w:rPr>
              <w:t>B</w:t>
            </w:r>
            <w:r>
              <w:rPr>
                <w:rFonts w:hint="eastAsia" w:ascii="楷体" w:hAnsi="楷体" w:eastAsia="楷体" w:cs="宋体"/>
                <w:b/>
                <w:bCs/>
                <w:kern w:val="0"/>
                <w:szCs w:val="21"/>
              </w:rPr>
              <w:t>微波组件，安防，还有信息化，营收比例情况？</w:t>
            </w:r>
          </w:p>
          <w:p w14:paraId="19E642FA">
            <w:pPr>
              <w:widowControl/>
              <w:ind w:firstLine="420" w:firstLineChars="200"/>
              <w:jc w:val="left"/>
              <w:rPr>
                <w:rFonts w:hint="eastAsia" w:ascii="楷体" w:hAnsi="楷体" w:eastAsia="楷体" w:cs="宋体"/>
                <w:b w:val="0"/>
                <w:bCs w:val="0"/>
                <w:kern w:val="0"/>
                <w:szCs w:val="21"/>
                <w:lang w:eastAsia="zh-CN"/>
              </w:rPr>
            </w:pPr>
            <w:r>
              <w:rPr>
                <w:rFonts w:hint="eastAsia" w:ascii="楷体" w:hAnsi="楷体" w:eastAsia="楷体" w:cs="宋体"/>
                <w:b w:val="0"/>
                <w:bCs w:val="0"/>
                <w:kern w:val="0"/>
                <w:szCs w:val="21"/>
              </w:rPr>
              <w:t>公司</w:t>
            </w:r>
            <w:r>
              <w:rPr>
                <w:rFonts w:hint="eastAsia" w:ascii="楷体" w:hAnsi="楷体" w:eastAsia="楷体" w:cs="宋体"/>
                <w:b w:val="0"/>
                <w:bCs w:val="0"/>
                <w:kern w:val="0"/>
                <w:szCs w:val="21"/>
                <w:lang w:val="en-US" w:eastAsia="zh-CN"/>
              </w:rPr>
              <w:t>在年报中，根据战略规划的主业，披露了“</w:t>
            </w:r>
            <w:r>
              <w:rPr>
                <w:rFonts w:hint="eastAsia" w:ascii="楷体" w:hAnsi="楷体" w:eastAsia="楷体" w:cs="宋体"/>
                <w:b w:val="0"/>
                <w:bCs w:val="0"/>
                <w:kern w:val="0"/>
                <w:szCs w:val="21"/>
              </w:rPr>
              <w:t>一核两翼</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产业的营收规模、营业成本等主要财务指标。“</w:t>
            </w:r>
            <w:r>
              <w:rPr>
                <w:rFonts w:hint="eastAsia" w:ascii="楷体" w:hAnsi="楷体" w:eastAsia="楷体" w:cs="宋体"/>
                <w:b w:val="0"/>
                <w:bCs w:val="0"/>
                <w:kern w:val="0"/>
                <w:szCs w:val="21"/>
              </w:rPr>
              <w:t>一核</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rPr>
              <w:t>是感知产品，去年</w:t>
            </w:r>
            <w:r>
              <w:rPr>
                <w:rFonts w:hint="eastAsia" w:ascii="楷体" w:hAnsi="楷体" w:eastAsia="楷体" w:cs="宋体"/>
                <w:b w:val="0"/>
                <w:bCs w:val="0"/>
                <w:kern w:val="0"/>
                <w:szCs w:val="21"/>
                <w:lang w:val="en-US" w:eastAsia="zh-CN"/>
              </w:rPr>
              <w:t>营收大约</w:t>
            </w:r>
            <w:r>
              <w:rPr>
                <w:rFonts w:hint="eastAsia" w:ascii="楷体" w:hAnsi="楷体" w:eastAsia="楷体" w:cs="宋体"/>
                <w:b w:val="0"/>
                <w:bCs w:val="0"/>
                <w:kern w:val="0"/>
                <w:szCs w:val="21"/>
              </w:rPr>
              <w:t>6亿，其中气象</w:t>
            </w:r>
            <w:r>
              <w:rPr>
                <w:rFonts w:hint="eastAsia" w:ascii="楷体" w:hAnsi="楷体" w:eastAsia="楷体" w:cs="宋体"/>
                <w:b w:val="0"/>
                <w:bCs w:val="0"/>
                <w:kern w:val="0"/>
                <w:szCs w:val="21"/>
                <w:lang w:val="en-US" w:eastAsia="zh-CN"/>
              </w:rPr>
              <w:t>2.85</w:t>
            </w:r>
            <w:r>
              <w:rPr>
                <w:rFonts w:hint="eastAsia" w:ascii="楷体" w:hAnsi="楷体" w:eastAsia="楷体" w:cs="宋体"/>
                <w:b w:val="0"/>
                <w:bCs w:val="0"/>
                <w:kern w:val="0"/>
                <w:szCs w:val="21"/>
              </w:rPr>
              <w:t>亿，空管雷达2.</w:t>
            </w:r>
            <w:r>
              <w:rPr>
                <w:rFonts w:hint="eastAsia" w:ascii="楷体" w:hAnsi="楷体" w:eastAsia="楷体" w:cs="宋体"/>
                <w:b w:val="0"/>
                <w:bCs w:val="0"/>
                <w:kern w:val="0"/>
                <w:szCs w:val="21"/>
                <w:lang w:val="en-US" w:eastAsia="zh-CN"/>
              </w:rPr>
              <w:t>3</w:t>
            </w:r>
            <w:r>
              <w:rPr>
                <w:rFonts w:hint="eastAsia" w:ascii="楷体" w:hAnsi="楷体" w:eastAsia="楷体" w:cs="宋体"/>
                <w:b w:val="0"/>
                <w:bCs w:val="0"/>
                <w:kern w:val="0"/>
                <w:szCs w:val="21"/>
              </w:rPr>
              <w:t>亿，剩下的是低空警戒雷达</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监视雷达</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其中“一翼”为</w:t>
            </w:r>
            <w:r>
              <w:rPr>
                <w:rFonts w:hint="eastAsia" w:ascii="楷体" w:hAnsi="楷体" w:eastAsia="楷体" w:cs="宋体"/>
                <w:b w:val="0"/>
                <w:bCs w:val="0"/>
                <w:kern w:val="0"/>
                <w:szCs w:val="21"/>
              </w:rPr>
              <w:t>感知基础</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rPr>
              <w:t>去年营收</w:t>
            </w:r>
            <w:r>
              <w:rPr>
                <w:rFonts w:hint="eastAsia" w:ascii="楷体" w:hAnsi="楷体" w:eastAsia="楷体" w:cs="宋体"/>
                <w:b w:val="0"/>
                <w:bCs w:val="0"/>
                <w:kern w:val="0"/>
                <w:szCs w:val="21"/>
                <w:lang w:val="en-US" w:eastAsia="zh-CN"/>
              </w:rPr>
              <w:t>大约</w:t>
            </w:r>
            <w:r>
              <w:rPr>
                <w:rFonts w:hint="eastAsia" w:ascii="楷体" w:hAnsi="楷体" w:eastAsia="楷体" w:cs="宋体"/>
                <w:b w:val="0"/>
                <w:bCs w:val="0"/>
                <w:kern w:val="0"/>
                <w:szCs w:val="21"/>
              </w:rPr>
              <w:t>6亿，PCB</w:t>
            </w:r>
            <w:r>
              <w:rPr>
                <w:rFonts w:hint="eastAsia" w:ascii="楷体" w:hAnsi="楷体" w:eastAsia="楷体" w:cs="宋体"/>
                <w:b w:val="0"/>
                <w:bCs w:val="0"/>
                <w:kern w:val="0"/>
                <w:szCs w:val="21"/>
                <w:lang w:val="en-US" w:eastAsia="zh-CN"/>
              </w:rPr>
              <w:t>大</w:t>
            </w:r>
            <w:r>
              <w:rPr>
                <w:rFonts w:hint="eastAsia" w:ascii="楷体" w:hAnsi="楷体" w:eastAsia="楷体" w:cs="宋体"/>
                <w:b w:val="0"/>
                <w:bCs w:val="0"/>
                <w:kern w:val="0"/>
                <w:szCs w:val="21"/>
              </w:rPr>
              <w:t>约1.5亿，电源3.5亿，其它为微波组件、特种车辆改装等</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剩下“一翼”为感知应用，营收规模约6.8亿，主要包括安防、人防信息化、军队信息化及粮食信息化等。</w:t>
            </w:r>
          </w:p>
          <w:p w14:paraId="56D6971C">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5、</w:t>
            </w:r>
            <w:r>
              <w:rPr>
                <w:rFonts w:hint="eastAsia" w:ascii="楷体" w:hAnsi="楷体" w:eastAsia="楷体" w:cs="宋体"/>
                <w:b/>
                <w:bCs/>
                <w:kern w:val="0"/>
                <w:szCs w:val="21"/>
              </w:rPr>
              <w:t>反无人机雷达价值量？</w:t>
            </w:r>
          </w:p>
          <w:p w14:paraId="48ACE77C">
            <w:pPr>
              <w:widowControl/>
              <w:ind w:firstLine="420" w:firstLineChars="200"/>
              <w:jc w:val="left"/>
              <w:rPr>
                <w:rFonts w:hint="eastAsia" w:ascii="楷体" w:hAnsi="楷体" w:eastAsia="楷体" w:cs="宋体"/>
                <w:b/>
                <w:bCs/>
                <w:kern w:val="0"/>
                <w:szCs w:val="21"/>
                <w:lang w:val="en-US" w:eastAsia="zh-CN"/>
              </w:rPr>
            </w:pPr>
            <w:r>
              <w:rPr>
                <w:rFonts w:hint="eastAsia" w:ascii="楷体" w:hAnsi="楷体" w:eastAsia="楷体" w:cs="宋体"/>
                <w:b w:val="0"/>
                <w:bCs w:val="0"/>
                <w:kern w:val="0"/>
                <w:szCs w:val="21"/>
                <w:lang w:val="en-US" w:eastAsia="zh-CN"/>
              </w:rPr>
              <w:t>根据用户具体防御区域不同，价值量从百万到千万级不等，防御得手段可能包括反无雷达、频谱侦测、光电融合通信、察打一体等等。</w:t>
            </w:r>
          </w:p>
          <w:p w14:paraId="739D2BEC">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6、</w:t>
            </w:r>
            <w:r>
              <w:rPr>
                <w:rFonts w:hint="eastAsia" w:ascii="楷体" w:hAnsi="楷体" w:eastAsia="楷体" w:cs="宋体"/>
                <w:b/>
                <w:bCs/>
                <w:kern w:val="0"/>
                <w:szCs w:val="21"/>
              </w:rPr>
              <w:t>请介绍低空要地防护？</w:t>
            </w:r>
          </w:p>
          <w:p w14:paraId="72292182">
            <w:pPr>
              <w:widowControl/>
              <w:ind w:firstLine="420" w:firstLineChars="200"/>
              <w:jc w:val="left"/>
              <w:rPr>
                <w:rFonts w:hint="default" w:ascii="楷体" w:hAnsi="楷体" w:eastAsia="楷体" w:cs="宋体"/>
                <w:b w:val="0"/>
                <w:bCs w:val="0"/>
                <w:kern w:val="0"/>
                <w:szCs w:val="21"/>
                <w:lang w:val="en-US"/>
              </w:rPr>
            </w:pPr>
            <w:r>
              <w:rPr>
                <w:rFonts w:hint="eastAsia" w:ascii="楷体" w:hAnsi="楷体" w:eastAsia="楷体" w:cs="宋体"/>
                <w:b w:val="0"/>
                <w:bCs w:val="0"/>
                <w:kern w:val="0"/>
                <w:szCs w:val="21"/>
              </w:rPr>
              <w:t>低空经济的发展必须以安全为底线。</w:t>
            </w:r>
            <w:r>
              <w:rPr>
                <w:rFonts w:hint="eastAsia" w:ascii="楷体" w:hAnsi="楷体" w:eastAsia="楷体" w:cs="宋体"/>
                <w:b w:val="0"/>
                <w:bCs w:val="0"/>
                <w:kern w:val="0"/>
                <w:szCs w:val="21"/>
                <w:lang w:val="en-US" w:eastAsia="zh-CN"/>
              </w:rPr>
              <w:t>除了</w:t>
            </w:r>
            <w:r>
              <w:rPr>
                <w:rFonts w:hint="eastAsia" w:ascii="楷体" w:hAnsi="楷体" w:eastAsia="楷体" w:cs="宋体"/>
                <w:b w:val="0"/>
                <w:bCs w:val="0"/>
                <w:kern w:val="0"/>
                <w:szCs w:val="21"/>
              </w:rPr>
              <w:t>需加强低空空域安全管理、航空器适航管理和运营管理等安全保障措施，</w:t>
            </w:r>
            <w:r>
              <w:rPr>
                <w:rFonts w:hint="eastAsia" w:ascii="楷体" w:hAnsi="楷体" w:eastAsia="楷体" w:cs="宋体"/>
                <w:b w:val="0"/>
                <w:bCs w:val="0"/>
                <w:kern w:val="0"/>
                <w:szCs w:val="21"/>
                <w:lang w:val="en-US" w:eastAsia="zh-CN"/>
              </w:rPr>
              <w:t>更要</w:t>
            </w:r>
            <w:r>
              <w:rPr>
                <w:rFonts w:hint="eastAsia" w:ascii="楷体" w:hAnsi="楷体" w:eastAsia="楷体" w:cs="宋体"/>
                <w:b w:val="0"/>
                <w:bCs w:val="0"/>
                <w:kern w:val="0"/>
                <w:szCs w:val="21"/>
              </w:rPr>
              <w:t>全面提升重要安全防护区</w:t>
            </w:r>
            <w:r>
              <w:rPr>
                <w:rFonts w:hint="eastAsia" w:ascii="楷体" w:hAnsi="楷体" w:eastAsia="楷体" w:cs="宋体"/>
                <w:b w:val="0"/>
                <w:bCs w:val="0"/>
                <w:kern w:val="0"/>
                <w:szCs w:val="21"/>
                <w:lang w:val="en-US" w:eastAsia="zh-CN"/>
              </w:rPr>
              <w:t>的</w:t>
            </w:r>
            <w:r>
              <w:rPr>
                <w:rFonts w:hint="eastAsia" w:ascii="楷体" w:hAnsi="楷体" w:eastAsia="楷体" w:cs="宋体"/>
                <w:b w:val="0"/>
                <w:bCs w:val="0"/>
                <w:kern w:val="0"/>
                <w:szCs w:val="21"/>
              </w:rPr>
              <w:t>防御保护和预警响应能力。</w:t>
            </w:r>
            <w:r>
              <w:rPr>
                <w:rFonts w:hint="eastAsia" w:ascii="楷体" w:hAnsi="楷体" w:eastAsia="楷体" w:cs="宋体"/>
                <w:b w:val="0"/>
                <w:bCs w:val="0"/>
                <w:kern w:val="0"/>
                <w:szCs w:val="21"/>
                <w:lang w:val="en-US" w:eastAsia="zh-CN"/>
              </w:rPr>
              <w:t>随着低空的逐步开放，对</w:t>
            </w:r>
            <w:r>
              <w:rPr>
                <w:rFonts w:hint="eastAsia" w:ascii="楷体" w:hAnsi="楷体" w:eastAsia="楷体" w:cs="宋体"/>
                <w:b w:val="0"/>
                <w:bCs w:val="0"/>
                <w:kern w:val="0"/>
                <w:szCs w:val="21"/>
              </w:rPr>
              <w:t>政府机关、军事禁区</w:t>
            </w:r>
            <w:r>
              <w:rPr>
                <w:rFonts w:hint="eastAsia" w:ascii="楷体" w:hAnsi="楷体" w:eastAsia="楷体" w:cs="宋体"/>
                <w:b w:val="0"/>
                <w:bCs w:val="0"/>
                <w:kern w:val="0"/>
                <w:szCs w:val="21"/>
                <w:lang w:val="en-US" w:eastAsia="zh-CN"/>
              </w:rPr>
              <w:t>这类</w:t>
            </w:r>
            <w:r>
              <w:rPr>
                <w:rFonts w:hint="eastAsia" w:ascii="楷体" w:hAnsi="楷体" w:eastAsia="楷体" w:cs="宋体"/>
                <w:b w:val="0"/>
                <w:bCs w:val="0"/>
                <w:kern w:val="0"/>
                <w:szCs w:val="21"/>
              </w:rPr>
              <w:t>管制区</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以及对安全要求比较高的，像我们这样的保密单位园区、学校、重要基础设施、监狱等都要去做防护。根据不同区域的需求，通过部署雷达、无线电侦测、光电侦测等多源探测系统以及干扰、诱骗、拦截、打击等反制系统，构建地基、车载、球载、机载空地一体化无人机防御系统，为非合作目标的监管提供支撑手段。同时，除了要低，对与像水域（江河、湖泊、近海等）的监管，我们也有相应的产品和系统。</w:t>
            </w:r>
          </w:p>
          <w:p w14:paraId="3C1A330A">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7、</w:t>
            </w:r>
            <w:r>
              <w:rPr>
                <w:rFonts w:hint="eastAsia" w:ascii="楷体" w:hAnsi="楷体" w:eastAsia="楷体" w:cs="宋体"/>
                <w:b/>
                <w:bCs/>
                <w:kern w:val="0"/>
                <w:szCs w:val="21"/>
              </w:rPr>
              <w:t>38所</w:t>
            </w:r>
            <w:r>
              <w:rPr>
                <w:rFonts w:hint="eastAsia" w:ascii="楷体" w:hAnsi="楷体" w:eastAsia="楷体" w:cs="宋体"/>
                <w:b/>
                <w:bCs/>
                <w:kern w:val="0"/>
                <w:szCs w:val="21"/>
                <w:lang w:val="en-US" w:eastAsia="zh-CN"/>
              </w:rPr>
              <w:t>的关联</w:t>
            </w:r>
            <w:r>
              <w:rPr>
                <w:rFonts w:hint="eastAsia" w:ascii="楷体" w:hAnsi="楷体" w:eastAsia="楷体" w:cs="宋体"/>
                <w:b/>
                <w:bCs/>
                <w:kern w:val="0"/>
                <w:szCs w:val="21"/>
              </w:rPr>
              <w:t>业务大概占比多少？</w:t>
            </w:r>
          </w:p>
          <w:p w14:paraId="7BA746A9">
            <w:pPr>
              <w:widowControl/>
              <w:ind w:firstLine="420" w:firstLineChars="200"/>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各年占比根据当年业务推进情况，有不同的比例，就2023年而言，和38所关联业务主要是关联销售，金额大约在3亿元左右，占比大概</w:t>
            </w:r>
            <w:r>
              <w:rPr>
                <w:rFonts w:hint="eastAsia" w:ascii="楷体" w:hAnsi="楷体" w:eastAsia="楷体" w:cs="宋体"/>
                <w:b w:val="0"/>
                <w:bCs w:val="0"/>
                <w:kern w:val="0"/>
                <w:szCs w:val="21"/>
              </w:rPr>
              <w:t>15%左</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rPr>
              <w:t>右主要包括电源、PCB等。</w:t>
            </w:r>
          </w:p>
          <w:p w14:paraId="02F45E06">
            <w:pPr>
              <w:widowControl/>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8、</w:t>
            </w:r>
            <w:r>
              <w:rPr>
                <w:rFonts w:hint="eastAsia" w:ascii="楷体" w:hAnsi="楷体" w:eastAsia="楷体" w:cs="宋体"/>
                <w:b/>
                <w:bCs/>
                <w:kern w:val="0"/>
                <w:szCs w:val="21"/>
              </w:rPr>
              <w:t>公司最近一次披露买理财是</w:t>
            </w:r>
            <w:r>
              <w:rPr>
                <w:rFonts w:hint="eastAsia" w:ascii="楷体" w:hAnsi="楷体" w:eastAsia="楷体" w:cs="宋体"/>
                <w:b/>
                <w:bCs/>
                <w:kern w:val="0"/>
                <w:szCs w:val="21"/>
                <w:lang w:val="en-US" w:eastAsia="zh-CN"/>
              </w:rPr>
              <w:t>20</w:t>
            </w:r>
            <w:r>
              <w:rPr>
                <w:rFonts w:hint="eastAsia" w:ascii="楷体" w:hAnsi="楷体" w:eastAsia="楷体" w:cs="宋体"/>
                <w:b/>
                <w:bCs/>
                <w:kern w:val="0"/>
                <w:szCs w:val="21"/>
              </w:rPr>
              <w:t>15年</w:t>
            </w:r>
            <w:r>
              <w:rPr>
                <w:rFonts w:hint="eastAsia" w:ascii="楷体" w:hAnsi="楷体" w:eastAsia="楷体" w:cs="宋体"/>
                <w:b/>
                <w:bCs/>
                <w:kern w:val="0"/>
                <w:szCs w:val="21"/>
                <w:lang w:eastAsia="zh-CN"/>
              </w:rPr>
              <w:t>，</w:t>
            </w:r>
            <w:r>
              <w:rPr>
                <w:rFonts w:hint="eastAsia" w:ascii="楷体" w:hAnsi="楷体" w:eastAsia="楷体" w:cs="宋体"/>
                <w:b/>
                <w:bCs/>
                <w:kern w:val="0"/>
                <w:szCs w:val="21"/>
                <w:lang w:val="en-US" w:eastAsia="zh-CN"/>
              </w:rPr>
              <w:t>后续还会有购买理财的计划吗？</w:t>
            </w:r>
          </w:p>
          <w:p w14:paraId="07767BFD">
            <w:pPr>
              <w:widowControl/>
              <w:ind w:firstLine="420" w:firstLineChars="200"/>
              <w:jc w:val="left"/>
              <w:rPr>
                <w:rFonts w:hint="eastAsia" w:ascii="楷体" w:hAnsi="楷体" w:eastAsia="楷体" w:cs="宋体"/>
                <w:b w:val="0"/>
                <w:bCs w:val="0"/>
                <w:kern w:val="0"/>
                <w:szCs w:val="21"/>
              </w:rPr>
            </w:pPr>
            <w:r>
              <w:rPr>
                <w:rFonts w:hint="eastAsia" w:ascii="楷体" w:hAnsi="楷体" w:eastAsia="楷体" w:cs="宋体"/>
                <w:b w:val="0"/>
                <w:bCs w:val="0"/>
                <w:kern w:val="0"/>
                <w:szCs w:val="21"/>
                <w:lang w:val="en-US" w:eastAsia="zh-CN"/>
              </w:rPr>
              <w:t>公司当时购买理财主要是闲置</w:t>
            </w:r>
            <w:r>
              <w:rPr>
                <w:rFonts w:hint="eastAsia" w:ascii="楷体" w:hAnsi="楷体" w:eastAsia="楷体" w:cs="宋体"/>
                <w:b w:val="0"/>
                <w:bCs w:val="0"/>
                <w:kern w:val="0"/>
                <w:szCs w:val="21"/>
              </w:rPr>
              <w:t>募集资金</w:t>
            </w:r>
            <w:r>
              <w:rPr>
                <w:rFonts w:hint="eastAsia" w:ascii="楷体" w:hAnsi="楷体" w:eastAsia="楷体" w:cs="宋体"/>
                <w:b w:val="0"/>
                <w:bCs w:val="0"/>
                <w:kern w:val="0"/>
                <w:szCs w:val="21"/>
                <w:lang w:eastAsia="zh-CN"/>
              </w:rPr>
              <w:t>，</w:t>
            </w:r>
            <w:r>
              <w:rPr>
                <w:rFonts w:hint="eastAsia" w:ascii="楷体" w:hAnsi="楷体" w:eastAsia="楷体" w:cs="宋体"/>
                <w:b w:val="0"/>
                <w:bCs w:val="0"/>
                <w:kern w:val="0"/>
                <w:szCs w:val="21"/>
                <w:lang w:val="en-US" w:eastAsia="zh-CN"/>
              </w:rPr>
              <w:t>后续公司会根据资金的计划去统筹安排。</w:t>
            </w:r>
          </w:p>
          <w:p w14:paraId="32B8E45C">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lang w:val="en-US" w:eastAsia="zh-CN"/>
              </w:rPr>
              <w:t>9、想请教下</w:t>
            </w:r>
            <w:r>
              <w:rPr>
                <w:rFonts w:hint="eastAsia" w:ascii="楷体" w:hAnsi="楷体" w:eastAsia="楷体" w:cs="宋体"/>
                <w:b/>
                <w:bCs/>
                <w:kern w:val="0"/>
                <w:szCs w:val="21"/>
              </w:rPr>
              <w:t>公司治理方面</w:t>
            </w:r>
            <w:r>
              <w:rPr>
                <w:rFonts w:hint="eastAsia" w:ascii="楷体" w:hAnsi="楷体" w:eastAsia="楷体" w:cs="宋体"/>
                <w:b/>
                <w:bCs/>
                <w:kern w:val="0"/>
                <w:szCs w:val="21"/>
                <w:lang w:val="en-US" w:eastAsia="zh-CN"/>
              </w:rPr>
              <w:t>的问题</w:t>
            </w:r>
            <w:r>
              <w:rPr>
                <w:rFonts w:hint="eastAsia" w:ascii="楷体" w:hAnsi="楷体" w:eastAsia="楷体" w:cs="宋体"/>
                <w:b/>
                <w:bCs/>
                <w:kern w:val="0"/>
                <w:szCs w:val="21"/>
              </w:rPr>
              <w:t>，一是现在总部和两个大的子公司</w:t>
            </w:r>
            <w:r>
              <w:rPr>
                <w:rFonts w:hint="eastAsia" w:ascii="楷体" w:hAnsi="楷体" w:eastAsia="楷体" w:cs="宋体"/>
                <w:b/>
                <w:bCs/>
                <w:kern w:val="0"/>
                <w:szCs w:val="21"/>
                <w:lang w:val="en-US" w:eastAsia="zh-CN"/>
              </w:rPr>
              <w:t>在</w:t>
            </w:r>
            <w:r>
              <w:rPr>
                <w:rFonts w:hint="eastAsia" w:ascii="楷体" w:hAnsi="楷体" w:eastAsia="楷体" w:cs="宋体"/>
                <w:b/>
                <w:bCs/>
                <w:kern w:val="0"/>
                <w:szCs w:val="21"/>
              </w:rPr>
              <w:t>管理</w:t>
            </w:r>
            <w:r>
              <w:rPr>
                <w:rFonts w:hint="eastAsia" w:ascii="楷体" w:hAnsi="楷体" w:eastAsia="楷体" w:cs="宋体"/>
                <w:b/>
                <w:bCs/>
                <w:kern w:val="0"/>
                <w:szCs w:val="21"/>
                <w:lang w:eastAsia="zh-CN"/>
              </w:rPr>
              <w:t>、</w:t>
            </w:r>
            <w:r>
              <w:rPr>
                <w:rFonts w:hint="eastAsia" w:ascii="楷体" w:hAnsi="楷体" w:eastAsia="楷体" w:cs="宋体"/>
                <w:b/>
                <w:bCs/>
                <w:kern w:val="0"/>
                <w:szCs w:val="21"/>
              </w:rPr>
              <w:t>业务整合、业务协同方面</w:t>
            </w:r>
            <w:r>
              <w:rPr>
                <w:rFonts w:hint="eastAsia" w:ascii="楷体" w:hAnsi="楷体" w:eastAsia="楷体" w:cs="宋体"/>
                <w:b/>
                <w:bCs/>
                <w:kern w:val="0"/>
                <w:szCs w:val="21"/>
                <w:lang w:val="en-US" w:eastAsia="zh-CN"/>
              </w:rPr>
              <w:t>的</w:t>
            </w:r>
            <w:r>
              <w:rPr>
                <w:rFonts w:hint="eastAsia" w:ascii="楷体" w:hAnsi="楷体" w:eastAsia="楷体" w:cs="宋体"/>
                <w:b/>
                <w:bCs/>
                <w:kern w:val="0"/>
                <w:szCs w:val="21"/>
              </w:rPr>
              <w:t>情况？二是研发体系和38所的协同关系？</w:t>
            </w:r>
          </w:p>
          <w:p w14:paraId="25FA2E8E">
            <w:pPr>
              <w:widowControl/>
              <w:ind w:firstLine="420" w:firstLineChars="200"/>
              <w:jc w:val="left"/>
              <w:rPr>
                <w:rFonts w:ascii="宋体" w:hAnsi="宋体"/>
                <w:sz w:val="24"/>
              </w:rPr>
            </w:pPr>
            <w:r>
              <w:rPr>
                <w:rFonts w:hint="eastAsia" w:ascii="楷体" w:hAnsi="楷体" w:eastAsia="楷体" w:cs="宋体"/>
                <w:b w:val="0"/>
                <w:bCs w:val="0"/>
                <w:kern w:val="0"/>
                <w:szCs w:val="21"/>
              </w:rPr>
              <w:t>从</w:t>
            </w:r>
            <w:r>
              <w:rPr>
                <w:rFonts w:hint="eastAsia" w:ascii="楷体" w:hAnsi="楷体" w:eastAsia="楷体" w:cs="宋体"/>
                <w:b w:val="0"/>
                <w:bCs w:val="0"/>
                <w:kern w:val="0"/>
                <w:szCs w:val="21"/>
                <w:lang w:val="en-US" w:eastAsia="zh-CN"/>
              </w:rPr>
              <w:t>子公司管理来说，当前公司更多的是战略管控，但相比前些年而言，管控更加严格，支持更加多元。在业务整合上也做了一些调整，比如将博微长安粮食信息化业务整合到公司整体的智慧应用业务板块，在业务协同发展和子公司管理方面，也给予子公司更多的支持和支撑。就</w:t>
            </w:r>
            <w:r>
              <w:rPr>
                <w:rFonts w:hint="eastAsia" w:ascii="楷体" w:hAnsi="楷体" w:eastAsia="楷体" w:cs="宋体"/>
                <w:b w:val="0"/>
                <w:bCs w:val="0"/>
                <w:kern w:val="0"/>
                <w:szCs w:val="21"/>
              </w:rPr>
              <w:t>研发</w:t>
            </w:r>
            <w:r>
              <w:rPr>
                <w:rFonts w:hint="eastAsia" w:ascii="楷体" w:hAnsi="楷体" w:eastAsia="楷体" w:cs="宋体"/>
                <w:b w:val="0"/>
                <w:bCs w:val="0"/>
                <w:kern w:val="0"/>
                <w:szCs w:val="21"/>
                <w:lang w:val="en-US" w:eastAsia="zh-CN"/>
              </w:rPr>
              <w:t>而言，公司有自己的研发体系、研发制度和相应的研发人员，但近年也加大了与38所在相关方面的协同，包括研发上的协同，比如在低空安全监视方面，公司与</w:t>
            </w:r>
            <w:r>
              <w:rPr>
                <w:rFonts w:hint="eastAsia" w:ascii="楷体" w:hAnsi="楷体" w:eastAsia="楷体" w:cs="宋体"/>
                <w:b w:val="0"/>
                <w:bCs w:val="0"/>
                <w:kern w:val="0"/>
                <w:szCs w:val="21"/>
              </w:rPr>
              <w:t>38所</w:t>
            </w:r>
            <w:r>
              <w:rPr>
                <w:rFonts w:hint="eastAsia" w:ascii="楷体" w:hAnsi="楷体" w:eastAsia="楷体" w:cs="宋体"/>
                <w:b w:val="0"/>
                <w:bCs w:val="0"/>
                <w:kern w:val="0"/>
                <w:szCs w:val="21"/>
                <w:lang w:val="en-US" w:eastAsia="zh-CN"/>
              </w:rPr>
              <w:t>共同推进技术方案的实现和落地等。</w:t>
            </w:r>
            <w:bookmarkStart w:id="0" w:name="_GoBack"/>
            <w:bookmarkEnd w:id="0"/>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8E8AA11">
            <w:pPr>
              <w:spacing w:line="480" w:lineRule="atLeast"/>
              <w:jc w:val="center"/>
              <w:rPr>
                <w:rFonts w:ascii="宋体" w:hAnsi="宋体"/>
                <w:b/>
                <w:bCs/>
                <w:iCs/>
                <w:color w:val="000000"/>
                <w:kern w:val="0"/>
                <w:sz w:val="24"/>
              </w:rPr>
            </w:pPr>
            <w:r>
              <w:rPr>
                <w:rFonts w:hint="eastAsia" w:ascii="宋体" w:hAnsi="宋体"/>
                <w:b/>
                <w:bCs/>
                <w:iCs/>
                <w:color w:val="000000"/>
                <w:kern w:val="0"/>
                <w:sz w:val="24"/>
              </w:rPr>
              <w:t>附件清单（如有）</w:t>
            </w:r>
          </w:p>
        </w:tc>
        <w:tc>
          <w:tcPr>
            <w:tcW w:w="7373" w:type="dxa"/>
          </w:tcPr>
          <w:p w14:paraId="55614DB4">
            <w:pPr>
              <w:spacing w:line="480" w:lineRule="atLeast"/>
              <w:rPr>
                <w:rFonts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F839F84">
            <w:pPr>
              <w:spacing w:line="480" w:lineRule="atLeast"/>
              <w:jc w:val="center"/>
              <w:rPr>
                <w:rFonts w:ascii="宋体" w:hAnsi="宋体"/>
                <w:b/>
                <w:bCs/>
                <w:iCs/>
                <w:color w:val="000000"/>
                <w:kern w:val="0"/>
                <w:sz w:val="24"/>
              </w:rPr>
            </w:pPr>
            <w:r>
              <w:rPr>
                <w:rFonts w:hint="eastAsia" w:ascii="宋体" w:hAnsi="宋体"/>
                <w:b/>
                <w:bCs/>
                <w:iCs/>
                <w:color w:val="000000"/>
                <w:kern w:val="0"/>
                <w:sz w:val="24"/>
              </w:rPr>
              <w:t>日  期</w:t>
            </w:r>
          </w:p>
        </w:tc>
        <w:tc>
          <w:tcPr>
            <w:tcW w:w="7373" w:type="dxa"/>
          </w:tcPr>
          <w:p w14:paraId="79FC986B">
            <w:pPr>
              <w:spacing w:line="480" w:lineRule="atLeast"/>
              <w:rPr>
                <w:rFonts w:ascii="宋体" w:hAnsi="宋体"/>
                <w:bCs/>
                <w:iCs/>
                <w:color w:val="000000"/>
                <w:kern w:val="0"/>
                <w:sz w:val="24"/>
                <w:highlight w:val="yellow"/>
              </w:rPr>
            </w:pPr>
            <w:r>
              <w:rPr>
                <w:rFonts w:hint="eastAsia" w:ascii="宋体" w:hAnsi="宋体"/>
                <w:bCs/>
                <w:iCs/>
                <w:color w:val="000000"/>
                <w:kern w:val="0"/>
                <w:sz w:val="24"/>
              </w:rPr>
              <w:t>2024年</w:t>
            </w:r>
            <w:r>
              <w:rPr>
                <w:rFonts w:hint="eastAsia" w:ascii="宋体" w:hAnsi="宋体"/>
                <w:bCs/>
                <w:iCs/>
                <w:color w:val="000000"/>
                <w:kern w:val="0"/>
                <w:sz w:val="24"/>
                <w:lang w:val="en-US" w:eastAsia="zh-CN"/>
              </w:rPr>
              <w:t>7</w:t>
            </w:r>
            <w:r>
              <w:rPr>
                <w:rFonts w:hint="eastAsia" w:ascii="宋体" w:hAnsi="宋体"/>
                <w:bCs/>
                <w:iCs/>
                <w:color w:val="000000"/>
                <w:kern w:val="0"/>
                <w:sz w:val="24"/>
              </w:rPr>
              <w:t>月</w:t>
            </w:r>
            <w:r>
              <w:rPr>
                <w:rFonts w:hint="eastAsia" w:ascii="宋体" w:hAnsi="宋体"/>
                <w:bCs/>
                <w:iCs/>
                <w:color w:val="000000"/>
                <w:kern w:val="0"/>
                <w:sz w:val="24"/>
                <w:lang w:val="en-US" w:eastAsia="zh-CN"/>
              </w:rPr>
              <w:t>4</w:t>
            </w:r>
            <w:r>
              <w:rPr>
                <w:rFonts w:hint="eastAsia" w:ascii="宋体" w:hAnsi="宋体"/>
                <w:bCs/>
                <w:iCs/>
                <w:color w:val="000000"/>
                <w:kern w:val="0"/>
                <w:sz w:val="24"/>
              </w:rPr>
              <w:t>日</w:t>
            </w:r>
          </w:p>
        </w:tc>
      </w:tr>
    </w:tbl>
    <w:p w14:paraId="703D9E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GM3OTI0YmIxOGFkMzEzYmE0MTRhNGQ4ZTY1ZjM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B48B0"/>
    <w:rsid w:val="004C2946"/>
    <w:rsid w:val="004C41C1"/>
    <w:rsid w:val="004D2B14"/>
    <w:rsid w:val="004D7B31"/>
    <w:rsid w:val="004E09CE"/>
    <w:rsid w:val="004E31A0"/>
    <w:rsid w:val="004E62DF"/>
    <w:rsid w:val="004E6AFD"/>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E7"/>
    <w:rsid w:val="00C55BDF"/>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72CC"/>
    <w:rsid w:val="00E20BB1"/>
    <w:rsid w:val="00E21A5B"/>
    <w:rsid w:val="00E24641"/>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D9BC521"/>
    <w:rsid w:val="0E0878A8"/>
    <w:rsid w:val="0F5D1F32"/>
    <w:rsid w:val="157FAB4C"/>
    <w:rsid w:val="173B61C6"/>
    <w:rsid w:val="17D7062F"/>
    <w:rsid w:val="1912584B"/>
    <w:rsid w:val="19D9C4FE"/>
    <w:rsid w:val="1B8F39F9"/>
    <w:rsid w:val="1BCF41AF"/>
    <w:rsid w:val="1CCB5FFA"/>
    <w:rsid w:val="1FBC2E81"/>
    <w:rsid w:val="1FDEE4EF"/>
    <w:rsid w:val="1FF96C60"/>
    <w:rsid w:val="23D63FF3"/>
    <w:rsid w:val="24EF070A"/>
    <w:rsid w:val="2593390D"/>
    <w:rsid w:val="25BA00DE"/>
    <w:rsid w:val="25F3B68A"/>
    <w:rsid w:val="293B50E9"/>
    <w:rsid w:val="2F3AEBD6"/>
    <w:rsid w:val="30121CBF"/>
    <w:rsid w:val="31B43443"/>
    <w:rsid w:val="32670BB9"/>
    <w:rsid w:val="33FC14D2"/>
    <w:rsid w:val="35590EB3"/>
    <w:rsid w:val="366A0A92"/>
    <w:rsid w:val="37534DDA"/>
    <w:rsid w:val="37B62D5E"/>
    <w:rsid w:val="38464A2A"/>
    <w:rsid w:val="39440949"/>
    <w:rsid w:val="3B9DA3BA"/>
    <w:rsid w:val="3CD613E9"/>
    <w:rsid w:val="3CD780B2"/>
    <w:rsid w:val="3DEDC04A"/>
    <w:rsid w:val="3DFF0B3A"/>
    <w:rsid w:val="3E8B9DC5"/>
    <w:rsid w:val="3F2FA229"/>
    <w:rsid w:val="3F4348FA"/>
    <w:rsid w:val="3F9EAEF0"/>
    <w:rsid w:val="3FDFE2FC"/>
    <w:rsid w:val="3FEEF2A9"/>
    <w:rsid w:val="3FEF910E"/>
    <w:rsid w:val="3FF7DE95"/>
    <w:rsid w:val="41CA2070"/>
    <w:rsid w:val="43BEED3D"/>
    <w:rsid w:val="55AA423F"/>
    <w:rsid w:val="579BAB39"/>
    <w:rsid w:val="5B864B76"/>
    <w:rsid w:val="5BBE33C7"/>
    <w:rsid w:val="5CCF1892"/>
    <w:rsid w:val="5CDC6630"/>
    <w:rsid w:val="5CEF07DD"/>
    <w:rsid w:val="5DDA19FD"/>
    <w:rsid w:val="5E5B2C85"/>
    <w:rsid w:val="5E5D4D81"/>
    <w:rsid w:val="5EB76D3F"/>
    <w:rsid w:val="5FBFBBE3"/>
    <w:rsid w:val="5FDFD5C7"/>
    <w:rsid w:val="5FF5C1E7"/>
    <w:rsid w:val="5FFB09CB"/>
    <w:rsid w:val="5FFFA6C3"/>
    <w:rsid w:val="655A3479"/>
    <w:rsid w:val="65FC4833"/>
    <w:rsid w:val="66601E51"/>
    <w:rsid w:val="69E682D3"/>
    <w:rsid w:val="6ADF2E76"/>
    <w:rsid w:val="6BCD3D8E"/>
    <w:rsid w:val="6BEBF769"/>
    <w:rsid w:val="6BEBFDDB"/>
    <w:rsid w:val="6DFDFA7E"/>
    <w:rsid w:val="6E6B62E0"/>
    <w:rsid w:val="6EE7C719"/>
    <w:rsid w:val="6F770826"/>
    <w:rsid w:val="6F9FD237"/>
    <w:rsid w:val="6FBF8949"/>
    <w:rsid w:val="6FEFADB9"/>
    <w:rsid w:val="70DE69E9"/>
    <w:rsid w:val="71FBDB15"/>
    <w:rsid w:val="7301505A"/>
    <w:rsid w:val="731B8652"/>
    <w:rsid w:val="73B7655F"/>
    <w:rsid w:val="73EB77E7"/>
    <w:rsid w:val="741B5345"/>
    <w:rsid w:val="766E2067"/>
    <w:rsid w:val="76FF8029"/>
    <w:rsid w:val="77EF8C23"/>
    <w:rsid w:val="77FFBB05"/>
    <w:rsid w:val="789C00FF"/>
    <w:rsid w:val="7B8D2DAB"/>
    <w:rsid w:val="7BBC48A1"/>
    <w:rsid w:val="7BFF68B5"/>
    <w:rsid w:val="7C5B7C2C"/>
    <w:rsid w:val="7CDBC869"/>
    <w:rsid w:val="7CFF3438"/>
    <w:rsid w:val="7D616528"/>
    <w:rsid w:val="7DE9DF54"/>
    <w:rsid w:val="7DEC6A2C"/>
    <w:rsid w:val="7DF7E3AC"/>
    <w:rsid w:val="7DF9B664"/>
    <w:rsid w:val="7E35011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2</Pages>
  <Words>1847</Words>
  <Characters>1907</Characters>
  <Lines>31</Lines>
  <Paragraphs>8</Paragraphs>
  <TotalTime>12</TotalTime>
  <ScaleCrop>false</ScaleCrop>
  <LinksUpToDate>false</LinksUpToDate>
  <CharactersWithSpaces>2030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吴晓琳</cp:lastModifiedBy>
  <cp:lastPrinted>2018-04-20T09:09:00Z</cp:lastPrinted>
  <dcterms:modified xsi:type="dcterms:W3CDTF">2024-07-05T07:42:06Z</dcterms:modified>
  <dc:title>证券代码：002544                                  证券简称：杰赛科技</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E3F2914219234F6E819CAF24D5DC4DA8_13</vt:lpwstr>
  </property>
</Properties>
</file>