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F1C2B" w14:textId="77777777" w:rsidR="00CF2787" w:rsidRDefault="00000000">
      <w:pPr>
        <w:keepNext/>
        <w:keepLines/>
        <w:spacing w:before="260" w:after="260" w:line="360" w:lineRule="auto"/>
        <w:jc w:val="center"/>
        <w:outlineLvl w:val="1"/>
        <w:rPr>
          <w:rFonts w:ascii="宋体" w:eastAsia="宋体" w:hAnsi="宋体" w:cs="Times New Roman" w:hint="eastAsia"/>
          <w:b/>
          <w:bCs/>
          <w:i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证券代码：603344                                 证券简称：</w:t>
      </w:r>
      <w:proofErr w:type="gramStart"/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星德胜</w:t>
      </w:r>
      <w:proofErr w:type="gramEnd"/>
      <w:r>
        <w:rPr>
          <w:rFonts w:ascii="宋体" w:eastAsia="宋体" w:hAnsi="宋体" w:cs="Times New Roman"/>
          <w:b/>
          <w:bCs/>
          <w:iCs/>
          <w:sz w:val="24"/>
          <w:szCs w:val="24"/>
        </w:rPr>
        <w:t xml:space="preserve"> </w:t>
      </w:r>
    </w:p>
    <w:p w14:paraId="43786A0C" w14:textId="77777777" w:rsidR="00CF2787" w:rsidRDefault="00000000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 w:hint="eastAsia"/>
          <w:b/>
          <w:bCs/>
          <w:sz w:val="32"/>
          <w:szCs w:val="32"/>
        </w:rPr>
      </w:pPr>
      <w:proofErr w:type="gramStart"/>
      <w:r>
        <w:rPr>
          <w:rFonts w:ascii="宋体" w:eastAsia="宋体" w:hAnsi="宋体" w:cs="Times New Roman" w:hint="eastAsia"/>
          <w:b/>
          <w:bCs/>
          <w:sz w:val="32"/>
          <w:szCs w:val="32"/>
        </w:rPr>
        <w:t>星德胜</w:t>
      </w:r>
      <w:proofErr w:type="gramEnd"/>
      <w:r>
        <w:rPr>
          <w:rFonts w:ascii="宋体" w:eastAsia="宋体" w:hAnsi="宋体" w:cs="Times New Roman" w:hint="eastAsia"/>
          <w:b/>
          <w:bCs/>
          <w:sz w:val="32"/>
          <w:szCs w:val="32"/>
        </w:rPr>
        <w:t>科技（苏州）股份有限公司</w:t>
      </w:r>
    </w:p>
    <w:p w14:paraId="7D8932AF" w14:textId="77777777" w:rsidR="00CF2787" w:rsidRDefault="00000000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 w:hint="eastAsia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投资者关系活动记录表</w:t>
      </w:r>
    </w:p>
    <w:p w14:paraId="136A6C19" w14:textId="41863193" w:rsidR="00CF2787" w:rsidRDefault="00000000">
      <w:pPr>
        <w:keepNext/>
        <w:keepLines/>
        <w:spacing w:before="260" w:after="260" w:line="360" w:lineRule="auto"/>
        <w:jc w:val="left"/>
        <w:outlineLvl w:val="1"/>
        <w:rPr>
          <w:rFonts w:ascii="宋体" w:eastAsia="宋体" w:hAnsi="宋体" w:cs="Times New Roman" w:hint="eastAsia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编号：2024-</w:t>
      </w:r>
      <w:r w:rsidR="00690528">
        <w:rPr>
          <w:rFonts w:ascii="宋体" w:eastAsia="宋体" w:hAnsi="宋体" w:cs="Times New Roman" w:hint="eastAsia"/>
          <w:b/>
          <w:bCs/>
          <w:sz w:val="24"/>
          <w:szCs w:val="24"/>
        </w:rPr>
        <w:t>00</w:t>
      </w:r>
      <w:r w:rsidR="00EC386C">
        <w:rPr>
          <w:rFonts w:ascii="宋体" w:eastAsia="宋体" w:hAnsi="宋体" w:cs="Times New Roman" w:hint="eastAsia"/>
          <w:b/>
          <w:bCs/>
          <w:sz w:val="24"/>
          <w:szCs w:val="24"/>
        </w:rPr>
        <w:t>4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6385"/>
      </w:tblGrid>
      <w:tr w:rsidR="00CF2787" w14:paraId="6885EFCB" w14:textId="77777777" w:rsidTr="006C2985">
        <w:tc>
          <w:tcPr>
            <w:tcW w:w="2269" w:type="dxa"/>
            <w:shd w:val="clear" w:color="auto" w:fill="auto"/>
          </w:tcPr>
          <w:p w14:paraId="74C1ACC2" w14:textId="77777777" w:rsidR="00CF2787" w:rsidRDefault="00000000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450D78BA" w14:textId="77777777" w:rsidR="00CF2787" w:rsidRDefault="00CF2787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30DD40ED" w14:textId="77777777" w:rsidR="00CF2787" w:rsidRDefault="00000000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■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33109745" w14:textId="77777777" w:rsidR="00CF2787" w:rsidRDefault="00000000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1E87FD5F" w14:textId="77777777" w:rsidR="00CF2787" w:rsidRDefault="00000000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620FEE0A" w14:textId="1FF44522" w:rsidR="00CF2787" w:rsidRDefault="00D0108D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现场参观            □电话会议</w:t>
            </w:r>
          </w:p>
          <w:p w14:paraId="182BEF3F" w14:textId="77777777" w:rsidR="00CF2787" w:rsidRDefault="00000000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其他 （</w:t>
            </w: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请文字</w:t>
            </w:r>
            <w:proofErr w:type="gramEnd"/>
            <w:r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说明其他活动内容）</w:t>
            </w:r>
          </w:p>
        </w:tc>
      </w:tr>
      <w:tr w:rsidR="00CF2787" w14:paraId="7A9713EF" w14:textId="77777777" w:rsidTr="006C2985">
        <w:tc>
          <w:tcPr>
            <w:tcW w:w="2269" w:type="dxa"/>
            <w:shd w:val="clear" w:color="auto" w:fill="auto"/>
          </w:tcPr>
          <w:p w14:paraId="754D2984" w14:textId="77777777" w:rsidR="00CF2787" w:rsidRDefault="00000000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6521" w:type="dxa"/>
            <w:shd w:val="clear" w:color="auto" w:fill="auto"/>
          </w:tcPr>
          <w:p w14:paraId="2C3EA6F0" w14:textId="225DD710" w:rsidR="00CF2787" w:rsidRDefault="00EC386C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中金公司 中信证券</w:t>
            </w:r>
          </w:p>
        </w:tc>
      </w:tr>
      <w:tr w:rsidR="00CF2787" w14:paraId="4A0AB078" w14:textId="77777777" w:rsidTr="006C2985">
        <w:tc>
          <w:tcPr>
            <w:tcW w:w="2269" w:type="dxa"/>
            <w:shd w:val="clear" w:color="auto" w:fill="auto"/>
          </w:tcPr>
          <w:p w14:paraId="10E4B45C" w14:textId="77777777" w:rsidR="00CF2787" w:rsidRDefault="00000000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6521" w:type="dxa"/>
            <w:shd w:val="clear" w:color="auto" w:fill="auto"/>
          </w:tcPr>
          <w:p w14:paraId="7C67017C" w14:textId="3B40A2BF" w:rsidR="0093710F" w:rsidRDefault="00690528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2024年</w:t>
            </w:r>
            <w:r w:rsidR="00EC386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7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月</w:t>
            </w:r>
            <w:r w:rsidR="00EC386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12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日（星期</w:t>
            </w:r>
            <w:r w:rsidR="00EC386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五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）</w:t>
            </w:r>
            <w:r w:rsidR="00EC386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14:00-16:00</w:t>
            </w:r>
          </w:p>
          <w:p w14:paraId="30E7DCB4" w14:textId="26950802" w:rsidR="00690528" w:rsidRDefault="00EC386C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2024年7月18日（星期四）</w:t>
            </w:r>
            <w:r w:rsidR="0069052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14:</w:t>
            </w:r>
            <w:r w:rsidR="0093710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00-</w:t>
            </w:r>
            <w:r w:rsidR="0069052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7</w:t>
            </w:r>
            <w:r w:rsidR="0069052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:00</w:t>
            </w:r>
          </w:p>
        </w:tc>
      </w:tr>
      <w:tr w:rsidR="00CF2787" w14:paraId="05B057D0" w14:textId="77777777" w:rsidTr="006C2985">
        <w:tc>
          <w:tcPr>
            <w:tcW w:w="2269" w:type="dxa"/>
            <w:shd w:val="clear" w:color="auto" w:fill="auto"/>
          </w:tcPr>
          <w:p w14:paraId="1720C596" w14:textId="77777777" w:rsidR="00CF2787" w:rsidRDefault="00000000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6521" w:type="dxa"/>
            <w:shd w:val="clear" w:color="auto" w:fill="auto"/>
          </w:tcPr>
          <w:p w14:paraId="5F48C4BC" w14:textId="77777777" w:rsidR="00CF2787" w:rsidRDefault="00000000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公司会议室</w:t>
            </w:r>
          </w:p>
        </w:tc>
      </w:tr>
      <w:tr w:rsidR="00CF2787" w14:paraId="48EEC694" w14:textId="77777777" w:rsidTr="006C2985">
        <w:tc>
          <w:tcPr>
            <w:tcW w:w="2269" w:type="dxa"/>
            <w:shd w:val="clear" w:color="auto" w:fill="auto"/>
          </w:tcPr>
          <w:p w14:paraId="59256F2C" w14:textId="77777777" w:rsidR="00CF2787" w:rsidRDefault="00000000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521" w:type="dxa"/>
            <w:shd w:val="clear" w:color="auto" w:fill="auto"/>
          </w:tcPr>
          <w:p w14:paraId="0C26D60F" w14:textId="77777777" w:rsidR="00CF2787" w:rsidRDefault="00000000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董事会秘书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李薇薇</w:t>
            </w:r>
          </w:p>
        </w:tc>
      </w:tr>
      <w:tr w:rsidR="00CF2787" w14:paraId="22D163DE" w14:textId="77777777" w:rsidTr="006C2985">
        <w:trPr>
          <w:trHeight w:val="2701"/>
        </w:trPr>
        <w:tc>
          <w:tcPr>
            <w:tcW w:w="2269" w:type="dxa"/>
            <w:shd w:val="clear" w:color="auto" w:fill="auto"/>
            <w:vAlign w:val="center"/>
          </w:tcPr>
          <w:p w14:paraId="0B450066" w14:textId="77777777" w:rsidR="00CF2787" w:rsidRDefault="00000000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521" w:type="dxa"/>
            <w:shd w:val="clear" w:color="auto" w:fill="auto"/>
          </w:tcPr>
          <w:p w14:paraId="1606F21B" w14:textId="77777777" w:rsidR="00EC386C" w:rsidRPr="0062602D" w:rsidRDefault="00EC386C" w:rsidP="00EC386C">
            <w:pPr>
              <w:pStyle w:val="af"/>
              <w:numPr>
                <w:ilvl w:val="0"/>
                <w:numId w:val="1"/>
              </w:numPr>
              <w:ind w:firstLineChars="0"/>
              <w:rPr>
                <w:b/>
                <w:bCs/>
              </w:rPr>
            </w:pPr>
            <w:r w:rsidRPr="0062602D">
              <w:rPr>
                <w:rFonts w:hint="eastAsia"/>
                <w:b/>
                <w:bCs/>
              </w:rPr>
              <w:t>麻烦讲讲公司的发展历史，以及其中几个比较重要的时间节点。</w:t>
            </w:r>
          </w:p>
          <w:p w14:paraId="2382A76A" w14:textId="77777777" w:rsidR="00EC386C" w:rsidRPr="0062602D" w:rsidRDefault="00EC386C" w:rsidP="00931FBB">
            <w:pPr>
              <w:pStyle w:val="af"/>
            </w:pPr>
            <w:r w:rsidRPr="0062602D">
              <w:rPr>
                <w:rFonts w:hint="eastAsia"/>
              </w:rPr>
              <w:t>公司成立于</w:t>
            </w:r>
            <w:r w:rsidRPr="0062602D">
              <w:rPr>
                <w:rFonts w:hint="eastAsia"/>
              </w:rPr>
              <w:t>2004</w:t>
            </w:r>
            <w:r w:rsidRPr="0062602D">
              <w:rPr>
                <w:rFonts w:hint="eastAsia"/>
              </w:rPr>
              <w:t>年，成立初期主要从事交流串激电机产品的研发、生产和销售；</w:t>
            </w:r>
            <w:r w:rsidRPr="0062602D">
              <w:rPr>
                <w:rFonts w:hint="eastAsia"/>
              </w:rPr>
              <w:t>2009</w:t>
            </w:r>
            <w:r w:rsidRPr="0062602D">
              <w:rPr>
                <w:rFonts w:hint="eastAsia"/>
              </w:rPr>
              <w:t>年度，公司交流串激电机产量突破</w:t>
            </w:r>
            <w:r w:rsidRPr="0062602D">
              <w:rPr>
                <w:rFonts w:hint="eastAsia"/>
              </w:rPr>
              <w:t>1,000</w:t>
            </w:r>
            <w:r w:rsidRPr="0062602D">
              <w:rPr>
                <w:rFonts w:hint="eastAsia"/>
              </w:rPr>
              <w:t>万台。</w:t>
            </w:r>
          </w:p>
          <w:p w14:paraId="665D4A6C" w14:textId="77777777" w:rsidR="00EC386C" w:rsidRPr="0062602D" w:rsidRDefault="00EC386C" w:rsidP="00931FBB">
            <w:pPr>
              <w:pStyle w:val="af"/>
            </w:pPr>
            <w:r w:rsidRPr="0062602D">
              <w:rPr>
                <w:rFonts w:hint="eastAsia"/>
              </w:rPr>
              <w:t>随着微</w:t>
            </w:r>
            <w:proofErr w:type="gramStart"/>
            <w:r w:rsidRPr="0062602D">
              <w:rPr>
                <w:rFonts w:hint="eastAsia"/>
              </w:rPr>
              <w:t>特</w:t>
            </w:r>
            <w:proofErr w:type="gramEnd"/>
            <w:r w:rsidRPr="0062602D">
              <w:rPr>
                <w:rFonts w:hint="eastAsia"/>
              </w:rPr>
              <w:t>电机行业的持续发展和下游产品的更新迭代，公司前瞻性地布局直流无刷电机相关产品领域，并于</w:t>
            </w:r>
            <w:r w:rsidRPr="0062602D">
              <w:rPr>
                <w:rFonts w:hint="eastAsia"/>
              </w:rPr>
              <w:t>2015</w:t>
            </w:r>
            <w:r w:rsidRPr="0062602D">
              <w:rPr>
                <w:rFonts w:hint="eastAsia"/>
              </w:rPr>
              <w:t>年成立直流无刷电机事业部。直流无刷电机采用电子换向替代原本换向器和碳刷构成的机械换向，具有效率高、转速高、体积小、重量轻、噪音低、维护成本低等优点，更为符合客户需求和行业发展趋势；同年，公司成立</w:t>
            </w:r>
            <w:proofErr w:type="gramStart"/>
            <w:r w:rsidRPr="0062602D">
              <w:rPr>
                <w:rFonts w:hint="eastAsia"/>
              </w:rPr>
              <w:t>直流有</w:t>
            </w:r>
            <w:proofErr w:type="gramEnd"/>
            <w:r w:rsidRPr="0062602D">
              <w:rPr>
                <w:rFonts w:hint="eastAsia"/>
              </w:rPr>
              <w:t>刷电机事业部，进一步拓展产品线。</w:t>
            </w:r>
          </w:p>
          <w:p w14:paraId="23FD04ED" w14:textId="77777777" w:rsidR="00EC386C" w:rsidRPr="0062602D" w:rsidRDefault="00EC386C" w:rsidP="00931FBB">
            <w:pPr>
              <w:pStyle w:val="af"/>
            </w:pPr>
            <w:r w:rsidRPr="0062602D">
              <w:rPr>
                <w:rFonts w:hint="eastAsia"/>
              </w:rPr>
              <w:t>2018</w:t>
            </w:r>
            <w:r w:rsidRPr="0062602D">
              <w:rPr>
                <w:rFonts w:hint="eastAsia"/>
              </w:rPr>
              <w:t>年度，公司</w:t>
            </w:r>
            <w:proofErr w:type="gramStart"/>
            <w:r w:rsidRPr="0062602D">
              <w:rPr>
                <w:rFonts w:hint="eastAsia"/>
              </w:rPr>
              <w:t>收购星德胜</w:t>
            </w:r>
            <w:proofErr w:type="gramEnd"/>
            <w:r w:rsidRPr="0062602D">
              <w:rPr>
                <w:rFonts w:hint="eastAsia"/>
              </w:rPr>
              <w:t>新能源，拓展电池包业务，并同步建立</w:t>
            </w:r>
            <w:r w:rsidRPr="0062602D">
              <w:rPr>
                <w:rFonts w:hint="eastAsia"/>
              </w:rPr>
              <w:t>SMT</w:t>
            </w:r>
            <w:r w:rsidRPr="0062602D">
              <w:rPr>
                <w:rFonts w:hint="eastAsia"/>
              </w:rPr>
              <w:t>生产车间，完成对电机、电机控制系统、电池包完整业务板块的同步拓展。</w:t>
            </w:r>
            <w:r w:rsidRPr="0062602D">
              <w:rPr>
                <w:rFonts w:hint="eastAsia"/>
              </w:rPr>
              <w:t>2022</w:t>
            </w:r>
            <w:r w:rsidRPr="0062602D">
              <w:rPr>
                <w:rFonts w:hint="eastAsia"/>
              </w:rPr>
              <w:t>年，公司成立车用电机事业部、工业风机事业部，拟利用公司在直流无刷电机领域积累的经验和技术、整体成本优势，进军车用电机、工业风机市场。</w:t>
            </w:r>
          </w:p>
          <w:p w14:paraId="3CB2BCF5" w14:textId="77777777" w:rsidR="00EC386C" w:rsidRDefault="00EC386C" w:rsidP="00931FBB">
            <w:pPr>
              <w:pStyle w:val="af"/>
              <w:ind w:firstLineChars="0" w:firstLine="200"/>
            </w:pPr>
            <w:r>
              <w:rPr>
                <w:rFonts w:hint="eastAsia"/>
              </w:rPr>
              <w:lastRenderedPageBreak/>
              <w:t>2023</w:t>
            </w:r>
            <w:r>
              <w:rPr>
                <w:rFonts w:hint="eastAsia"/>
              </w:rPr>
              <w:t>年</w:t>
            </w:r>
            <w:r w:rsidRPr="0062602D">
              <w:rPr>
                <w:rFonts w:hint="eastAsia"/>
              </w:rPr>
              <w:t>公司</w:t>
            </w:r>
            <w:r>
              <w:rPr>
                <w:rFonts w:hint="eastAsia"/>
              </w:rPr>
              <w:t>在</w:t>
            </w:r>
            <w:r w:rsidRPr="0062602D">
              <w:rPr>
                <w:rFonts w:hint="eastAsia"/>
              </w:rPr>
              <w:t>越南设立生产基地，</w:t>
            </w:r>
            <w:r>
              <w:rPr>
                <w:rFonts w:hint="eastAsia"/>
              </w:rPr>
              <w:t>目前</w:t>
            </w:r>
            <w:r w:rsidRPr="0062602D">
              <w:rPr>
                <w:rFonts w:hint="eastAsia"/>
              </w:rPr>
              <w:t>已经</w:t>
            </w:r>
            <w:r>
              <w:rPr>
                <w:rFonts w:hint="eastAsia"/>
              </w:rPr>
              <w:t>实现小批量</w:t>
            </w:r>
            <w:r w:rsidRPr="0062602D">
              <w:rPr>
                <w:rFonts w:hint="eastAsia"/>
              </w:rPr>
              <w:t>试产。</w:t>
            </w:r>
          </w:p>
          <w:p w14:paraId="25547CE0" w14:textId="77777777" w:rsidR="00EC386C" w:rsidRDefault="00EC386C" w:rsidP="00EC386C">
            <w:pPr>
              <w:pStyle w:val="af"/>
              <w:ind w:left="357" w:firstLineChars="0" w:firstLine="200"/>
            </w:pPr>
          </w:p>
          <w:p w14:paraId="3007DA12" w14:textId="790CF0D4" w:rsidR="00EC386C" w:rsidRPr="0062602D" w:rsidRDefault="00EC386C" w:rsidP="00444192">
            <w:pPr>
              <w:pStyle w:val="af"/>
              <w:numPr>
                <w:ilvl w:val="0"/>
                <w:numId w:val="1"/>
              </w:numPr>
              <w:ind w:firstLineChars="0"/>
              <w:rPr>
                <w:b/>
                <w:bCs/>
              </w:rPr>
            </w:pPr>
            <w:r w:rsidRPr="0062602D">
              <w:rPr>
                <w:rFonts w:hint="eastAsia"/>
                <w:b/>
                <w:bCs/>
              </w:rPr>
              <w:t>公司</w:t>
            </w:r>
            <w:proofErr w:type="gramStart"/>
            <w:r w:rsidRPr="0062602D">
              <w:rPr>
                <w:rFonts w:hint="eastAsia"/>
                <w:b/>
                <w:bCs/>
              </w:rPr>
              <w:t>募投项目</w:t>
            </w:r>
            <w:proofErr w:type="gramEnd"/>
            <w:r w:rsidRPr="0062602D">
              <w:rPr>
                <w:rFonts w:hint="eastAsia"/>
                <w:b/>
                <w:bCs/>
              </w:rPr>
              <w:t>3000</w:t>
            </w:r>
            <w:r w:rsidRPr="0062602D">
              <w:rPr>
                <w:rFonts w:hint="eastAsia"/>
                <w:b/>
                <w:bCs/>
              </w:rPr>
              <w:t>万套无刷电机和</w:t>
            </w:r>
            <w:r w:rsidRPr="0062602D">
              <w:rPr>
                <w:rFonts w:hint="eastAsia"/>
                <w:b/>
                <w:bCs/>
              </w:rPr>
              <w:t>500</w:t>
            </w:r>
            <w:r w:rsidRPr="0062602D">
              <w:rPr>
                <w:rFonts w:hint="eastAsia"/>
                <w:b/>
                <w:bCs/>
              </w:rPr>
              <w:t>万套电池包扩产项目，相对于上市前</w:t>
            </w:r>
            <w:r w:rsidRPr="0062602D">
              <w:rPr>
                <w:rFonts w:hint="eastAsia"/>
                <w:b/>
                <w:bCs/>
              </w:rPr>
              <w:t>6000</w:t>
            </w:r>
            <w:r w:rsidRPr="0062602D">
              <w:rPr>
                <w:rFonts w:hint="eastAsia"/>
                <w:b/>
                <w:bCs/>
              </w:rPr>
              <w:t>万套产能扩产</w:t>
            </w:r>
            <w:r w:rsidRPr="0062602D">
              <w:rPr>
                <w:rFonts w:hint="eastAsia"/>
                <w:b/>
                <w:bCs/>
              </w:rPr>
              <w:t>50%</w:t>
            </w:r>
            <w:r w:rsidRPr="0062602D">
              <w:rPr>
                <w:rFonts w:hint="eastAsia"/>
                <w:b/>
                <w:bCs/>
              </w:rPr>
              <w:t>，</w:t>
            </w:r>
            <w:r w:rsidRPr="0062602D">
              <w:rPr>
                <w:rFonts w:hint="eastAsia"/>
                <w:b/>
                <w:bCs/>
              </w:rPr>
              <w:t>2022</w:t>
            </w:r>
            <w:r w:rsidRPr="0062602D">
              <w:rPr>
                <w:rFonts w:hint="eastAsia"/>
                <w:b/>
                <w:bCs/>
              </w:rPr>
              <w:t>年的数据交流串激电机约</w:t>
            </w:r>
            <w:r w:rsidRPr="0062602D">
              <w:rPr>
                <w:rFonts w:hint="eastAsia"/>
                <w:b/>
                <w:bCs/>
              </w:rPr>
              <w:t>5000</w:t>
            </w:r>
            <w:r w:rsidRPr="0062602D">
              <w:rPr>
                <w:rFonts w:hint="eastAsia"/>
                <w:b/>
                <w:bCs/>
              </w:rPr>
              <w:t>万套，直流无刷</w:t>
            </w:r>
            <w:r w:rsidRPr="0062602D">
              <w:rPr>
                <w:rFonts w:hint="eastAsia"/>
                <w:b/>
                <w:bCs/>
              </w:rPr>
              <w:t>1000</w:t>
            </w:r>
            <w:r w:rsidRPr="0062602D">
              <w:rPr>
                <w:rFonts w:hint="eastAsia"/>
                <w:b/>
                <w:bCs/>
              </w:rPr>
              <w:t>万套，</w:t>
            </w:r>
            <w:proofErr w:type="gramStart"/>
            <w:r w:rsidRPr="0062602D">
              <w:rPr>
                <w:rFonts w:hint="eastAsia"/>
                <w:b/>
                <w:bCs/>
              </w:rPr>
              <w:t>直流有</w:t>
            </w:r>
            <w:proofErr w:type="gramEnd"/>
            <w:r w:rsidRPr="0062602D">
              <w:rPr>
                <w:rFonts w:hint="eastAsia"/>
                <w:b/>
                <w:bCs/>
              </w:rPr>
              <w:t>刷</w:t>
            </w:r>
            <w:r w:rsidRPr="0062602D">
              <w:rPr>
                <w:rFonts w:hint="eastAsia"/>
                <w:b/>
                <w:bCs/>
              </w:rPr>
              <w:t>1000</w:t>
            </w:r>
            <w:r w:rsidRPr="0062602D">
              <w:rPr>
                <w:rFonts w:hint="eastAsia"/>
                <w:b/>
                <w:bCs/>
              </w:rPr>
              <w:t>万套左右。预计多久，公司产能达到满产状态？</w:t>
            </w:r>
          </w:p>
          <w:p w14:paraId="3845C0ED" w14:textId="00800029" w:rsidR="00EC386C" w:rsidRPr="00BB0280" w:rsidRDefault="00EC386C" w:rsidP="00EC386C">
            <w:pPr>
              <w:pStyle w:val="af"/>
            </w:pPr>
            <w:r>
              <w:rPr>
                <w:rFonts w:hint="eastAsia"/>
              </w:rPr>
              <w:t>公司</w:t>
            </w:r>
            <w:r w:rsidR="00C33D74">
              <w:rPr>
                <w:rFonts w:hint="eastAsia"/>
              </w:rPr>
              <w:t>该</w:t>
            </w:r>
            <w:proofErr w:type="gramStart"/>
            <w:r>
              <w:rPr>
                <w:rFonts w:hint="eastAsia"/>
              </w:rPr>
              <w:t>募投</w:t>
            </w:r>
            <w:r w:rsidRPr="009058A6">
              <w:rPr>
                <w:rFonts w:hint="eastAsia"/>
              </w:rPr>
              <w:t>项目</w:t>
            </w:r>
            <w:proofErr w:type="gramEnd"/>
            <w:r w:rsidRPr="009058A6">
              <w:rPr>
                <w:rFonts w:hint="eastAsia"/>
              </w:rPr>
              <w:t>建设期</w:t>
            </w:r>
            <w:r w:rsidRPr="009058A6">
              <w:rPr>
                <w:rFonts w:hint="eastAsia"/>
              </w:rPr>
              <w:t xml:space="preserve"> 2 </w:t>
            </w:r>
            <w:r w:rsidRPr="009058A6">
              <w:rPr>
                <w:rFonts w:hint="eastAsia"/>
              </w:rPr>
              <w:t>年，</w:t>
            </w:r>
            <w:r>
              <w:rPr>
                <w:rFonts w:hint="eastAsia"/>
              </w:rPr>
              <w:t>规划</w:t>
            </w:r>
            <w:r w:rsidRPr="009058A6">
              <w:rPr>
                <w:rFonts w:hint="eastAsia"/>
              </w:rPr>
              <w:t>运营期</w:t>
            </w:r>
            <w:r w:rsidRPr="009058A6">
              <w:rPr>
                <w:rFonts w:hint="eastAsia"/>
              </w:rPr>
              <w:t xml:space="preserve"> 10 </w:t>
            </w:r>
            <w:r w:rsidRPr="009058A6">
              <w:rPr>
                <w:rFonts w:hint="eastAsia"/>
              </w:rPr>
              <w:t>年。</w:t>
            </w:r>
            <w:proofErr w:type="gramStart"/>
            <w:r>
              <w:rPr>
                <w:rFonts w:hint="eastAsia"/>
              </w:rPr>
              <w:t>预计</w:t>
            </w:r>
            <w:r w:rsidRPr="009058A6">
              <w:rPr>
                <w:rFonts w:hint="eastAsia"/>
              </w:rPr>
              <w:t>第</w:t>
            </w:r>
            <w:proofErr w:type="gramEnd"/>
            <w:r w:rsidRPr="009058A6">
              <w:rPr>
                <w:rFonts w:hint="eastAsia"/>
              </w:rPr>
              <w:t xml:space="preserve"> 6 </w:t>
            </w:r>
            <w:r w:rsidRPr="009058A6">
              <w:rPr>
                <w:rFonts w:hint="eastAsia"/>
              </w:rPr>
              <w:t>年</w:t>
            </w:r>
            <w:r w:rsidR="00CC43F0">
              <w:rPr>
                <w:rFonts w:hint="eastAsia"/>
              </w:rPr>
              <w:t>开始</w:t>
            </w:r>
            <w:r w:rsidRPr="009058A6">
              <w:rPr>
                <w:rFonts w:hint="eastAsia"/>
              </w:rPr>
              <w:t>生产负荷</w:t>
            </w:r>
            <w:r>
              <w:rPr>
                <w:rFonts w:hint="eastAsia"/>
              </w:rPr>
              <w:t>达到满产</w:t>
            </w:r>
            <w:r w:rsidRPr="009058A6">
              <w:rPr>
                <w:rFonts w:hint="eastAsia"/>
              </w:rPr>
              <w:t>。</w:t>
            </w:r>
          </w:p>
          <w:p w14:paraId="67071C83" w14:textId="77777777" w:rsidR="00EC386C" w:rsidRPr="0062602D" w:rsidRDefault="00EC386C" w:rsidP="00EC386C">
            <w:pPr>
              <w:rPr>
                <w:b/>
                <w:bCs/>
              </w:rPr>
            </w:pPr>
          </w:p>
          <w:p w14:paraId="16DDB452" w14:textId="77777777" w:rsidR="00EC386C" w:rsidRPr="0062602D" w:rsidRDefault="00EC386C" w:rsidP="00444192">
            <w:pPr>
              <w:pStyle w:val="af"/>
              <w:numPr>
                <w:ilvl w:val="0"/>
                <w:numId w:val="1"/>
              </w:numPr>
              <w:ind w:firstLineChars="0"/>
              <w:rPr>
                <w:b/>
                <w:bCs/>
              </w:rPr>
            </w:pPr>
            <w:proofErr w:type="gramStart"/>
            <w:r w:rsidRPr="0062602D">
              <w:rPr>
                <w:rFonts w:hint="eastAsia"/>
                <w:b/>
                <w:bCs/>
              </w:rPr>
              <w:t>直流有</w:t>
            </w:r>
            <w:proofErr w:type="gramEnd"/>
            <w:r w:rsidRPr="0062602D">
              <w:rPr>
                <w:rFonts w:hint="eastAsia"/>
                <w:b/>
                <w:bCs/>
              </w:rPr>
              <w:t>刷电机技改预计什么时候完成？技改的结果是扩张多少产能？技改的目标是什么？</w:t>
            </w:r>
          </w:p>
          <w:p w14:paraId="525B6263" w14:textId="2707F16A" w:rsidR="00EC386C" w:rsidRDefault="00EC386C" w:rsidP="00EC386C">
            <w:pPr>
              <w:ind w:firstLine="420"/>
            </w:pPr>
            <w:r w:rsidRPr="009058A6">
              <w:rPr>
                <w:rFonts w:hint="eastAsia"/>
              </w:rPr>
              <w:t>“有刷电机技改项目”</w:t>
            </w:r>
            <w:r w:rsidRPr="009058A6">
              <w:rPr>
                <w:rFonts w:hint="eastAsia"/>
              </w:rPr>
              <w:t xml:space="preserve"> </w:t>
            </w:r>
            <w:r w:rsidRPr="009058A6">
              <w:rPr>
                <w:rFonts w:hint="eastAsia"/>
              </w:rPr>
              <w:t>建设期为</w:t>
            </w:r>
            <w:r w:rsidRPr="009058A6">
              <w:rPr>
                <w:rFonts w:hint="eastAsia"/>
              </w:rPr>
              <w:t>2</w:t>
            </w:r>
            <w:r w:rsidRPr="009058A6">
              <w:rPr>
                <w:rFonts w:hint="eastAsia"/>
              </w:rPr>
              <w:t>年</w:t>
            </w:r>
            <w:r>
              <w:rPr>
                <w:rFonts w:hint="eastAsia"/>
              </w:rPr>
              <w:t>，不涉及扩张产能。该项目</w:t>
            </w:r>
            <w:r w:rsidRPr="009058A6">
              <w:rPr>
                <w:rFonts w:hint="eastAsia"/>
              </w:rPr>
              <w:t>旨在升级现有</w:t>
            </w:r>
            <w:r w:rsidR="00F12A90">
              <w:rPr>
                <w:rFonts w:hint="eastAsia"/>
              </w:rPr>
              <w:t>生</w:t>
            </w:r>
            <w:r w:rsidRPr="009058A6">
              <w:rPr>
                <w:rFonts w:hint="eastAsia"/>
              </w:rPr>
              <w:t>产线的机器设备以及对车间的智能化</w:t>
            </w:r>
            <w:r w:rsidR="00F12A90">
              <w:rPr>
                <w:rFonts w:hint="eastAsia"/>
              </w:rPr>
              <w:t>提升</w:t>
            </w:r>
            <w:r w:rsidRPr="009058A6">
              <w:rPr>
                <w:rFonts w:hint="eastAsia"/>
              </w:rPr>
              <w:t>改造，提高生产效率，降低劳动力成本。</w:t>
            </w:r>
          </w:p>
          <w:p w14:paraId="16DA5D70" w14:textId="77777777" w:rsidR="00EC386C" w:rsidRPr="009058A6" w:rsidRDefault="00EC386C" w:rsidP="00EC386C">
            <w:pPr>
              <w:ind w:firstLine="420"/>
            </w:pPr>
          </w:p>
          <w:p w14:paraId="523F53A0" w14:textId="77777777" w:rsidR="00EC386C" w:rsidRPr="0062602D" w:rsidRDefault="00EC386C" w:rsidP="00EC386C">
            <w:pPr>
              <w:pStyle w:val="af"/>
              <w:numPr>
                <w:ilvl w:val="0"/>
                <w:numId w:val="1"/>
              </w:numPr>
              <w:ind w:firstLineChars="0"/>
              <w:rPr>
                <w:b/>
                <w:bCs/>
              </w:rPr>
            </w:pPr>
            <w:r w:rsidRPr="0062602D">
              <w:rPr>
                <w:rFonts w:hint="eastAsia"/>
                <w:b/>
                <w:bCs/>
              </w:rPr>
              <w:t>未来新增的产能该如何消化？或者说增量来自于哪些客户？</w:t>
            </w:r>
          </w:p>
          <w:p w14:paraId="6277F4F8" w14:textId="77777777" w:rsidR="00EC386C" w:rsidRPr="009B7AFE" w:rsidRDefault="00EC386C" w:rsidP="00EC386C">
            <w:pPr>
              <w:pStyle w:val="af"/>
            </w:pPr>
            <w:r w:rsidRPr="009B7AFE">
              <w:rPr>
                <w:rFonts w:hint="eastAsia"/>
              </w:rPr>
              <w:t>从清洁电器市场前景来看，随着家用吸尘器逐渐向无绳化、智能化、使用场景多元化发展，各类搭载直流无刷电机的新型智能清洁电器如扫地机器人、洗地机等市场需求未来将大幅增加。公司已与众多知名客户建立了长期稳定的合作关系，部分客户合作时间超过十年。公司将紧跟行业市场变化，及时跟踪行业技术动态，提前布局新技术研发及新产品研发，以最快速度适应技术和产品发展趋势。积极开拓终端品牌商、</w:t>
            </w:r>
            <w:r w:rsidRPr="009B7AFE">
              <w:rPr>
                <w:rFonts w:hint="eastAsia"/>
              </w:rPr>
              <w:t>OEM/ODM</w:t>
            </w:r>
            <w:r w:rsidRPr="009B7AFE">
              <w:rPr>
                <w:rFonts w:hint="eastAsia"/>
              </w:rPr>
              <w:t>厂商等新客户、新渠道，持续扩大公司市场占有率。</w:t>
            </w:r>
          </w:p>
          <w:p w14:paraId="2EFDB1C0" w14:textId="77777777" w:rsidR="00EC386C" w:rsidRDefault="00EC386C" w:rsidP="00EC386C">
            <w:pPr>
              <w:pStyle w:val="af"/>
            </w:pPr>
            <w:r w:rsidRPr="009B7AFE">
              <w:rPr>
                <w:rFonts w:hint="eastAsia"/>
              </w:rPr>
              <w:t>此外，尤其是直流无刷电机的多场景应用方面，公司将积极布局个人护理电机、工业风机、机器人电机驱动系统以及新能源汽车热管理系统等产品领域，实现产品种类和应用领域的多元化，满足自身市场扩张需求。</w:t>
            </w:r>
          </w:p>
          <w:p w14:paraId="111FD161" w14:textId="77777777" w:rsidR="00EC386C" w:rsidRPr="009B7AFE" w:rsidRDefault="00EC386C" w:rsidP="00EC386C">
            <w:pPr>
              <w:pStyle w:val="af"/>
            </w:pPr>
          </w:p>
          <w:p w14:paraId="5598DC8E" w14:textId="77777777" w:rsidR="00EC386C" w:rsidRPr="00D33AB0" w:rsidRDefault="00EC386C" w:rsidP="00EC386C">
            <w:pPr>
              <w:pStyle w:val="af"/>
              <w:numPr>
                <w:ilvl w:val="0"/>
                <w:numId w:val="1"/>
              </w:numPr>
              <w:ind w:firstLineChars="0"/>
            </w:pPr>
            <w:r w:rsidRPr="0062602D">
              <w:rPr>
                <w:rFonts w:hint="eastAsia"/>
                <w:b/>
                <w:bCs/>
              </w:rPr>
              <w:t>接上一个问题，公司的订单可见度是多久？全年的收入是否比较难预测？</w:t>
            </w:r>
          </w:p>
          <w:p w14:paraId="64520A33" w14:textId="4992E435" w:rsidR="00EC386C" w:rsidRDefault="00EC386C" w:rsidP="00931FBB">
            <w:pPr>
              <w:pStyle w:val="af"/>
            </w:pPr>
            <w:r>
              <w:rPr>
                <w:rFonts w:hint="eastAsia"/>
              </w:rPr>
              <w:t>公司大部分订单可见度约为</w:t>
            </w:r>
            <w:r>
              <w:rPr>
                <w:rFonts w:hint="eastAsia"/>
              </w:rPr>
              <w:t>1-1.5</w:t>
            </w:r>
            <w:r>
              <w:rPr>
                <w:rFonts w:hint="eastAsia"/>
              </w:rPr>
              <w:t>个月，小部分</w:t>
            </w:r>
            <w:r w:rsidR="00F73F62">
              <w:rPr>
                <w:rFonts w:hint="eastAsia"/>
              </w:rPr>
              <w:t>订单</w:t>
            </w:r>
            <w:r>
              <w:rPr>
                <w:rFonts w:hint="eastAsia"/>
              </w:rPr>
              <w:t>预测期为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个月及以上；全年收入较难预测，主要系终端客户产品销量无法估计准确数据。</w:t>
            </w:r>
          </w:p>
          <w:p w14:paraId="608A3D21" w14:textId="77777777" w:rsidR="00EC386C" w:rsidRPr="00FD5C7E" w:rsidRDefault="00EC386C" w:rsidP="00EC386C">
            <w:pPr>
              <w:pStyle w:val="af"/>
              <w:ind w:left="360" w:firstLineChars="0" w:firstLine="0"/>
            </w:pPr>
          </w:p>
          <w:p w14:paraId="3A5E45D5" w14:textId="77777777" w:rsidR="00EC386C" w:rsidRDefault="00EC386C" w:rsidP="00EC386C">
            <w:pPr>
              <w:pStyle w:val="af"/>
              <w:numPr>
                <w:ilvl w:val="0"/>
                <w:numId w:val="1"/>
              </w:numPr>
              <w:ind w:firstLineChars="0"/>
              <w:rPr>
                <w:b/>
                <w:bCs/>
              </w:rPr>
            </w:pPr>
            <w:r w:rsidRPr="0062602D">
              <w:rPr>
                <w:rFonts w:hint="eastAsia"/>
                <w:b/>
                <w:bCs/>
              </w:rPr>
              <w:t>毛利率的问题，毛利率主要受产品结构、原材料价格、终端售价等决定。公司的毛利率处于上升趋势，如何看待各产品毛利率走势？</w:t>
            </w:r>
          </w:p>
          <w:p w14:paraId="4DA9C728" w14:textId="2349B1C1" w:rsidR="00EC386C" w:rsidRDefault="00EC386C" w:rsidP="00931FBB">
            <w:pPr>
              <w:pStyle w:val="af"/>
            </w:pP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年度，</w:t>
            </w:r>
            <w:r w:rsidRPr="0063169D">
              <w:rPr>
                <w:rFonts w:hint="eastAsia"/>
              </w:rPr>
              <w:t>随着下游市场需求回升，公司</w:t>
            </w:r>
            <w:r w:rsidR="0061761E">
              <w:rPr>
                <w:rFonts w:hint="eastAsia"/>
              </w:rPr>
              <w:t>交流串激</w:t>
            </w:r>
            <w:r w:rsidRPr="0063169D">
              <w:rPr>
                <w:rFonts w:hint="eastAsia"/>
              </w:rPr>
              <w:t>电机</w:t>
            </w:r>
            <w:r w:rsidR="0061761E">
              <w:rPr>
                <w:rFonts w:hint="eastAsia"/>
              </w:rPr>
              <w:t>和直流无刷电机</w:t>
            </w:r>
            <w:r w:rsidRPr="0063169D">
              <w:rPr>
                <w:rFonts w:hint="eastAsia"/>
              </w:rPr>
              <w:t>产品销量有所上涨</w:t>
            </w:r>
            <w:r w:rsidR="0061761E">
              <w:rPr>
                <w:rFonts w:hint="eastAsia"/>
              </w:rPr>
              <w:t>。</w:t>
            </w:r>
            <w:r w:rsidRPr="0063169D">
              <w:rPr>
                <w:rFonts w:hint="eastAsia"/>
              </w:rPr>
              <w:t>此外，公司产品结构持续改善，直流无刷电机销量占</w:t>
            </w:r>
            <w:proofErr w:type="gramStart"/>
            <w:r w:rsidRPr="0063169D">
              <w:rPr>
                <w:rFonts w:hint="eastAsia"/>
              </w:rPr>
              <w:t>比持续</w:t>
            </w:r>
            <w:proofErr w:type="gramEnd"/>
            <w:r w:rsidRPr="0063169D">
              <w:rPr>
                <w:rFonts w:hint="eastAsia"/>
              </w:rPr>
              <w:t>提升，公司毛利率小幅上涨。</w:t>
            </w:r>
          </w:p>
          <w:p w14:paraId="054A2E04" w14:textId="77777777" w:rsidR="00EC386C" w:rsidRDefault="00EC386C" w:rsidP="00931FBB">
            <w:pPr>
              <w:pStyle w:val="af"/>
            </w:pPr>
            <w:r w:rsidRPr="0063169D">
              <w:rPr>
                <w:rFonts w:hint="eastAsia"/>
              </w:rPr>
              <w:t>公司毛利率水平受整体宏观经济、产品价格波动、原材料价格波动及下游市场需求波动等综合因素的影响。</w:t>
            </w:r>
            <w:r>
              <w:rPr>
                <w:rFonts w:hint="eastAsia"/>
              </w:rPr>
              <w:t>未来，公司将从提升产品附加值，通过技术创新等方式提高产品溢价能力；优化供应链，降低</w:t>
            </w:r>
            <w:r>
              <w:rPr>
                <w:rFonts w:hint="eastAsia"/>
              </w:rPr>
              <w:lastRenderedPageBreak/>
              <w:t>采购成本；加强市场调研，了解市场需求变化，及时调整产品结构和定价策略等方面进一步提高毛利率。</w:t>
            </w:r>
          </w:p>
          <w:p w14:paraId="75AE1FC9" w14:textId="77777777" w:rsidR="00EC386C" w:rsidRPr="0063169D" w:rsidRDefault="00EC386C" w:rsidP="00EC386C">
            <w:pPr>
              <w:pStyle w:val="af"/>
              <w:ind w:left="360"/>
            </w:pPr>
          </w:p>
          <w:p w14:paraId="09D3F2D3" w14:textId="77777777" w:rsidR="00EC386C" w:rsidRPr="003B681C" w:rsidRDefault="00EC386C" w:rsidP="00EC386C">
            <w:pPr>
              <w:pStyle w:val="af"/>
              <w:numPr>
                <w:ilvl w:val="0"/>
                <w:numId w:val="1"/>
              </w:numPr>
              <w:ind w:firstLineChars="0"/>
            </w:pPr>
            <w:r w:rsidRPr="003B681C">
              <w:rPr>
                <w:rFonts w:hint="eastAsia"/>
                <w:b/>
                <w:bCs/>
              </w:rPr>
              <w:t>股权激励是否会做？</w:t>
            </w:r>
          </w:p>
          <w:p w14:paraId="231731F1" w14:textId="7E53E58E" w:rsidR="00EC386C" w:rsidRPr="00372A26" w:rsidRDefault="00EC386C" w:rsidP="00EC386C">
            <w:pPr>
              <w:ind w:firstLineChars="200" w:firstLine="420"/>
            </w:pPr>
            <w:r w:rsidRPr="00372A26">
              <w:rPr>
                <w:rFonts w:hint="eastAsia"/>
              </w:rPr>
              <w:t>股权激励计划能够在激励员工积极性与忠诚度、促进企业长期发展、提升创新能力与竞争力等方面对公司起到积极作用。公司会严格按照有关法律法规，并结合公司实际情况，选择恰当的时机推出股权激励计划</w:t>
            </w:r>
            <w:r w:rsidR="000A6168">
              <w:rPr>
                <w:rFonts w:hint="eastAsia"/>
              </w:rPr>
              <w:t>，并及时履行信息披露</w:t>
            </w:r>
            <w:r w:rsidRPr="00372A26">
              <w:rPr>
                <w:rFonts w:hint="eastAsia"/>
              </w:rPr>
              <w:t>。</w:t>
            </w:r>
          </w:p>
          <w:p w14:paraId="0F394324" w14:textId="1ABB0AA9" w:rsidR="00D73B7B" w:rsidRPr="00EC386C" w:rsidRDefault="00D73B7B" w:rsidP="00034AB3">
            <w:pPr>
              <w:pStyle w:val="af"/>
              <w:ind w:left="360"/>
              <w:rPr>
                <w:rFonts w:ascii="宋体" w:eastAsia="宋体" w:hAnsi="宋体" w:cs="Times New Roman" w:hint="eastAsia"/>
                <w:bCs/>
                <w:iCs/>
                <w:szCs w:val="21"/>
              </w:rPr>
            </w:pPr>
          </w:p>
        </w:tc>
      </w:tr>
      <w:tr w:rsidR="00CF2787" w14:paraId="3AF479BE" w14:textId="77777777" w:rsidTr="006C2985">
        <w:tc>
          <w:tcPr>
            <w:tcW w:w="2269" w:type="dxa"/>
            <w:shd w:val="clear" w:color="auto" w:fill="auto"/>
            <w:vAlign w:val="center"/>
          </w:tcPr>
          <w:p w14:paraId="55F1006E" w14:textId="77777777" w:rsidR="00CF2787" w:rsidRDefault="00000000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521" w:type="dxa"/>
            <w:shd w:val="clear" w:color="auto" w:fill="auto"/>
          </w:tcPr>
          <w:p w14:paraId="19AA726D" w14:textId="77777777" w:rsidR="00CF2787" w:rsidRDefault="00CF2787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</w:p>
        </w:tc>
      </w:tr>
      <w:tr w:rsidR="00CF2787" w14:paraId="590B3504" w14:textId="77777777" w:rsidTr="006C2985">
        <w:tc>
          <w:tcPr>
            <w:tcW w:w="2269" w:type="dxa"/>
            <w:shd w:val="clear" w:color="auto" w:fill="auto"/>
            <w:vAlign w:val="center"/>
          </w:tcPr>
          <w:p w14:paraId="4FEF4610" w14:textId="77777777" w:rsidR="00CF2787" w:rsidRDefault="00000000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95FBE10" w14:textId="2466E710" w:rsidR="00CF2787" w:rsidRDefault="00000000">
            <w:pPr>
              <w:spacing w:line="360" w:lineRule="auto"/>
              <w:ind w:firstLineChars="100" w:firstLine="240"/>
              <w:rPr>
                <w:rFonts w:ascii="宋体" w:eastAsia="宋体" w:hAnsi="宋体" w:cs="Times New Roman" w:hint="eastAsia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2024年</w:t>
            </w:r>
            <w:r w:rsidR="00EC386C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7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月</w:t>
            </w:r>
            <w:r w:rsidR="00EC386C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18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日</w:t>
            </w:r>
          </w:p>
        </w:tc>
      </w:tr>
    </w:tbl>
    <w:p w14:paraId="1DFDC60D" w14:textId="77777777" w:rsidR="00CF2787" w:rsidRDefault="00CF2787">
      <w:pPr>
        <w:keepNext/>
        <w:keepLines/>
        <w:spacing w:before="260" w:after="260" w:line="360" w:lineRule="auto"/>
        <w:outlineLvl w:val="1"/>
      </w:pPr>
    </w:p>
    <w:sectPr w:rsidR="00CF27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53096" w14:textId="77777777" w:rsidR="00B703A5" w:rsidRDefault="00B703A5" w:rsidP="00A34246">
      <w:r>
        <w:separator/>
      </w:r>
    </w:p>
  </w:endnote>
  <w:endnote w:type="continuationSeparator" w:id="0">
    <w:p w14:paraId="2C53B1F1" w14:textId="77777777" w:rsidR="00B703A5" w:rsidRDefault="00B703A5" w:rsidP="00A3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E7CEB" w14:textId="77777777" w:rsidR="00B703A5" w:rsidRDefault="00B703A5" w:rsidP="00A34246">
      <w:r>
        <w:separator/>
      </w:r>
    </w:p>
  </w:footnote>
  <w:footnote w:type="continuationSeparator" w:id="0">
    <w:p w14:paraId="54250DA6" w14:textId="77777777" w:rsidR="00B703A5" w:rsidRDefault="00B703A5" w:rsidP="00A3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887351"/>
    <w:multiLevelType w:val="hybridMultilevel"/>
    <w:tmpl w:val="F40C1C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29867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VjZjA5YjU0OTA1OTFjMzViNzI3Zjg0MTZhYjJiZTEifQ=="/>
  </w:docVars>
  <w:rsids>
    <w:rsidRoot w:val="00EE26CD"/>
    <w:rsid w:val="0000466C"/>
    <w:rsid w:val="00007952"/>
    <w:rsid w:val="00014EDC"/>
    <w:rsid w:val="00014F2A"/>
    <w:rsid w:val="00021F69"/>
    <w:rsid w:val="00023F7B"/>
    <w:rsid w:val="000269F1"/>
    <w:rsid w:val="00026CD7"/>
    <w:rsid w:val="00026E2B"/>
    <w:rsid w:val="000270E5"/>
    <w:rsid w:val="000333DF"/>
    <w:rsid w:val="00034AB3"/>
    <w:rsid w:val="00042C46"/>
    <w:rsid w:val="000444E5"/>
    <w:rsid w:val="000528A8"/>
    <w:rsid w:val="0005452E"/>
    <w:rsid w:val="00063DB5"/>
    <w:rsid w:val="0006434F"/>
    <w:rsid w:val="00066145"/>
    <w:rsid w:val="00070593"/>
    <w:rsid w:val="00070C3B"/>
    <w:rsid w:val="00071B11"/>
    <w:rsid w:val="00081B36"/>
    <w:rsid w:val="000828F8"/>
    <w:rsid w:val="00086C90"/>
    <w:rsid w:val="000A6168"/>
    <w:rsid w:val="000A65EF"/>
    <w:rsid w:val="000B1D35"/>
    <w:rsid w:val="000B39CB"/>
    <w:rsid w:val="000B6FFD"/>
    <w:rsid w:val="000C2F52"/>
    <w:rsid w:val="000D1F12"/>
    <w:rsid w:val="000F5650"/>
    <w:rsid w:val="000F6BEB"/>
    <w:rsid w:val="00103C4E"/>
    <w:rsid w:val="00107E4C"/>
    <w:rsid w:val="00111EF4"/>
    <w:rsid w:val="00113C72"/>
    <w:rsid w:val="00114CEA"/>
    <w:rsid w:val="001221B8"/>
    <w:rsid w:val="001304EB"/>
    <w:rsid w:val="001334C1"/>
    <w:rsid w:val="00136BC5"/>
    <w:rsid w:val="00143A57"/>
    <w:rsid w:val="00151B55"/>
    <w:rsid w:val="00153F44"/>
    <w:rsid w:val="001570FE"/>
    <w:rsid w:val="001672FF"/>
    <w:rsid w:val="00170C73"/>
    <w:rsid w:val="001819EF"/>
    <w:rsid w:val="00186DBB"/>
    <w:rsid w:val="001965A6"/>
    <w:rsid w:val="001A125C"/>
    <w:rsid w:val="001A32E1"/>
    <w:rsid w:val="001B00D8"/>
    <w:rsid w:val="001B011E"/>
    <w:rsid w:val="001B508F"/>
    <w:rsid w:val="001B7B58"/>
    <w:rsid w:val="001C7C07"/>
    <w:rsid w:val="001D5222"/>
    <w:rsid w:val="001D7A5D"/>
    <w:rsid w:val="001E2BC5"/>
    <w:rsid w:val="001E5E64"/>
    <w:rsid w:val="001E7F7C"/>
    <w:rsid w:val="001F2572"/>
    <w:rsid w:val="001F5B62"/>
    <w:rsid w:val="002011F7"/>
    <w:rsid w:val="002118DC"/>
    <w:rsid w:val="00214C8F"/>
    <w:rsid w:val="002278FB"/>
    <w:rsid w:val="00232813"/>
    <w:rsid w:val="00234237"/>
    <w:rsid w:val="00234D03"/>
    <w:rsid w:val="00250E05"/>
    <w:rsid w:val="00251EF8"/>
    <w:rsid w:val="002525E9"/>
    <w:rsid w:val="0025271B"/>
    <w:rsid w:val="00255B4A"/>
    <w:rsid w:val="00256250"/>
    <w:rsid w:val="002650F9"/>
    <w:rsid w:val="00267056"/>
    <w:rsid w:val="002739C7"/>
    <w:rsid w:val="00273BE7"/>
    <w:rsid w:val="00273D9E"/>
    <w:rsid w:val="0028148B"/>
    <w:rsid w:val="00286F7B"/>
    <w:rsid w:val="00287381"/>
    <w:rsid w:val="0029285E"/>
    <w:rsid w:val="00293FBB"/>
    <w:rsid w:val="00295236"/>
    <w:rsid w:val="002A15B6"/>
    <w:rsid w:val="002B0AD4"/>
    <w:rsid w:val="002B75F5"/>
    <w:rsid w:val="002C1C3B"/>
    <w:rsid w:val="002C23DD"/>
    <w:rsid w:val="002C3AD1"/>
    <w:rsid w:val="002D15D1"/>
    <w:rsid w:val="002D3753"/>
    <w:rsid w:val="002F1B04"/>
    <w:rsid w:val="002F4C46"/>
    <w:rsid w:val="002F6EAD"/>
    <w:rsid w:val="002F7992"/>
    <w:rsid w:val="00307607"/>
    <w:rsid w:val="00307EC1"/>
    <w:rsid w:val="0031032E"/>
    <w:rsid w:val="00310D3C"/>
    <w:rsid w:val="003131C3"/>
    <w:rsid w:val="0031371B"/>
    <w:rsid w:val="00320D9D"/>
    <w:rsid w:val="00320EA7"/>
    <w:rsid w:val="00327CE4"/>
    <w:rsid w:val="00336191"/>
    <w:rsid w:val="00340A0E"/>
    <w:rsid w:val="003413FD"/>
    <w:rsid w:val="003508D5"/>
    <w:rsid w:val="003524BC"/>
    <w:rsid w:val="0035572A"/>
    <w:rsid w:val="00362CD0"/>
    <w:rsid w:val="00363384"/>
    <w:rsid w:val="0037038A"/>
    <w:rsid w:val="003722F1"/>
    <w:rsid w:val="0037245D"/>
    <w:rsid w:val="00376EB2"/>
    <w:rsid w:val="0038034C"/>
    <w:rsid w:val="00386F86"/>
    <w:rsid w:val="00395B54"/>
    <w:rsid w:val="00397642"/>
    <w:rsid w:val="00397810"/>
    <w:rsid w:val="003A2EB2"/>
    <w:rsid w:val="003B13A4"/>
    <w:rsid w:val="003B1629"/>
    <w:rsid w:val="003C0892"/>
    <w:rsid w:val="003C7038"/>
    <w:rsid w:val="003D2270"/>
    <w:rsid w:val="003D2A88"/>
    <w:rsid w:val="003D2F73"/>
    <w:rsid w:val="003D40E0"/>
    <w:rsid w:val="003F2A5A"/>
    <w:rsid w:val="003F4599"/>
    <w:rsid w:val="003F6D0B"/>
    <w:rsid w:val="00400B90"/>
    <w:rsid w:val="0040142B"/>
    <w:rsid w:val="00404723"/>
    <w:rsid w:val="00404E52"/>
    <w:rsid w:val="004106EC"/>
    <w:rsid w:val="00411262"/>
    <w:rsid w:val="00415FC4"/>
    <w:rsid w:val="00420071"/>
    <w:rsid w:val="0042182D"/>
    <w:rsid w:val="00425BB1"/>
    <w:rsid w:val="00432964"/>
    <w:rsid w:val="00433835"/>
    <w:rsid w:val="00444192"/>
    <w:rsid w:val="0046343B"/>
    <w:rsid w:val="00467B9C"/>
    <w:rsid w:val="00470346"/>
    <w:rsid w:val="00472F77"/>
    <w:rsid w:val="00473F91"/>
    <w:rsid w:val="00477ED0"/>
    <w:rsid w:val="00482D5D"/>
    <w:rsid w:val="004859A7"/>
    <w:rsid w:val="00493063"/>
    <w:rsid w:val="00495655"/>
    <w:rsid w:val="004A58CB"/>
    <w:rsid w:val="004B500C"/>
    <w:rsid w:val="004C3E41"/>
    <w:rsid w:val="004C3E8B"/>
    <w:rsid w:val="004C6956"/>
    <w:rsid w:val="004D2CEA"/>
    <w:rsid w:val="004D4156"/>
    <w:rsid w:val="004D614E"/>
    <w:rsid w:val="004E25DD"/>
    <w:rsid w:val="004E4CBB"/>
    <w:rsid w:val="004E513B"/>
    <w:rsid w:val="004F5C3F"/>
    <w:rsid w:val="0050473B"/>
    <w:rsid w:val="00504DF9"/>
    <w:rsid w:val="00505552"/>
    <w:rsid w:val="00507071"/>
    <w:rsid w:val="00510286"/>
    <w:rsid w:val="00524D04"/>
    <w:rsid w:val="00534D66"/>
    <w:rsid w:val="0054404C"/>
    <w:rsid w:val="0055252E"/>
    <w:rsid w:val="00557159"/>
    <w:rsid w:val="00572A6D"/>
    <w:rsid w:val="00582D78"/>
    <w:rsid w:val="00584526"/>
    <w:rsid w:val="00584D8F"/>
    <w:rsid w:val="00587DAB"/>
    <w:rsid w:val="00590DC4"/>
    <w:rsid w:val="005917EA"/>
    <w:rsid w:val="005953E9"/>
    <w:rsid w:val="005A09AB"/>
    <w:rsid w:val="005A0CBE"/>
    <w:rsid w:val="005A17E4"/>
    <w:rsid w:val="005A3CFE"/>
    <w:rsid w:val="005A4D77"/>
    <w:rsid w:val="005B17EF"/>
    <w:rsid w:val="005B3D04"/>
    <w:rsid w:val="005B628F"/>
    <w:rsid w:val="005C19C5"/>
    <w:rsid w:val="005C6678"/>
    <w:rsid w:val="005D087C"/>
    <w:rsid w:val="005D20DD"/>
    <w:rsid w:val="005E4F20"/>
    <w:rsid w:val="005E5F7A"/>
    <w:rsid w:val="005E777B"/>
    <w:rsid w:val="005F2C62"/>
    <w:rsid w:val="005F3897"/>
    <w:rsid w:val="005F7318"/>
    <w:rsid w:val="006016A0"/>
    <w:rsid w:val="0060291F"/>
    <w:rsid w:val="00605119"/>
    <w:rsid w:val="00606A42"/>
    <w:rsid w:val="00606FCE"/>
    <w:rsid w:val="0061761E"/>
    <w:rsid w:val="006231C8"/>
    <w:rsid w:val="00623855"/>
    <w:rsid w:val="00626FB3"/>
    <w:rsid w:val="0063129A"/>
    <w:rsid w:val="006323B5"/>
    <w:rsid w:val="00642382"/>
    <w:rsid w:val="00643F90"/>
    <w:rsid w:val="0064637F"/>
    <w:rsid w:val="00653A71"/>
    <w:rsid w:val="00655835"/>
    <w:rsid w:val="00667FB5"/>
    <w:rsid w:val="00672C00"/>
    <w:rsid w:val="006772C6"/>
    <w:rsid w:val="006806C5"/>
    <w:rsid w:val="006863C2"/>
    <w:rsid w:val="00686E4C"/>
    <w:rsid w:val="00690528"/>
    <w:rsid w:val="0069619A"/>
    <w:rsid w:val="006A2E11"/>
    <w:rsid w:val="006A3184"/>
    <w:rsid w:val="006B56A8"/>
    <w:rsid w:val="006C1453"/>
    <w:rsid w:val="006C2985"/>
    <w:rsid w:val="006E3B82"/>
    <w:rsid w:val="006E7372"/>
    <w:rsid w:val="006F32A2"/>
    <w:rsid w:val="006F438E"/>
    <w:rsid w:val="00701E34"/>
    <w:rsid w:val="007118F2"/>
    <w:rsid w:val="00713A75"/>
    <w:rsid w:val="00723BAF"/>
    <w:rsid w:val="00733488"/>
    <w:rsid w:val="00735F4D"/>
    <w:rsid w:val="00746249"/>
    <w:rsid w:val="00751592"/>
    <w:rsid w:val="00756A97"/>
    <w:rsid w:val="00757362"/>
    <w:rsid w:val="0076183F"/>
    <w:rsid w:val="00770B3F"/>
    <w:rsid w:val="00771A91"/>
    <w:rsid w:val="00773213"/>
    <w:rsid w:val="00785284"/>
    <w:rsid w:val="0079430A"/>
    <w:rsid w:val="00794C8B"/>
    <w:rsid w:val="00795940"/>
    <w:rsid w:val="007A0F7D"/>
    <w:rsid w:val="007A4905"/>
    <w:rsid w:val="007B196F"/>
    <w:rsid w:val="007C39F3"/>
    <w:rsid w:val="007C7447"/>
    <w:rsid w:val="007C7D09"/>
    <w:rsid w:val="007D21B4"/>
    <w:rsid w:val="007D365E"/>
    <w:rsid w:val="007E1F58"/>
    <w:rsid w:val="007F2176"/>
    <w:rsid w:val="00806573"/>
    <w:rsid w:val="00814484"/>
    <w:rsid w:val="008160A1"/>
    <w:rsid w:val="00816C5E"/>
    <w:rsid w:val="00816CED"/>
    <w:rsid w:val="00821685"/>
    <w:rsid w:val="00827C6C"/>
    <w:rsid w:val="00836E8C"/>
    <w:rsid w:val="00837234"/>
    <w:rsid w:val="00844445"/>
    <w:rsid w:val="008453D5"/>
    <w:rsid w:val="00857E84"/>
    <w:rsid w:val="00873293"/>
    <w:rsid w:val="00875E95"/>
    <w:rsid w:val="008914C8"/>
    <w:rsid w:val="00894406"/>
    <w:rsid w:val="008A120E"/>
    <w:rsid w:val="008A4990"/>
    <w:rsid w:val="008B1DD6"/>
    <w:rsid w:val="008B4886"/>
    <w:rsid w:val="008C04C9"/>
    <w:rsid w:val="008C08B0"/>
    <w:rsid w:val="008C4D32"/>
    <w:rsid w:val="008C6B72"/>
    <w:rsid w:val="008C7588"/>
    <w:rsid w:val="008D2B96"/>
    <w:rsid w:val="008D3726"/>
    <w:rsid w:val="008D4C0E"/>
    <w:rsid w:val="008E245B"/>
    <w:rsid w:val="008F57E8"/>
    <w:rsid w:val="008F5F3A"/>
    <w:rsid w:val="00900BAF"/>
    <w:rsid w:val="009108F5"/>
    <w:rsid w:val="0091400E"/>
    <w:rsid w:val="009157EF"/>
    <w:rsid w:val="009224F5"/>
    <w:rsid w:val="00924412"/>
    <w:rsid w:val="0092574C"/>
    <w:rsid w:val="00931FBB"/>
    <w:rsid w:val="0093710F"/>
    <w:rsid w:val="00941808"/>
    <w:rsid w:val="00942951"/>
    <w:rsid w:val="009457DF"/>
    <w:rsid w:val="0095035C"/>
    <w:rsid w:val="009553B1"/>
    <w:rsid w:val="0096018C"/>
    <w:rsid w:val="009619FA"/>
    <w:rsid w:val="00966C22"/>
    <w:rsid w:val="009678BF"/>
    <w:rsid w:val="00970A2C"/>
    <w:rsid w:val="009776A7"/>
    <w:rsid w:val="00980694"/>
    <w:rsid w:val="009868C0"/>
    <w:rsid w:val="00991961"/>
    <w:rsid w:val="00992B3B"/>
    <w:rsid w:val="00997F1B"/>
    <w:rsid w:val="009C06A4"/>
    <w:rsid w:val="009C63B1"/>
    <w:rsid w:val="009D70F9"/>
    <w:rsid w:val="009E0B46"/>
    <w:rsid w:val="009E3D68"/>
    <w:rsid w:val="009E7028"/>
    <w:rsid w:val="009F146E"/>
    <w:rsid w:val="00A03AA1"/>
    <w:rsid w:val="00A04996"/>
    <w:rsid w:val="00A05042"/>
    <w:rsid w:val="00A10F5B"/>
    <w:rsid w:val="00A16F6F"/>
    <w:rsid w:val="00A208B6"/>
    <w:rsid w:val="00A31B20"/>
    <w:rsid w:val="00A32B73"/>
    <w:rsid w:val="00A32ED1"/>
    <w:rsid w:val="00A34246"/>
    <w:rsid w:val="00A37775"/>
    <w:rsid w:val="00A40825"/>
    <w:rsid w:val="00A41A06"/>
    <w:rsid w:val="00A56101"/>
    <w:rsid w:val="00A57863"/>
    <w:rsid w:val="00A6487E"/>
    <w:rsid w:val="00A70EC0"/>
    <w:rsid w:val="00A71BFD"/>
    <w:rsid w:val="00A76F0C"/>
    <w:rsid w:val="00A878CB"/>
    <w:rsid w:val="00A9266A"/>
    <w:rsid w:val="00A97143"/>
    <w:rsid w:val="00A97D76"/>
    <w:rsid w:val="00AA5E76"/>
    <w:rsid w:val="00AB03BB"/>
    <w:rsid w:val="00AB45D6"/>
    <w:rsid w:val="00AC31A6"/>
    <w:rsid w:val="00AD237A"/>
    <w:rsid w:val="00AD445E"/>
    <w:rsid w:val="00AD4B08"/>
    <w:rsid w:val="00AE00B6"/>
    <w:rsid w:val="00AE3EE3"/>
    <w:rsid w:val="00AF459F"/>
    <w:rsid w:val="00AF6EE4"/>
    <w:rsid w:val="00B07508"/>
    <w:rsid w:val="00B12278"/>
    <w:rsid w:val="00B27C19"/>
    <w:rsid w:val="00B32D65"/>
    <w:rsid w:val="00B36A53"/>
    <w:rsid w:val="00B4298C"/>
    <w:rsid w:val="00B446BA"/>
    <w:rsid w:val="00B47853"/>
    <w:rsid w:val="00B559B0"/>
    <w:rsid w:val="00B57667"/>
    <w:rsid w:val="00B5772A"/>
    <w:rsid w:val="00B577E9"/>
    <w:rsid w:val="00B61BCB"/>
    <w:rsid w:val="00B67838"/>
    <w:rsid w:val="00B703A5"/>
    <w:rsid w:val="00B70645"/>
    <w:rsid w:val="00B739CF"/>
    <w:rsid w:val="00B73AED"/>
    <w:rsid w:val="00B855F5"/>
    <w:rsid w:val="00B8596B"/>
    <w:rsid w:val="00B86144"/>
    <w:rsid w:val="00B87C18"/>
    <w:rsid w:val="00B922C8"/>
    <w:rsid w:val="00B948F2"/>
    <w:rsid w:val="00B95F5D"/>
    <w:rsid w:val="00BB20B3"/>
    <w:rsid w:val="00BB3108"/>
    <w:rsid w:val="00BE0789"/>
    <w:rsid w:val="00BE20BB"/>
    <w:rsid w:val="00BE277C"/>
    <w:rsid w:val="00BE54C4"/>
    <w:rsid w:val="00BE5D9C"/>
    <w:rsid w:val="00BF1133"/>
    <w:rsid w:val="00C001F3"/>
    <w:rsid w:val="00C104B8"/>
    <w:rsid w:val="00C1636B"/>
    <w:rsid w:val="00C207C2"/>
    <w:rsid w:val="00C32714"/>
    <w:rsid w:val="00C33D74"/>
    <w:rsid w:val="00C36F53"/>
    <w:rsid w:val="00C37AAB"/>
    <w:rsid w:val="00C40B1A"/>
    <w:rsid w:val="00C42788"/>
    <w:rsid w:val="00C45615"/>
    <w:rsid w:val="00C47614"/>
    <w:rsid w:val="00C5254A"/>
    <w:rsid w:val="00C52F40"/>
    <w:rsid w:val="00C531CC"/>
    <w:rsid w:val="00C55E93"/>
    <w:rsid w:val="00C56171"/>
    <w:rsid w:val="00C70DF2"/>
    <w:rsid w:val="00C7174C"/>
    <w:rsid w:val="00C81D65"/>
    <w:rsid w:val="00C860DF"/>
    <w:rsid w:val="00C9008E"/>
    <w:rsid w:val="00C91519"/>
    <w:rsid w:val="00C9168C"/>
    <w:rsid w:val="00C91FD9"/>
    <w:rsid w:val="00C951AA"/>
    <w:rsid w:val="00CA10F7"/>
    <w:rsid w:val="00CB165C"/>
    <w:rsid w:val="00CB7240"/>
    <w:rsid w:val="00CC092E"/>
    <w:rsid w:val="00CC43F0"/>
    <w:rsid w:val="00CC4FD6"/>
    <w:rsid w:val="00CC6538"/>
    <w:rsid w:val="00CC78CC"/>
    <w:rsid w:val="00CD419D"/>
    <w:rsid w:val="00CD45AB"/>
    <w:rsid w:val="00CD5CAD"/>
    <w:rsid w:val="00CD65D6"/>
    <w:rsid w:val="00CD66E0"/>
    <w:rsid w:val="00CE6D72"/>
    <w:rsid w:val="00CF2787"/>
    <w:rsid w:val="00CF6F6C"/>
    <w:rsid w:val="00D0108D"/>
    <w:rsid w:val="00D100A7"/>
    <w:rsid w:val="00D12BD7"/>
    <w:rsid w:val="00D13CFA"/>
    <w:rsid w:val="00D170E1"/>
    <w:rsid w:val="00D208A4"/>
    <w:rsid w:val="00D327C1"/>
    <w:rsid w:val="00D37CB6"/>
    <w:rsid w:val="00D40C13"/>
    <w:rsid w:val="00D41E36"/>
    <w:rsid w:val="00D516A8"/>
    <w:rsid w:val="00D5622E"/>
    <w:rsid w:val="00D65658"/>
    <w:rsid w:val="00D70F25"/>
    <w:rsid w:val="00D73B7B"/>
    <w:rsid w:val="00D7427C"/>
    <w:rsid w:val="00D76F2A"/>
    <w:rsid w:val="00D84DF8"/>
    <w:rsid w:val="00D90B84"/>
    <w:rsid w:val="00D93D53"/>
    <w:rsid w:val="00D96FB9"/>
    <w:rsid w:val="00DA4962"/>
    <w:rsid w:val="00DA5894"/>
    <w:rsid w:val="00DB1D3C"/>
    <w:rsid w:val="00DD2242"/>
    <w:rsid w:val="00DD27C7"/>
    <w:rsid w:val="00DE31A5"/>
    <w:rsid w:val="00DE7F6D"/>
    <w:rsid w:val="00E0172D"/>
    <w:rsid w:val="00E07C47"/>
    <w:rsid w:val="00E24E41"/>
    <w:rsid w:val="00E32A31"/>
    <w:rsid w:val="00E53347"/>
    <w:rsid w:val="00E53783"/>
    <w:rsid w:val="00E61A61"/>
    <w:rsid w:val="00E64488"/>
    <w:rsid w:val="00E668C5"/>
    <w:rsid w:val="00E73FEF"/>
    <w:rsid w:val="00E803AB"/>
    <w:rsid w:val="00E93DA5"/>
    <w:rsid w:val="00EA3651"/>
    <w:rsid w:val="00EA6288"/>
    <w:rsid w:val="00EB3BA6"/>
    <w:rsid w:val="00EC10E4"/>
    <w:rsid w:val="00EC1ED4"/>
    <w:rsid w:val="00EC28FD"/>
    <w:rsid w:val="00EC386C"/>
    <w:rsid w:val="00ED3AB2"/>
    <w:rsid w:val="00ED53EA"/>
    <w:rsid w:val="00EE02A6"/>
    <w:rsid w:val="00EE16DD"/>
    <w:rsid w:val="00EE26CD"/>
    <w:rsid w:val="00EE7C85"/>
    <w:rsid w:val="00F06B8F"/>
    <w:rsid w:val="00F1256C"/>
    <w:rsid w:val="00F12A90"/>
    <w:rsid w:val="00F142F3"/>
    <w:rsid w:val="00F17FE4"/>
    <w:rsid w:val="00F32FC6"/>
    <w:rsid w:val="00F42E00"/>
    <w:rsid w:val="00F50F83"/>
    <w:rsid w:val="00F51380"/>
    <w:rsid w:val="00F5385A"/>
    <w:rsid w:val="00F60682"/>
    <w:rsid w:val="00F6394E"/>
    <w:rsid w:val="00F66E15"/>
    <w:rsid w:val="00F72090"/>
    <w:rsid w:val="00F73F62"/>
    <w:rsid w:val="00F743F0"/>
    <w:rsid w:val="00F744EC"/>
    <w:rsid w:val="00F74675"/>
    <w:rsid w:val="00F76634"/>
    <w:rsid w:val="00F85D77"/>
    <w:rsid w:val="00F870FA"/>
    <w:rsid w:val="00F87C66"/>
    <w:rsid w:val="00F91B17"/>
    <w:rsid w:val="00F93AD8"/>
    <w:rsid w:val="00F9738B"/>
    <w:rsid w:val="00FA56AE"/>
    <w:rsid w:val="00FB28D9"/>
    <w:rsid w:val="00FB28F5"/>
    <w:rsid w:val="00FB4A0F"/>
    <w:rsid w:val="00FC12C0"/>
    <w:rsid w:val="00FC19DF"/>
    <w:rsid w:val="00FC2937"/>
    <w:rsid w:val="00FC55FE"/>
    <w:rsid w:val="00FD225E"/>
    <w:rsid w:val="00FE33A1"/>
    <w:rsid w:val="00FE6D51"/>
    <w:rsid w:val="00FE6ED9"/>
    <w:rsid w:val="00FF291F"/>
    <w:rsid w:val="00FF4F78"/>
    <w:rsid w:val="15152076"/>
    <w:rsid w:val="2F064DB0"/>
    <w:rsid w:val="32242D99"/>
    <w:rsid w:val="467F0394"/>
    <w:rsid w:val="4CF7225E"/>
    <w:rsid w:val="5DAA5DDE"/>
    <w:rsid w:val="5E151E13"/>
    <w:rsid w:val="685428D3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16431"/>
  <w15:docId w15:val="{BF1ED178-969C-466B-9CBC-26044D9E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619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24"/>
      <w:szCs w:val="4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customStyle="1" w:styleId="11">
    <w:name w:val="修订1"/>
    <w:hidden/>
    <w:uiPriority w:val="99"/>
    <w:unhideWhenUsed/>
    <w:qFormat/>
    <w:rPr>
      <w:kern w:val="2"/>
      <w:sz w:val="21"/>
      <w:szCs w:val="22"/>
    </w:rPr>
  </w:style>
  <w:style w:type="paragraph" w:styleId="af0">
    <w:name w:val="Revision"/>
    <w:hidden/>
    <w:uiPriority w:val="99"/>
    <w:unhideWhenUsed/>
    <w:rsid w:val="00A34246"/>
    <w:rPr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rsid w:val="009619FA"/>
    <w:rPr>
      <w:rFonts w:asciiTheme="majorHAnsi" w:eastAsiaTheme="majorEastAsia" w:hAnsiTheme="majorHAnsi" w:cstheme="majorBidi"/>
      <w:color w:val="2E74B5" w:themeColor="accent1" w:themeShade="BF"/>
      <w:kern w:val="2"/>
      <w:sz w:val="24"/>
      <w:szCs w:val="4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B10F5-BFF1-496E-96CE-F79E3F307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张 敏</cp:lastModifiedBy>
  <cp:revision>4</cp:revision>
  <dcterms:created xsi:type="dcterms:W3CDTF">2024-07-19T02:57:00Z</dcterms:created>
  <dcterms:modified xsi:type="dcterms:W3CDTF">2024-07-19T03:02:00Z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F6C8F040739343B49219B793230B291A_12</vt:lpwstr>
  </property>
</Properties>
</file>