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F3E" w:rsidRDefault="005322C9" w:rsidP="008C10E9">
      <w:pPr>
        <w:spacing w:beforeLines="50" w:afterLines="50" w:line="400" w:lineRule="exact"/>
        <w:rPr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bCs/>
          <w:iCs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600717                             </w:t>
      </w:r>
      <w:r>
        <w:rPr>
          <w:rFonts w:hAnsi="宋体"/>
          <w:bCs/>
          <w:iCs/>
          <w:color w:val="000000"/>
          <w:sz w:val="24"/>
        </w:rPr>
        <w:t>证券简称：</w:t>
      </w:r>
      <w:r>
        <w:rPr>
          <w:color w:val="000000"/>
          <w:sz w:val="24"/>
        </w:rPr>
        <w:t>天津港</w:t>
      </w:r>
    </w:p>
    <w:p w:rsidR="006F0F3E" w:rsidRDefault="005322C9" w:rsidP="008C10E9">
      <w:pPr>
        <w:spacing w:beforeLines="50" w:afterLines="50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/>
          <w:b/>
          <w:bCs/>
          <w:iCs/>
          <w:color w:val="000000"/>
          <w:sz w:val="32"/>
          <w:szCs w:val="32"/>
        </w:rPr>
        <w:t>天津港股份有限公司</w:t>
      </w: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:rsidR="006F0F3E" w:rsidRDefault="005322C9">
      <w:pPr>
        <w:spacing w:line="400" w:lineRule="exact"/>
        <w:rPr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    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08"/>
        <w:gridCol w:w="6847"/>
      </w:tblGrid>
      <w:tr w:rsidR="006F0F3E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3E" w:rsidRDefault="005322C9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  <w:p w:rsidR="006F0F3E" w:rsidRDefault="006F0F3E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3E" w:rsidRDefault="00EE0E5B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 w:rsidR="005322C9">
              <w:rPr>
                <w:rFonts w:hAnsi="宋体"/>
                <w:kern w:val="0"/>
                <w:sz w:val="24"/>
              </w:rPr>
              <w:t>特定对象调研</w:t>
            </w:r>
            <w:r w:rsidR="005322C9">
              <w:rPr>
                <w:kern w:val="0"/>
                <w:sz w:val="24"/>
              </w:rPr>
              <w:t xml:space="preserve">       </w:t>
            </w:r>
            <w:r w:rsidR="005322C9">
              <w:rPr>
                <w:rFonts w:hint="eastAsia"/>
                <w:kern w:val="0"/>
                <w:sz w:val="24"/>
              </w:rPr>
              <w:t xml:space="preserve"> </w:t>
            </w:r>
            <w:r w:rsidR="005322C9">
              <w:rPr>
                <w:kern w:val="0"/>
                <w:sz w:val="24"/>
              </w:rPr>
              <w:t xml:space="preserve"> </w:t>
            </w:r>
            <w:r w:rsidR="005322C9">
              <w:rPr>
                <w:bCs/>
                <w:iCs/>
                <w:color w:val="000000"/>
                <w:kern w:val="0"/>
                <w:sz w:val="24"/>
              </w:rPr>
              <w:t>□</w:t>
            </w:r>
            <w:r w:rsidR="005322C9"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="005322C9">
              <w:rPr>
                <w:rFonts w:hAnsi="宋体"/>
                <w:kern w:val="0"/>
                <w:sz w:val="24"/>
              </w:rPr>
              <w:t>分析师会议</w:t>
            </w:r>
          </w:p>
          <w:p w:rsidR="006F0F3E" w:rsidRDefault="005322C9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媒体采访</w:t>
            </w:r>
            <w:r>
              <w:rPr>
                <w:kern w:val="0"/>
                <w:sz w:val="24"/>
              </w:rPr>
              <w:t xml:space="preserve">  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业绩说明会</w:t>
            </w:r>
          </w:p>
          <w:p w:rsidR="006F0F3E" w:rsidRDefault="005322C9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新闻发布会</w:t>
            </w:r>
            <w:r>
              <w:rPr>
                <w:kern w:val="0"/>
                <w:sz w:val="24"/>
              </w:rPr>
              <w:t xml:space="preserve">          </w:t>
            </w:r>
            <w:r w:rsidR="00EE0E5B">
              <w:rPr>
                <w:rFonts w:hint="eastAsia"/>
                <w:bCs/>
                <w:iCs/>
                <w:color w:val="000000"/>
                <w:kern w:val="0"/>
                <w:sz w:val="24"/>
              </w:rPr>
              <w:t>☑</w:t>
            </w:r>
            <w:r>
              <w:rPr>
                <w:rFonts w:hAnsi="宋体"/>
                <w:kern w:val="0"/>
                <w:sz w:val="24"/>
              </w:rPr>
              <w:t>路演活动</w:t>
            </w:r>
          </w:p>
          <w:p w:rsidR="006F0F3E" w:rsidRDefault="005322C9">
            <w:pPr>
              <w:tabs>
                <w:tab w:val="left" w:pos="3045"/>
                <w:tab w:val="center" w:pos="3199"/>
              </w:tabs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现场参观</w:t>
            </w:r>
            <w:r>
              <w:rPr>
                <w:bCs/>
                <w:iCs/>
                <w:color w:val="000000"/>
                <w:kern w:val="0"/>
                <w:sz w:val="24"/>
              </w:rPr>
              <w:tab/>
            </w:r>
          </w:p>
          <w:p w:rsidR="006F0F3E" w:rsidRDefault="005322C9">
            <w:pPr>
              <w:tabs>
                <w:tab w:val="center" w:pos="3199"/>
              </w:tabs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其他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（</w:t>
            </w:r>
            <w:proofErr w:type="gramStart"/>
            <w:r>
              <w:rPr>
                <w:rFonts w:hAnsi="宋体"/>
                <w:kern w:val="0"/>
                <w:sz w:val="24"/>
                <w:u w:val="single"/>
              </w:rPr>
              <w:t>请文字</w:t>
            </w:r>
            <w:proofErr w:type="gramEnd"/>
            <w:r>
              <w:rPr>
                <w:rFonts w:hAnsi="宋体"/>
                <w:kern w:val="0"/>
                <w:sz w:val="24"/>
                <w:u w:val="single"/>
              </w:rPr>
              <w:t>说明其他活动内容）</w:t>
            </w:r>
          </w:p>
        </w:tc>
      </w:tr>
      <w:tr w:rsidR="006F0F3E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3E" w:rsidRDefault="005322C9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3E" w:rsidRDefault="005322C9" w:rsidP="008C10E9">
            <w:pPr>
              <w:spacing w:beforeLines="50" w:afterLines="50"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4</w:t>
            </w:r>
            <w:r>
              <w:rPr>
                <w:bCs/>
                <w:iCs/>
                <w:color w:val="000000"/>
                <w:sz w:val="24"/>
              </w:rPr>
              <w:t>年</w:t>
            </w:r>
            <w:r w:rsidR="00EE0E5B">
              <w:rPr>
                <w:rFonts w:hint="eastAsia"/>
                <w:bCs/>
                <w:iCs/>
                <w:color w:val="000000"/>
                <w:sz w:val="24"/>
              </w:rPr>
              <w:t>7</w:t>
            </w:r>
            <w:r>
              <w:rPr>
                <w:bCs/>
                <w:iCs/>
                <w:color w:val="000000"/>
                <w:sz w:val="24"/>
              </w:rPr>
              <w:t>月</w:t>
            </w:r>
            <w:r w:rsidR="00EE0E5B">
              <w:rPr>
                <w:rFonts w:hint="eastAsia"/>
                <w:bCs/>
                <w:iCs/>
                <w:color w:val="000000"/>
                <w:sz w:val="24"/>
              </w:rPr>
              <w:t>16</w:t>
            </w:r>
            <w:r>
              <w:rPr>
                <w:bCs/>
                <w:iCs/>
                <w:color w:val="000000"/>
                <w:sz w:val="24"/>
              </w:rPr>
              <w:t>日</w:t>
            </w:r>
            <w:r>
              <w:rPr>
                <w:bCs/>
                <w:iCs/>
                <w:color w:val="000000"/>
                <w:sz w:val="24"/>
              </w:rPr>
              <w:t xml:space="preserve"> (</w:t>
            </w:r>
            <w:r>
              <w:rPr>
                <w:bCs/>
                <w:iCs/>
                <w:color w:val="000000"/>
                <w:sz w:val="24"/>
              </w:rPr>
              <w:t>周</w:t>
            </w:r>
            <w:r w:rsidR="00EE0E5B">
              <w:rPr>
                <w:rFonts w:hint="eastAsia"/>
                <w:bCs/>
                <w:iCs/>
                <w:color w:val="000000"/>
                <w:sz w:val="24"/>
              </w:rPr>
              <w:t>二</w:t>
            </w:r>
            <w:r>
              <w:rPr>
                <w:bCs/>
                <w:iCs/>
                <w:color w:val="000000"/>
                <w:sz w:val="24"/>
              </w:rPr>
              <w:t>) 1</w:t>
            </w:r>
            <w:r w:rsidR="00EE0E5B">
              <w:rPr>
                <w:rFonts w:hint="eastAsia"/>
                <w:bCs/>
                <w:iCs/>
                <w:color w:val="000000"/>
                <w:sz w:val="24"/>
              </w:rPr>
              <w:t>3</w:t>
            </w:r>
            <w:r>
              <w:rPr>
                <w:bCs/>
                <w:iCs/>
                <w:color w:val="000000"/>
                <w:sz w:val="24"/>
              </w:rPr>
              <w:t>:</w:t>
            </w:r>
            <w:r w:rsidR="00EE0E5B">
              <w:rPr>
                <w:rFonts w:hint="eastAsia"/>
                <w:bCs/>
                <w:iCs/>
                <w:color w:val="000000"/>
                <w:sz w:val="24"/>
              </w:rPr>
              <w:t>3</w:t>
            </w:r>
            <w:r>
              <w:rPr>
                <w:bCs/>
                <w:iCs/>
                <w:color w:val="000000"/>
                <w:sz w:val="24"/>
              </w:rPr>
              <w:t>0~1</w:t>
            </w:r>
            <w:r w:rsidR="00EE0E5B">
              <w:rPr>
                <w:rFonts w:hint="eastAsia"/>
                <w:bCs/>
                <w:iCs/>
                <w:color w:val="000000"/>
                <w:sz w:val="24"/>
              </w:rPr>
              <w:t>4</w:t>
            </w:r>
            <w:r>
              <w:rPr>
                <w:bCs/>
                <w:iCs/>
                <w:color w:val="000000"/>
                <w:sz w:val="24"/>
              </w:rPr>
              <w:t>:</w:t>
            </w:r>
            <w:r w:rsidR="0065022D">
              <w:rPr>
                <w:rFonts w:hint="eastAsia"/>
                <w:bCs/>
                <w:iCs/>
                <w:color w:val="000000"/>
                <w:sz w:val="24"/>
              </w:rPr>
              <w:t>3</w:t>
            </w:r>
            <w:r>
              <w:rPr>
                <w:bCs/>
                <w:iCs/>
                <w:color w:val="000000"/>
                <w:sz w:val="24"/>
              </w:rPr>
              <w:t>0</w:t>
            </w:r>
          </w:p>
        </w:tc>
      </w:tr>
      <w:tr w:rsidR="006F0F3E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3E" w:rsidRDefault="005322C9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3E" w:rsidRDefault="00EE0E5B" w:rsidP="008C10E9">
            <w:pPr>
              <w:spacing w:beforeLines="50" w:afterLines="50"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上海</w:t>
            </w:r>
          </w:p>
        </w:tc>
      </w:tr>
      <w:tr w:rsidR="006F0F3E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3E" w:rsidRDefault="005322C9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3E" w:rsidRDefault="005322C9" w:rsidP="008C10E9">
            <w:pPr>
              <w:adjustRightInd w:val="0"/>
              <w:snapToGrid w:val="0"/>
              <w:spacing w:beforeLines="50"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1、董事会秘书：郭小薇</w:t>
            </w:r>
          </w:p>
          <w:p w:rsidR="006F0F3E" w:rsidRDefault="005322C9" w:rsidP="008C10E9">
            <w:pPr>
              <w:adjustRightInd w:val="0"/>
              <w:snapToGrid w:val="0"/>
              <w:spacing w:beforeLines="50"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2、资本运作管理经理：张伟</w:t>
            </w:r>
          </w:p>
        </w:tc>
      </w:tr>
      <w:tr w:rsidR="006F0F3E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3E" w:rsidRDefault="005322C9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 w:rsidR="006F0F3E" w:rsidRDefault="006F0F3E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3E" w:rsidRDefault="00F278C6" w:rsidP="008C10E9">
            <w:pPr>
              <w:spacing w:beforeLines="50" w:line="460" w:lineRule="exact"/>
              <w:ind w:firstLineChars="249" w:firstLine="6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参加华创证券组织的线下路</w:t>
            </w:r>
            <w:proofErr w:type="gramStart"/>
            <w:r>
              <w:rPr>
                <w:rFonts w:ascii="宋体" w:hAnsi="宋体" w:hint="eastAsia"/>
                <w:b/>
                <w:sz w:val="24"/>
              </w:rPr>
              <w:t>演交流</w:t>
            </w:r>
            <w:proofErr w:type="gramEnd"/>
            <w:r>
              <w:rPr>
                <w:rFonts w:ascii="宋体" w:hAnsi="宋体" w:hint="eastAsia"/>
                <w:b/>
                <w:sz w:val="24"/>
              </w:rPr>
              <w:t>活动，参与机构包括华创</w:t>
            </w:r>
            <w:proofErr w:type="gramStart"/>
            <w:r w:rsidR="005322C9">
              <w:rPr>
                <w:rFonts w:ascii="宋体" w:hAnsi="宋体" w:hint="eastAsia"/>
                <w:b/>
                <w:sz w:val="24"/>
              </w:rPr>
              <w:t>证券</w:t>
            </w:r>
            <w:r>
              <w:rPr>
                <w:rFonts w:ascii="宋体" w:hAnsi="宋体" w:hint="eastAsia"/>
                <w:b/>
                <w:sz w:val="24"/>
              </w:rPr>
              <w:t>吴一凡</w:t>
            </w:r>
            <w:proofErr w:type="gramEnd"/>
            <w:r>
              <w:rPr>
                <w:rFonts w:ascii="宋体" w:hAnsi="宋体" w:hint="eastAsia"/>
                <w:b/>
                <w:sz w:val="24"/>
              </w:rPr>
              <w:t>等在内的20余家机构及相关人员，参与机构</w:t>
            </w:r>
            <w:r w:rsidR="005322C9">
              <w:rPr>
                <w:rFonts w:ascii="宋体" w:hAnsi="宋体" w:hint="eastAsia"/>
                <w:b/>
                <w:sz w:val="24"/>
              </w:rPr>
              <w:t>提出的问题及公司回复情况</w:t>
            </w:r>
          </w:p>
          <w:p w:rsidR="00C75022" w:rsidRDefault="005322C9" w:rsidP="00C75022">
            <w:pPr>
              <w:pStyle w:val="Style6"/>
            </w:pPr>
            <w:r>
              <w:t>1</w:t>
            </w:r>
            <w:r w:rsidR="00BE1E38">
              <w:rPr>
                <w:rFonts w:hint="eastAsia"/>
              </w:rPr>
              <w:t>.</w:t>
            </w:r>
            <w:r w:rsidR="00C75022">
              <w:rPr>
                <w:rFonts w:hint="eastAsia"/>
              </w:rPr>
              <w:t>公司经营业绩情况</w:t>
            </w:r>
          </w:p>
          <w:p w:rsidR="00C75022" w:rsidRDefault="00C75022" w:rsidP="00C75022">
            <w:pPr>
              <w:pStyle w:val="Style6"/>
            </w:pPr>
            <w:r>
              <w:rPr>
                <w:rFonts w:hint="eastAsia"/>
              </w:rPr>
              <w:t>2023年度，公司实现营业收入117.04亿元，同比增长8.15%；</w:t>
            </w:r>
            <w:r w:rsidR="00551A5E">
              <w:rPr>
                <w:rFonts w:hint="eastAsia"/>
              </w:rPr>
              <w:t>利润总额17.61亿元，同比增长17.94%；</w:t>
            </w:r>
            <w:r>
              <w:rPr>
                <w:rFonts w:hint="eastAsia"/>
              </w:rPr>
              <w:t>实现归属于上市公司股东的净利润9.82亿元，同比增长32.6%；归属上市公司股东的扣除非经常性损益的净利润为9.47亿元，同比增长51.18%。</w:t>
            </w:r>
          </w:p>
          <w:p w:rsidR="00C75022" w:rsidRDefault="00C75022" w:rsidP="00C75022">
            <w:pPr>
              <w:pStyle w:val="Style6"/>
            </w:pPr>
            <w:r>
              <w:rPr>
                <w:rFonts w:hint="eastAsia"/>
              </w:rPr>
              <w:t>2024年，公司经营计划为：实现营业收入110亿元，利润总额17.8亿元。</w:t>
            </w:r>
          </w:p>
          <w:p w:rsidR="00C75022" w:rsidRDefault="00C75022" w:rsidP="00C75022">
            <w:pPr>
              <w:pStyle w:val="Style6"/>
            </w:pPr>
            <w:r>
              <w:rPr>
                <w:rFonts w:hint="eastAsia"/>
              </w:rPr>
              <w:t>2024年第一季度，公司实现营业收入27.88亿元，同比增长4.66%；</w:t>
            </w:r>
            <w:r w:rsidR="00551A5E">
              <w:rPr>
                <w:rFonts w:hint="eastAsia"/>
              </w:rPr>
              <w:t>利润总额5.33亿元，同比增长7%；</w:t>
            </w:r>
            <w:proofErr w:type="gramStart"/>
            <w:r>
              <w:rPr>
                <w:rFonts w:hint="eastAsia"/>
              </w:rPr>
              <w:t>归母净利润</w:t>
            </w:r>
            <w:proofErr w:type="gramEnd"/>
            <w:r>
              <w:rPr>
                <w:rFonts w:hint="eastAsia"/>
              </w:rPr>
              <w:t>3.06亿元，同比增长9.14%；</w:t>
            </w:r>
            <w:proofErr w:type="gramStart"/>
            <w:r>
              <w:rPr>
                <w:rFonts w:hint="eastAsia"/>
              </w:rPr>
              <w:t>扣非后归母净利润</w:t>
            </w:r>
            <w:proofErr w:type="gramEnd"/>
            <w:r>
              <w:rPr>
                <w:rFonts w:hint="eastAsia"/>
              </w:rPr>
              <w:t>3.05亿元，同比增长11.29%，</w:t>
            </w:r>
            <w:proofErr w:type="gramStart"/>
            <w:r>
              <w:rPr>
                <w:rFonts w:hint="eastAsia"/>
              </w:rPr>
              <w:t>归母净利润</w:t>
            </w:r>
            <w:proofErr w:type="gramEnd"/>
            <w:r>
              <w:rPr>
                <w:rFonts w:hint="eastAsia"/>
              </w:rPr>
              <w:t>、</w:t>
            </w:r>
            <w:proofErr w:type="gramStart"/>
            <w:r>
              <w:rPr>
                <w:rFonts w:hint="eastAsia"/>
              </w:rPr>
              <w:t>扣非后归母净利润</w:t>
            </w:r>
            <w:proofErr w:type="gramEnd"/>
            <w:r>
              <w:rPr>
                <w:rFonts w:hint="eastAsia"/>
              </w:rPr>
              <w:t>一季度数据创公司十年新高。</w:t>
            </w:r>
          </w:p>
          <w:p w:rsidR="0065022D" w:rsidRDefault="00551A5E" w:rsidP="0065022D">
            <w:pPr>
              <w:pStyle w:val="Style6"/>
            </w:pPr>
            <w:r>
              <w:rPr>
                <w:rFonts w:hint="eastAsia"/>
              </w:rPr>
              <w:lastRenderedPageBreak/>
              <w:t>2.</w:t>
            </w:r>
            <w:r w:rsidR="001F7C8A">
              <w:rPr>
                <w:rFonts w:hint="eastAsia"/>
              </w:rPr>
              <w:t>未来</w:t>
            </w:r>
            <w:r w:rsidR="0065022D">
              <w:rPr>
                <w:rFonts w:hint="eastAsia"/>
              </w:rPr>
              <w:t>公司</w:t>
            </w:r>
            <w:r w:rsidR="001F7C8A">
              <w:rPr>
                <w:rFonts w:hint="eastAsia"/>
              </w:rPr>
              <w:t>费率展望</w:t>
            </w:r>
          </w:p>
          <w:p w:rsidR="001F7C8A" w:rsidRDefault="001F7C8A" w:rsidP="001F7C8A">
            <w:pPr>
              <w:pStyle w:val="Style6"/>
            </w:pPr>
            <w:r>
              <w:rPr>
                <w:rFonts w:hint="eastAsia"/>
              </w:rPr>
              <w:t>一是按照交通运输部下发的《港口计费收费办法》，公司实行清单化模式，对收费价格进行公示，确保收费工作依法透明。</w:t>
            </w:r>
          </w:p>
          <w:p w:rsidR="001F7C8A" w:rsidRDefault="00C160F3" w:rsidP="001F7C8A">
            <w:pPr>
              <w:pStyle w:val="Style6"/>
            </w:pPr>
            <w:r w:rsidRPr="00C160F3">
              <w:rPr>
                <w:rFonts w:hint="eastAsia"/>
              </w:rPr>
              <w:t>二是公司制定商务价格体系政策，</w:t>
            </w:r>
            <w:r>
              <w:rPr>
                <w:rFonts w:hint="eastAsia"/>
              </w:rPr>
              <w:t>具体价格</w:t>
            </w:r>
            <w:r w:rsidRPr="00C160F3">
              <w:rPr>
                <w:rFonts w:hint="eastAsia"/>
              </w:rPr>
              <w:t>会根据</w:t>
            </w:r>
            <w:r>
              <w:rPr>
                <w:rFonts w:hint="eastAsia"/>
              </w:rPr>
              <w:t>不同的货类、</w:t>
            </w:r>
            <w:r w:rsidRPr="00C160F3">
              <w:rPr>
                <w:rFonts w:hint="eastAsia"/>
              </w:rPr>
              <w:t>内外贸、作业工艺</w:t>
            </w:r>
            <w:r>
              <w:rPr>
                <w:rFonts w:hint="eastAsia"/>
              </w:rPr>
              <w:t>、作业环节而</w:t>
            </w:r>
            <w:r w:rsidRPr="00C160F3">
              <w:rPr>
                <w:rFonts w:hint="eastAsia"/>
              </w:rPr>
              <w:t>有所区别，结合客户对公司航线、吞吐量的贡献度，公司会有不同的优惠政策或价格补贴。</w:t>
            </w:r>
          </w:p>
          <w:p w:rsidR="006F0F3E" w:rsidRDefault="001F7C8A" w:rsidP="001F7C8A">
            <w:pPr>
              <w:pStyle w:val="Style6"/>
            </w:pPr>
            <w:r>
              <w:rPr>
                <w:rFonts w:hint="eastAsia"/>
              </w:rPr>
              <w:t>三是公司综合考虑具体装卸作业方式、硬件投入成本、服务内容差异、腹地经济水平、周边港口费率情况、客户的接受度等方面因素，对价格进行相应调整。</w:t>
            </w:r>
          </w:p>
          <w:p w:rsidR="00327E2C" w:rsidRDefault="00551A5E" w:rsidP="00327E2C">
            <w:pPr>
              <w:pStyle w:val="Style6"/>
            </w:pPr>
            <w:r>
              <w:rPr>
                <w:rFonts w:hint="eastAsia"/>
              </w:rPr>
              <w:t>3</w:t>
            </w:r>
            <w:r w:rsidR="00BE1E38">
              <w:rPr>
                <w:rFonts w:hint="eastAsia"/>
              </w:rPr>
              <w:t>.</w:t>
            </w:r>
            <w:r w:rsidR="00327E2C">
              <w:rPr>
                <w:rFonts w:hint="eastAsia"/>
              </w:rPr>
              <w:t>公司与</w:t>
            </w:r>
            <w:r w:rsidR="000B0A46">
              <w:rPr>
                <w:rFonts w:hint="eastAsia"/>
              </w:rPr>
              <w:t>周边</w:t>
            </w:r>
            <w:r w:rsidR="00327E2C">
              <w:rPr>
                <w:rFonts w:hint="eastAsia"/>
              </w:rPr>
              <w:t>港口的竞争关系</w:t>
            </w:r>
          </w:p>
          <w:p w:rsidR="00327E2C" w:rsidRDefault="00327E2C" w:rsidP="00327E2C">
            <w:pPr>
              <w:pStyle w:val="Style6"/>
            </w:pPr>
            <w:r w:rsidRPr="00AD61A3">
              <w:rPr>
                <w:rFonts w:hint="eastAsia"/>
              </w:rPr>
              <w:t>天津港的主要货类有集装箱、铁矿石、有色矿、油品、钢材、 煤炭、焦炭、汽车、粮食、化肥、设备</w:t>
            </w:r>
            <w:r>
              <w:rPr>
                <w:rFonts w:hint="eastAsia"/>
              </w:rPr>
              <w:t>等</w:t>
            </w:r>
            <w:r w:rsidR="00964497">
              <w:rPr>
                <w:rFonts w:hint="eastAsia"/>
              </w:rPr>
              <w:t>，与</w:t>
            </w:r>
            <w:r w:rsidRPr="00AD61A3">
              <w:rPr>
                <w:rFonts w:hint="eastAsia"/>
              </w:rPr>
              <w:t>唐山港</w:t>
            </w:r>
            <w:r w:rsidR="00964497">
              <w:rPr>
                <w:rFonts w:hint="eastAsia"/>
              </w:rPr>
              <w:t>、</w:t>
            </w:r>
            <w:r w:rsidRPr="00AD61A3">
              <w:rPr>
                <w:rFonts w:hint="eastAsia"/>
              </w:rPr>
              <w:t>秦港股份</w:t>
            </w:r>
            <w:r w:rsidR="00217206">
              <w:rPr>
                <w:rFonts w:hint="eastAsia"/>
              </w:rPr>
              <w:t>、</w:t>
            </w:r>
            <w:r w:rsidR="00217206" w:rsidRPr="00964497">
              <w:rPr>
                <w:rFonts w:hint="eastAsia"/>
              </w:rPr>
              <w:t>青岛港</w:t>
            </w:r>
            <w:r w:rsidR="00217206">
              <w:rPr>
                <w:rFonts w:hint="eastAsia"/>
              </w:rPr>
              <w:t>、辽港股份</w:t>
            </w:r>
            <w:r w:rsidR="009C534F">
              <w:rPr>
                <w:rFonts w:hint="eastAsia"/>
              </w:rPr>
              <w:t>同属于环渤海区域，</w:t>
            </w:r>
            <w:r w:rsidR="00217206">
              <w:rPr>
                <w:rFonts w:hint="eastAsia"/>
              </w:rPr>
              <w:t>地理位置相近</w:t>
            </w:r>
            <w:r w:rsidR="00964497">
              <w:rPr>
                <w:rFonts w:hint="eastAsia"/>
              </w:rPr>
              <w:t>，</w:t>
            </w:r>
            <w:r w:rsidR="00217206">
              <w:rPr>
                <w:rFonts w:hint="eastAsia"/>
              </w:rPr>
              <w:t>不同程度地在集装箱、煤炭、矿石等货类方面存在竞争，</w:t>
            </w:r>
            <w:r>
              <w:rPr>
                <w:rFonts w:hint="eastAsia"/>
              </w:rPr>
              <w:t>天津港致力于实现</w:t>
            </w:r>
            <w:r w:rsidR="00C75022">
              <w:rPr>
                <w:rFonts w:hint="eastAsia"/>
              </w:rPr>
              <w:t>与周边港口</w:t>
            </w:r>
            <w:r>
              <w:rPr>
                <w:rFonts w:hint="eastAsia"/>
              </w:rPr>
              <w:t>错位发展、联动发展、融合发展，共同构建现代化的</w:t>
            </w:r>
            <w:r w:rsidR="00964497">
              <w:rPr>
                <w:rFonts w:hint="eastAsia"/>
              </w:rPr>
              <w:t>环渤海</w:t>
            </w:r>
            <w:r>
              <w:rPr>
                <w:rFonts w:hint="eastAsia"/>
              </w:rPr>
              <w:t>港口群。</w:t>
            </w:r>
          </w:p>
          <w:p w:rsidR="00C75022" w:rsidRDefault="00551A5E" w:rsidP="00C75022">
            <w:pPr>
              <w:pStyle w:val="Style6"/>
            </w:pPr>
            <w:r>
              <w:rPr>
                <w:rFonts w:hint="eastAsia"/>
              </w:rPr>
              <w:t>4</w:t>
            </w:r>
            <w:r w:rsidR="00C75022">
              <w:rPr>
                <w:rFonts w:hint="eastAsia"/>
              </w:rPr>
              <w:t>.未来的资本开支情况？</w:t>
            </w:r>
          </w:p>
          <w:p w:rsidR="00327E2C" w:rsidRDefault="00C75022" w:rsidP="00C75022">
            <w:pPr>
              <w:pStyle w:val="Style6"/>
            </w:pPr>
            <w:r>
              <w:rPr>
                <w:rFonts w:hint="eastAsia"/>
              </w:rPr>
              <w:t>2024年预计完成固定资产投资14.54亿元，其中设施类投资4.78亿元，设备类投资9.76亿元，主要围绕码头泊位、堆场的升级改造以及自动化、信息化</w:t>
            </w:r>
            <w:r w:rsidR="009C534F">
              <w:rPr>
                <w:rFonts w:hint="eastAsia"/>
              </w:rPr>
              <w:t>建设</w:t>
            </w:r>
            <w:r>
              <w:rPr>
                <w:rFonts w:hint="eastAsia"/>
              </w:rPr>
              <w:t>。</w:t>
            </w:r>
          </w:p>
          <w:p w:rsidR="00C75022" w:rsidRDefault="00551A5E">
            <w:pPr>
              <w:pStyle w:val="Style6"/>
            </w:pPr>
            <w:r>
              <w:rPr>
                <w:rFonts w:hint="eastAsia"/>
              </w:rPr>
              <w:t>5</w:t>
            </w:r>
            <w:r w:rsidR="00C75022">
              <w:rPr>
                <w:rFonts w:hint="eastAsia"/>
              </w:rPr>
              <w:t>.现金分红安排</w:t>
            </w:r>
          </w:p>
          <w:p w:rsidR="00C75022" w:rsidRDefault="00C75022" w:rsidP="00C75022">
            <w:pPr>
              <w:pStyle w:val="Style6"/>
            </w:pPr>
            <w:r>
              <w:rPr>
                <w:rFonts w:hint="eastAsia"/>
              </w:rPr>
              <w:t>公司目前严格按照中国证监会《上市公司监管指引第3号——上市公司现金分红》、《上海证券交易所上市公司自律监管指引第1号——规范运作》等相关监管规则及《公司章程》要求，开展公司现金分红的相关工作。《公司章程》作为公司开展利润分配的制度保障，明确了利润分配的基本原则、具体政策、审议程序及实施等内容。公司自1996年上市以来始终坚持回馈投资者，在公司上市的28年里，累计完成现金分红25次，分红金额达到48亿元，</w:t>
            </w:r>
            <w:r w:rsidRPr="002760BA">
              <w:rPr>
                <w:rFonts w:hint="eastAsia"/>
              </w:rPr>
              <w:t>近五年通过现金和送股方式分红，实施的分红金额达到了同期</w:t>
            </w:r>
            <w:proofErr w:type="gramStart"/>
            <w:r w:rsidRPr="002760BA">
              <w:rPr>
                <w:rFonts w:hint="eastAsia"/>
              </w:rPr>
              <w:t>归母净利润</w:t>
            </w:r>
            <w:proofErr w:type="gramEnd"/>
            <w:r w:rsidRPr="002760BA">
              <w:rPr>
                <w:rFonts w:hint="eastAsia"/>
              </w:rPr>
              <w:t>的52%。</w:t>
            </w:r>
          </w:p>
          <w:p w:rsidR="00C75022" w:rsidRDefault="00C75022" w:rsidP="00C75022">
            <w:pPr>
              <w:pStyle w:val="Style6"/>
            </w:pPr>
            <w:r>
              <w:rPr>
                <w:rFonts w:hint="eastAsia"/>
              </w:rPr>
              <w:lastRenderedPageBreak/>
              <w:t>公司未来将继续按照监管规则及《公司章程》要求，采取现金分红</w:t>
            </w:r>
            <w:r w:rsidR="00C160F3">
              <w:rPr>
                <w:rFonts w:hint="eastAsia"/>
              </w:rPr>
              <w:t>、送转股份等</w:t>
            </w:r>
            <w:r>
              <w:rPr>
                <w:rFonts w:hint="eastAsia"/>
              </w:rPr>
              <w:t>方式开展利润分配</w:t>
            </w:r>
            <w:r w:rsidR="00C160F3">
              <w:rPr>
                <w:rFonts w:hint="eastAsia"/>
              </w:rPr>
              <w:t>相关工作</w:t>
            </w:r>
            <w:r>
              <w:rPr>
                <w:rFonts w:hint="eastAsia"/>
              </w:rPr>
              <w:t>。</w:t>
            </w:r>
          </w:p>
          <w:p w:rsidR="00C75022" w:rsidRPr="00C75022" w:rsidRDefault="00551A5E">
            <w:pPr>
              <w:pStyle w:val="Style6"/>
            </w:pPr>
            <w:r>
              <w:rPr>
                <w:rFonts w:hint="eastAsia"/>
              </w:rPr>
              <w:t>6</w:t>
            </w:r>
            <w:r w:rsidR="00C75022">
              <w:rPr>
                <w:rFonts w:hint="eastAsia"/>
              </w:rPr>
              <w:t>.毛利率情况</w:t>
            </w:r>
          </w:p>
          <w:p w:rsidR="00C75022" w:rsidRPr="00C75022" w:rsidRDefault="00C75022">
            <w:pPr>
              <w:pStyle w:val="Style6"/>
            </w:pPr>
            <w:r w:rsidRPr="00C75022">
              <w:rPr>
                <w:rFonts w:hint="eastAsia"/>
              </w:rPr>
              <w:t>公司装卸业务毛利率</w:t>
            </w:r>
            <w:r w:rsidRPr="00C75022">
              <w:t>31.98%</w:t>
            </w:r>
            <w:r w:rsidRPr="00C75022">
              <w:rPr>
                <w:rFonts w:hint="eastAsia"/>
              </w:rPr>
              <w:t>，销售业务毛利率0.79%，物流业务毛利率40.55%，服务及其他业务毛利率55.83%。</w:t>
            </w:r>
            <w:r w:rsidR="00551A5E">
              <w:rPr>
                <w:rFonts w:hint="eastAsia"/>
              </w:rPr>
              <w:t>装卸业务中集装箱业务毛利率高于散杂货业务。</w:t>
            </w:r>
          </w:p>
          <w:p w:rsidR="00C75022" w:rsidRDefault="00551A5E" w:rsidP="00C75022">
            <w:pPr>
              <w:pStyle w:val="Style6"/>
            </w:pPr>
            <w:r>
              <w:rPr>
                <w:rFonts w:hint="eastAsia"/>
              </w:rPr>
              <w:t>7</w:t>
            </w:r>
            <w:r w:rsidR="00C75022">
              <w:rPr>
                <w:rFonts w:hint="eastAsia"/>
              </w:rPr>
              <w:t>. 公司成本管控措施</w:t>
            </w:r>
          </w:p>
          <w:p w:rsidR="00C75022" w:rsidRDefault="00C75022" w:rsidP="00C75022">
            <w:pPr>
              <w:pStyle w:val="Style6"/>
            </w:pPr>
            <w:r>
              <w:rPr>
                <w:rFonts w:hint="eastAsia"/>
              </w:rPr>
              <w:t>一是随着智慧化建设的不断深入，自动化码头、一体化系统的投入运用有利于降低人工成本；二是</w:t>
            </w:r>
            <w:r w:rsidR="00157F0D" w:rsidRPr="00157F0D">
              <w:rPr>
                <w:rFonts w:hint="eastAsia"/>
              </w:rPr>
              <w:t>成本费用</w:t>
            </w:r>
            <w:r w:rsidR="00BE4172">
              <w:rPr>
                <w:rFonts w:hint="eastAsia"/>
              </w:rPr>
              <w:t>得到有效</w:t>
            </w:r>
            <w:r w:rsidR="00BE4172" w:rsidRPr="00157F0D">
              <w:rPr>
                <w:rFonts w:hint="eastAsia"/>
              </w:rPr>
              <w:t>控制</w:t>
            </w:r>
            <w:r w:rsidR="00157F0D" w:rsidRPr="00157F0D">
              <w:rPr>
                <w:rFonts w:hint="eastAsia"/>
              </w:rPr>
              <w:t>，防疫支出</w:t>
            </w:r>
            <w:r w:rsidR="00BE4172">
              <w:rPr>
                <w:rFonts w:hint="eastAsia"/>
              </w:rPr>
              <w:t>和</w:t>
            </w:r>
            <w:r w:rsidR="00157F0D" w:rsidRPr="00157F0D">
              <w:rPr>
                <w:rFonts w:hint="eastAsia"/>
              </w:rPr>
              <w:t>财务费用</w:t>
            </w:r>
            <w:r w:rsidR="00BE4172">
              <w:rPr>
                <w:rFonts w:hint="eastAsia"/>
              </w:rPr>
              <w:t>下降</w:t>
            </w:r>
            <w:r>
              <w:rPr>
                <w:rFonts w:hint="eastAsia"/>
              </w:rPr>
              <w:t>；三是公司对各所属公司有严格的预算考核制度，促进各子公司压降开支、管控成本。</w:t>
            </w:r>
          </w:p>
          <w:p w:rsidR="00F47AE6" w:rsidRDefault="00F47AE6">
            <w:pPr>
              <w:pStyle w:val="Style6"/>
            </w:pPr>
          </w:p>
          <w:p w:rsidR="00F47AE6" w:rsidRDefault="00F47AE6">
            <w:pPr>
              <w:pStyle w:val="Style6"/>
            </w:pPr>
          </w:p>
          <w:p w:rsidR="006F0F3E" w:rsidRDefault="006F0F3E">
            <w:pPr>
              <w:pStyle w:val="Style6"/>
            </w:pPr>
          </w:p>
          <w:p w:rsidR="006F0F3E" w:rsidRDefault="006F0F3E">
            <w:pPr>
              <w:pStyle w:val="Style6"/>
            </w:pPr>
          </w:p>
          <w:p w:rsidR="006F0F3E" w:rsidRDefault="006F0F3E">
            <w:pPr>
              <w:pStyle w:val="Style6"/>
            </w:pPr>
          </w:p>
          <w:p w:rsidR="006F0F3E" w:rsidRDefault="006F0F3E">
            <w:pPr>
              <w:pStyle w:val="Style6"/>
            </w:pPr>
          </w:p>
          <w:p w:rsidR="006F0F3E" w:rsidRDefault="006F0F3E">
            <w:pPr>
              <w:pStyle w:val="Style6"/>
            </w:pPr>
          </w:p>
          <w:p w:rsidR="006F0F3E" w:rsidRDefault="006F0F3E">
            <w:pPr>
              <w:pStyle w:val="Style6"/>
            </w:pPr>
          </w:p>
          <w:p w:rsidR="006F0F3E" w:rsidRDefault="006F0F3E">
            <w:pPr>
              <w:pStyle w:val="Style6"/>
            </w:pPr>
          </w:p>
          <w:p w:rsidR="00551A5E" w:rsidRDefault="00551A5E">
            <w:pPr>
              <w:pStyle w:val="Style6"/>
            </w:pPr>
          </w:p>
          <w:p w:rsidR="00551A5E" w:rsidRDefault="00551A5E">
            <w:pPr>
              <w:pStyle w:val="Style6"/>
            </w:pPr>
          </w:p>
          <w:p w:rsidR="00551A5E" w:rsidRDefault="00551A5E">
            <w:pPr>
              <w:pStyle w:val="Style6"/>
            </w:pPr>
          </w:p>
          <w:p w:rsidR="00551A5E" w:rsidRDefault="00551A5E">
            <w:pPr>
              <w:pStyle w:val="Style6"/>
            </w:pPr>
          </w:p>
          <w:p w:rsidR="006F0F3E" w:rsidRDefault="006F0F3E">
            <w:pPr>
              <w:pStyle w:val="Style6"/>
            </w:pPr>
          </w:p>
          <w:p w:rsidR="006F0F3E" w:rsidRDefault="006F0F3E">
            <w:pPr>
              <w:pStyle w:val="Style6"/>
            </w:pPr>
          </w:p>
          <w:p w:rsidR="006F0F3E" w:rsidRDefault="006F0F3E">
            <w:pPr>
              <w:pStyle w:val="Style6"/>
            </w:pPr>
          </w:p>
        </w:tc>
      </w:tr>
    </w:tbl>
    <w:p w:rsidR="006F0F3E" w:rsidRDefault="006F0F3E"/>
    <w:sectPr w:rsidR="006F0F3E" w:rsidSect="006F0F3E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6E3" w:rsidRDefault="005866E3" w:rsidP="006F0F3E">
      <w:r>
        <w:separator/>
      </w:r>
    </w:p>
  </w:endnote>
  <w:endnote w:type="continuationSeparator" w:id="0">
    <w:p w:rsidR="005866E3" w:rsidRDefault="005866E3" w:rsidP="006F0F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6E3" w:rsidRDefault="005866E3" w:rsidP="006F0F3E">
      <w:r>
        <w:separator/>
      </w:r>
    </w:p>
  </w:footnote>
  <w:footnote w:type="continuationSeparator" w:id="0">
    <w:p w:rsidR="005866E3" w:rsidRDefault="005866E3" w:rsidP="006F0F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F3E" w:rsidRDefault="006F0F3E">
    <w:pPr>
      <w:pStyle w:val="a4"/>
      <w:pBdr>
        <w:bottom w:val="none" w:sz="0" w:space="0" w:color="auto"/>
      </w:pBdr>
      <w:jc w:val="lef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NDk1NzQzMzBiM2IyN2YxMjM0NjFkY2UzMzNiZDMzMjEifQ=="/>
  </w:docVars>
  <w:rsids>
    <w:rsidRoot w:val="006861C7"/>
    <w:rsid w:val="B7DDD54D"/>
    <w:rsid w:val="E3FFE6ED"/>
    <w:rsid w:val="F5DB8A63"/>
    <w:rsid w:val="F797912E"/>
    <w:rsid w:val="FE7B4896"/>
    <w:rsid w:val="00002813"/>
    <w:rsid w:val="00025D07"/>
    <w:rsid w:val="000268C0"/>
    <w:rsid w:val="00026A12"/>
    <w:rsid w:val="000363B5"/>
    <w:rsid w:val="000375D7"/>
    <w:rsid w:val="00043015"/>
    <w:rsid w:val="00046DDE"/>
    <w:rsid w:val="00047EB9"/>
    <w:rsid w:val="00060A74"/>
    <w:rsid w:val="00067110"/>
    <w:rsid w:val="000701D3"/>
    <w:rsid w:val="0009298A"/>
    <w:rsid w:val="000A2808"/>
    <w:rsid w:val="000A3BAC"/>
    <w:rsid w:val="000A60FD"/>
    <w:rsid w:val="000B0993"/>
    <w:rsid w:val="000B0A46"/>
    <w:rsid w:val="000C26FD"/>
    <w:rsid w:val="000C2BF4"/>
    <w:rsid w:val="000C2D85"/>
    <w:rsid w:val="000C6E35"/>
    <w:rsid w:val="000E2D0F"/>
    <w:rsid w:val="000E5700"/>
    <w:rsid w:val="000E61E7"/>
    <w:rsid w:val="000F0C4B"/>
    <w:rsid w:val="000F0E22"/>
    <w:rsid w:val="00105A04"/>
    <w:rsid w:val="001169A9"/>
    <w:rsid w:val="00125EB2"/>
    <w:rsid w:val="00142A4C"/>
    <w:rsid w:val="00144279"/>
    <w:rsid w:val="001452FF"/>
    <w:rsid w:val="00157F0D"/>
    <w:rsid w:val="0016617A"/>
    <w:rsid w:val="001666B4"/>
    <w:rsid w:val="00167E99"/>
    <w:rsid w:val="001975AB"/>
    <w:rsid w:val="001A00F5"/>
    <w:rsid w:val="001A1F65"/>
    <w:rsid w:val="001A5CE9"/>
    <w:rsid w:val="001B1D1F"/>
    <w:rsid w:val="001C50AD"/>
    <w:rsid w:val="001D198C"/>
    <w:rsid w:val="001D22EE"/>
    <w:rsid w:val="001D4C89"/>
    <w:rsid w:val="001E1838"/>
    <w:rsid w:val="001E3145"/>
    <w:rsid w:val="001E6509"/>
    <w:rsid w:val="001E71FF"/>
    <w:rsid w:val="001E7968"/>
    <w:rsid w:val="001F7C8A"/>
    <w:rsid w:val="00217206"/>
    <w:rsid w:val="0022180A"/>
    <w:rsid w:val="00223ABC"/>
    <w:rsid w:val="002241B9"/>
    <w:rsid w:val="002274D9"/>
    <w:rsid w:val="0023455A"/>
    <w:rsid w:val="00237994"/>
    <w:rsid w:val="00251D58"/>
    <w:rsid w:val="002530EE"/>
    <w:rsid w:val="002549E6"/>
    <w:rsid w:val="00256602"/>
    <w:rsid w:val="00271C8D"/>
    <w:rsid w:val="00273B53"/>
    <w:rsid w:val="002760BA"/>
    <w:rsid w:val="00277AFF"/>
    <w:rsid w:val="0028080C"/>
    <w:rsid w:val="00295257"/>
    <w:rsid w:val="00297703"/>
    <w:rsid w:val="002A0826"/>
    <w:rsid w:val="002A0984"/>
    <w:rsid w:val="002A589B"/>
    <w:rsid w:val="002B1184"/>
    <w:rsid w:val="002B4600"/>
    <w:rsid w:val="002B71B8"/>
    <w:rsid w:val="002B7469"/>
    <w:rsid w:val="002C22C6"/>
    <w:rsid w:val="002C6568"/>
    <w:rsid w:val="002C723B"/>
    <w:rsid w:val="002D39BC"/>
    <w:rsid w:val="002D71CF"/>
    <w:rsid w:val="002E1B15"/>
    <w:rsid w:val="002E1D3A"/>
    <w:rsid w:val="002E4F45"/>
    <w:rsid w:val="003005F0"/>
    <w:rsid w:val="00302497"/>
    <w:rsid w:val="003030BF"/>
    <w:rsid w:val="00304F89"/>
    <w:rsid w:val="00306023"/>
    <w:rsid w:val="00311823"/>
    <w:rsid w:val="00327ADA"/>
    <w:rsid w:val="00327D5D"/>
    <w:rsid w:val="00327E2C"/>
    <w:rsid w:val="00344914"/>
    <w:rsid w:val="00346917"/>
    <w:rsid w:val="00354A7B"/>
    <w:rsid w:val="0035582C"/>
    <w:rsid w:val="00360FDA"/>
    <w:rsid w:val="00363075"/>
    <w:rsid w:val="00367D18"/>
    <w:rsid w:val="00372A1C"/>
    <w:rsid w:val="0037435A"/>
    <w:rsid w:val="00377D8F"/>
    <w:rsid w:val="00377EE0"/>
    <w:rsid w:val="00383679"/>
    <w:rsid w:val="003A1E68"/>
    <w:rsid w:val="003B0122"/>
    <w:rsid w:val="003B0BE5"/>
    <w:rsid w:val="003D18F1"/>
    <w:rsid w:val="003E001E"/>
    <w:rsid w:val="003F7C4D"/>
    <w:rsid w:val="0040075F"/>
    <w:rsid w:val="00403300"/>
    <w:rsid w:val="004118C0"/>
    <w:rsid w:val="00417A31"/>
    <w:rsid w:val="0042004B"/>
    <w:rsid w:val="00433384"/>
    <w:rsid w:val="0043777D"/>
    <w:rsid w:val="00444828"/>
    <w:rsid w:val="0045767F"/>
    <w:rsid w:val="00463E9B"/>
    <w:rsid w:val="00467414"/>
    <w:rsid w:val="00473F30"/>
    <w:rsid w:val="0048591A"/>
    <w:rsid w:val="00486D86"/>
    <w:rsid w:val="0048721A"/>
    <w:rsid w:val="00492A08"/>
    <w:rsid w:val="004A0BD5"/>
    <w:rsid w:val="004A1BBF"/>
    <w:rsid w:val="004A73E5"/>
    <w:rsid w:val="004B0F5F"/>
    <w:rsid w:val="004B2D7A"/>
    <w:rsid w:val="004C19BF"/>
    <w:rsid w:val="004D7640"/>
    <w:rsid w:val="004E1A9B"/>
    <w:rsid w:val="004F117C"/>
    <w:rsid w:val="00500AB6"/>
    <w:rsid w:val="005155FB"/>
    <w:rsid w:val="00523907"/>
    <w:rsid w:val="005322C9"/>
    <w:rsid w:val="00535D86"/>
    <w:rsid w:val="00537C53"/>
    <w:rsid w:val="00540787"/>
    <w:rsid w:val="005438F5"/>
    <w:rsid w:val="00544901"/>
    <w:rsid w:val="005474D3"/>
    <w:rsid w:val="00550737"/>
    <w:rsid w:val="00551A5E"/>
    <w:rsid w:val="00555DD2"/>
    <w:rsid w:val="00565ED9"/>
    <w:rsid w:val="005760C6"/>
    <w:rsid w:val="00585A1B"/>
    <w:rsid w:val="005866E3"/>
    <w:rsid w:val="00591260"/>
    <w:rsid w:val="00591314"/>
    <w:rsid w:val="00593D40"/>
    <w:rsid w:val="00595187"/>
    <w:rsid w:val="00595F1B"/>
    <w:rsid w:val="0059705B"/>
    <w:rsid w:val="005A3BE0"/>
    <w:rsid w:val="005B1026"/>
    <w:rsid w:val="005B642F"/>
    <w:rsid w:val="005C04C1"/>
    <w:rsid w:val="005C1785"/>
    <w:rsid w:val="005D2D87"/>
    <w:rsid w:val="005D6A09"/>
    <w:rsid w:val="005E2B4B"/>
    <w:rsid w:val="005E5F63"/>
    <w:rsid w:val="005E6BA1"/>
    <w:rsid w:val="005F64F4"/>
    <w:rsid w:val="005F6CCF"/>
    <w:rsid w:val="006039E2"/>
    <w:rsid w:val="0060779A"/>
    <w:rsid w:val="00622F13"/>
    <w:rsid w:val="00625503"/>
    <w:rsid w:val="0062662D"/>
    <w:rsid w:val="00632E78"/>
    <w:rsid w:val="006344F1"/>
    <w:rsid w:val="00637186"/>
    <w:rsid w:val="00641A5E"/>
    <w:rsid w:val="0064616F"/>
    <w:rsid w:val="00646DF4"/>
    <w:rsid w:val="0065022D"/>
    <w:rsid w:val="00650FDC"/>
    <w:rsid w:val="00651DE6"/>
    <w:rsid w:val="006523BB"/>
    <w:rsid w:val="006529DD"/>
    <w:rsid w:val="0065347E"/>
    <w:rsid w:val="00654B49"/>
    <w:rsid w:val="00662505"/>
    <w:rsid w:val="00663657"/>
    <w:rsid w:val="0066674C"/>
    <w:rsid w:val="006760F7"/>
    <w:rsid w:val="006848CC"/>
    <w:rsid w:val="006861C7"/>
    <w:rsid w:val="00686DDF"/>
    <w:rsid w:val="00697B12"/>
    <w:rsid w:val="006A55BB"/>
    <w:rsid w:val="006A7613"/>
    <w:rsid w:val="006B0CC1"/>
    <w:rsid w:val="006B661A"/>
    <w:rsid w:val="006B7D00"/>
    <w:rsid w:val="006C6BC5"/>
    <w:rsid w:val="006D61A2"/>
    <w:rsid w:val="006E1DB4"/>
    <w:rsid w:val="006F0F3E"/>
    <w:rsid w:val="00702F7C"/>
    <w:rsid w:val="00747543"/>
    <w:rsid w:val="00753DB6"/>
    <w:rsid w:val="007614B4"/>
    <w:rsid w:val="00763847"/>
    <w:rsid w:val="00771FE3"/>
    <w:rsid w:val="00776BDE"/>
    <w:rsid w:val="00786870"/>
    <w:rsid w:val="00792237"/>
    <w:rsid w:val="0079272A"/>
    <w:rsid w:val="007A1DA9"/>
    <w:rsid w:val="007A2DA4"/>
    <w:rsid w:val="007B2252"/>
    <w:rsid w:val="007B79D9"/>
    <w:rsid w:val="007C67B1"/>
    <w:rsid w:val="007E354A"/>
    <w:rsid w:val="007E69C8"/>
    <w:rsid w:val="0080525B"/>
    <w:rsid w:val="008062C5"/>
    <w:rsid w:val="00806B50"/>
    <w:rsid w:val="0080741A"/>
    <w:rsid w:val="00814B5B"/>
    <w:rsid w:val="008206B0"/>
    <w:rsid w:val="00826A47"/>
    <w:rsid w:val="00836F34"/>
    <w:rsid w:val="00843E73"/>
    <w:rsid w:val="00844EBF"/>
    <w:rsid w:val="00854F61"/>
    <w:rsid w:val="00864202"/>
    <w:rsid w:val="00873B59"/>
    <w:rsid w:val="0087701F"/>
    <w:rsid w:val="0089283D"/>
    <w:rsid w:val="008A0ADC"/>
    <w:rsid w:val="008A1BAB"/>
    <w:rsid w:val="008A30E1"/>
    <w:rsid w:val="008A65D8"/>
    <w:rsid w:val="008B38B7"/>
    <w:rsid w:val="008B458E"/>
    <w:rsid w:val="008C10E9"/>
    <w:rsid w:val="008C4D4A"/>
    <w:rsid w:val="008E11AE"/>
    <w:rsid w:val="008E1708"/>
    <w:rsid w:val="008E4844"/>
    <w:rsid w:val="00904492"/>
    <w:rsid w:val="00904DFB"/>
    <w:rsid w:val="00910774"/>
    <w:rsid w:val="0091457B"/>
    <w:rsid w:val="00923763"/>
    <w:rsid w:val="00930ED6"/>
    <w:rsid w:val="0093293F"/>
    <w:rsid w:val="00933105"/>
    <w:rsid w:val="00936C19"/>
    <w:rsid w:val="00945F32"/>
    <w:rsid w:val="009474EF"/>
    <w:rsid w:val="00951743"/>
    <w:rsid w:val="00951C24"/>
    <w:rsid w:val="00962626"/>
    <w:rsid w:val="00964497"/>
    <w:rsid w:val="0096693B"/>
    <w:rsid w:val="00975A2C"/>
    <w:rsid w:val="009767DD"/>
    <w:rsid w:val="00977AF2"/>
    <w:rsid w:val="00985FC5"/>
    <w:rsid w:val="00993BDD"/>
    <w:rsid w:val="009A6DFB"/>
    <w:rsid w:val="009B6EC0"/>
    <w:rsid w:val="009C534F"/>
    <w:rsid w:val="009C7FAF"/>
    <w:rsid w:val="009D4199"/>
    <w:rsid w:val="009E5E6A"/>
    <w:rsid w:val="009F0DD5"/>
    <w:rsid w:val="009F1B95"/>
    <w:rsid w:val="009F6C05"/>
    <w:rsid w:val="00A10313"/>
    <w:rsid w:val="00A13CB6"/>
    <w:rsid w:val="00A14A1A"/>
    <w:rsid w:val="00A22CDD"/>
    <w:rsid w:val="00A25AEE"/>
    <w:rsid w:val="00A2795E"/>
    <w:rsid w:val="00A31EB1"/>
    <w:rsid w:val="00A33AEA"/>
    <w:rsid w:val="00A461CD"/>
    <w:rsid w:val="00A469C5"/>
    <w:rsid w:val="00A5317D"/>
    <w:rsid w:val="00A6284E"/>
    <w:rsid w:val="00A63E81"/>
    <w:rsid w:val="00A80FD8"/>
    <w:rsid w:val="00A8775A"/>
    <w:rsid w:val="00AA5998"/>
    <w:rsid w:val="00AB07E7"/>
    <w:rsid w:val="00AD1BA8"/>
    <w:rsid w:val="00AD28B5"/>
    <w:rsid w:val="00AE2170"/>
    <w:rsid w:val="00B02A29"/>
    <w:rsid w:val="00B03522"/>
    <w:rsid w:val="00B04AD6"/>
    <w:rsid w:val="00B04BAC"/>
    <w:rsid w:val="00B14CAA"/>
    <w:rsid w:val="00B257CE"/>
    <w:rsid w:val="00B32474"/>
    <w:rsid w:val="00B40206"/>
    <w:rsid w:val="00B4746C"/>
    <w:rsid w:val="00B54527"/>
    <w:rsid w:val="00B57B10"/>
    <w:rsid w:val="00B6265E"/>
    <w:rsid w:val="00B65354"/>
    <w:rsid w:val="00B71A0E"/>
    <w:rsid w:val="00B81765"/>
    <w:rsid w:val="00B832F5"/>
    <w:rsid w:val="00B8400E"/>
    <w:rsid w:val="00B91A0A"/>
    <w:rsid w:val="00BA1895"/>
    <w:rsid w:val="00BA2FAB"/>
    <w:rsid w:val="00BB5E28"/>
    <w:rsid w:val="00BD15F3"/>
    <w:rsid w:val="00BD53EF"/>
    <w:rsid w:val="00BD7986"/>
    <w:rsid w:val="00BD79D3"/>
    <w:rsid w:val="00BE1E38"/>
    <w:rsid w:val="00BE4172"/>
    <w:rsid w:val="00BF5884"/>
    <w:rsid w:val="00C04F82"/>
    <w:rsid w:val="00C07344"/>
    <w:rsid w:val="00C15AC0"/>
    <w:rsid w:val="00C160F3"/>
    <w:rsid w:val="00C26030"/>
    <w:rsid w:val="00C41091"/>
    <w:rsid w:val="00C51D58"/>
    <w:rsid w:val="00C63056"/>
    <w:rsid w:val="00C6455F"/>
    <w:rsid w:val="00C661D1"/>
    <w:rsid w:val="00C75022"/>
    <w:rsid w:val="00C775BA"/>
    <w:rsid w:val="00C85331"/>
    <w:rsid w:val="00C85500"/>
    <w:rsid w:val="00C85A50"/>
    <w:rsid w:val="00C94D46"/>
    <w:rsid w:val="00CA443A"/>
    <w:rsid w:val="00CB2461"/>
    <w:rsid w:val="00CB37FD"/>
    <w:rsid w:val="00CC4D65"/>
    <w:rsid w:val="00CC61E7"/>
    <w:rsid w:val="00CD25AD"/>
    <w:rsid w:val="00CD37CB"/>
    <w:rsid w:val="00CD3FFC"/>
    <w:rsid w:val="00CE61BF"/>
    <w:rsid w:val="00CF3752"/>
    <w:rsid w:val="00CF565C"/>
    <w:rsid w:val="00D016A3"/>
    <w:rsid w:val="00D14E74"/>
    <w:rsid w:val="00D251AA"/>
    <w:rsid w:val="00D33349"/>
    <w:rsid w:val="00D40772"/>
    <w:rsid w:val="00D512E3"/>
    <w:rsid w:val="00D602C9"/>
    <w:rsid w:val="00DA26A9"/>
    <w:rsid w:val="00DB01FF"/>
    <w:rsid w:val="00DB2C46"/>
    <w:rsid w:val="00DB5AA6"/>
    <w:rsid w:val="00DC7778"/>
    <w:rsid w:val="00DC7F39"/>
    <w:rsid w:val="00DD2E97"/>
    <w:rsid w:val="00DE7391"/>
    <w:rsid w:val="00DF2DB5"/>
    <w:rsid w:val="00DF6560"/>
    <w:rsid w:val="00E04CC0"/>
    <w:rsid w:val="00E136FF"/>
    <w:rsid w:val="00E15552"/>
    <w:rsid w:val="00E32528"/>
    <w:rsid w:val="00E35F26"/>
    <w:rsid w:val="00E53165"/>
    <w:rsid w:val="00E61EF7"/>
    <w:rsid w:val="00E663B4"/>
    <w:rsid w:val="00E71759"/>
    <w:rsid w:val="00E73C19"/>
    <w:rsid w:val="00E80CEB"/>
    <w:rsid w:val="00E81038"/>
    <w:rsid w:val="00E941F6"/>
    <w:rsid w:val="00EA5103"/>
    <w:rsid w:val="00EA6FB9"/>
    <w:rsid w:val="00EB5E6A"/>
    <w:rsid w:val="00EC2AD7"/>
    <w:rsid w:val="00ED7DE0"/>
    <w:rsid w:val="00EE0E5B"/>
    <w:rsid w:val="00EE7891"/>
    <w:rsid w:val="00EF49FE"/>
    <w:rsid w:val="00EF5341"/>
    <w:rsid w:val="00EF5E71"/>
    <w:rsid w:val="00F01D38"/>
    <w:rsid w:val="00F022C1"/>
    <w:rsid w:val="00F04908"/>
    <w:rsid w:val="00F07C21"/>
    <w:rsid w:val="00F1191B"/>
    <w:rsid w:val="00F12EF6"/>
    <w:rsid w:val="00F21065"/>
    <w:rsid w:val="00F225A5"/>
    <w:rsid w:val="00F246AA"/>
    <w:rsid w:val="00F24CB4"/>
    <w:rsid w:val="00F278C6"/>
    <w:rsid w:val="00F31E44"/>
    <w:rsid w:val="00F43465"/>
    <w:rsid w:val="00F45475"/>
    <w:rsid w:val="00F47AE6"/>
    <w:rsid w:val="00F64E72"/>
    <w:rsid w:val="00F65424"/>
    <w:rsid w:val="00F67C05"/>
    <w:rsid w:val="00F70C7D"/>
    <w:rsid w:val="00F9272E"/>
    <w:rsid w:val="00F97743"/>
    <w:rsid w:val="00FA6DAF"/>
    <w:rsid w:val="00FC6884"/>
    <w:rsid w:val="00FE62F3"/>
    <w:rsid w:val="00FF71D2"/>
    <w:rsid w:val="012A0989"/>
    <w:rsid w:val="0136557F"/>
    <w:rsid w:val="023615AF"/>
    <w:rsid w:val="02E1776D"/>
    <w:rsid w:val="02E42DB9"/>
    <w:rsid w:val="05860158"/>
    <w:rsid w:val="06D870D9"/>
    <w:rsid w:val="07EF6488"/>
    <w:rsid w:val="09DC2A3C"/>
    <w:rsid w:val="0C1254F4"/>
    <w:rsid w:val="0D621ACA"/>
    <w:rsid w:val="103E7FAD"/>
    <w:rsid w:val="10C55FD8"/>
    <w:rsid w:val="166F47AE"/>
    <w:rsid w:val="16830AEB"/>
    <w:rsid w:val="187327BD"/>
    <w:rsid w:val="18FA2EDF"/>
    <w:rsid w:val="19040FC4"/>
    <w:rsid w:val="1AC35C7E"/>
    <w:rsid w:val="1B2418A5"/>
    <w:rsid w:val="1E2D340E"/>
    <w:rsid w:val="1FBFC074"/>
    <w:rsid w:val="2073120C"/>
    <w:rsid w:val="211A411E"/>
    <w:rsid w:val="2500187D"/>
    <w:rsid w:val="25BD32CA"/>
    <w:rsid w:val="260F351D"/>
    <w:rsid w:val="279A1B15"/>
    <w:rsid w:val="289B1FE8"/>
    <w:rsid w:val="2B1E480B"/>
    <w:rsid w:val="2BC25ADE"/>
    <w:rsid w:val="2C1856FE"/>
    <w:rsid w:val="2CEA709A"/>
    <w:rsid w:val="2FD8767E"/>
    <w:rsid w:val="32A93554"/>
    <w:rsid w:val="33645A78"/>
    <w:rsid w:val="33AD0E22"/>
    <w:rsid w:val="33B14BC3"/>
    <w:rsid w:val="36FB9E1F"/>
    <w:rsid w:val="37411FAD"/>
    <w:rsid w:val="37F05781"/>
    <w:rsid w:val="394538AA"/>
    <w:rsid w:val="3A1E4827"/>
    <w:rsid w:val="3BFA3B96"/>
    <w:rsid w:val="3CEF3472"/>
    <w:rsid w:val="3D8F1598"/>
    <w:rsid w:val="3ED100BA"/>
    <w:rsid w:val="3EFF16E9"/>
    <w:rsid w:val="40DB6278"/>
    <w:rsid w:val="424741EF"/>
    <w:rsid w:val="445A2900"/>
    <w:rsid w:val="46C978C9"/>
    <w:rsid w:val="510A120A"/>
    <w:rsid w:val="52701540"/>
    <w:rsid w:val="52D41ACF"/>
    <w:rsid w:val="534529CD"/>
    <w:rsid w:val="566C201F"/>
    <w:rsid w:val="58A41F44"/>
    <w:rsid w:val="5AFF3461"/>
    <w:rsid w:val="5EEB540E"/>
    <w:rsid w:val="62CE02E9"/>
    <w:rsid w:val="62E278F0"/>
    <w:rsid w:val="64EF2799"/>
    <w:rsid w:val="65C21C5B"/>
    <w:rsid w:val="673B7F17"/>
    <w:rsid w:val="68EF5AEF"/>
    <w:rsid w:val="6B563571"/>
    <w:rsid w:val="6C2E004A"/>
    <w:rsid w:val="6EA4063A"/>
    <w:rsid w:val="70671D7D"/>
    <w:rsid w:val="706978A3"/>
    <w:rsid w:val="74512B28"/>
    <w:rsid w:val="753C37D8"/>
    <w:rsid w:val="772A140E"/>
    <w:rsid w:val="77BA6C36"/>
    <w:rsid w:val="77CF73AC"/>
    <w:rsid w:val="78191BAF"/>
    <w:rsid w:val="78FF0116"/>
    <w:rsid w:val="7B0A0A59"/>
    <w:rsid w:val="7BB0282A"/>
    <w:rsid w:val="7D250FF6"/>
    <w:rsid w:val="7FC94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0F3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qFormat/>
    <w:rsid w:val="006F0F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qFormat/>
    <w:rsid w:val="006F0F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autoRedefine/>
    <w:uiPriority w:val="99"/>
    <w:qFormat/>
    <w:rsid w:val="006F0F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customStyle="1" w:styleId="Style6">
    <w:name w:val="_Style 6"/>
    <w:basedOn w:val="a"/>
    <w:autoRedefine/>
    <w:uiPriority w:val="34"/>
    <w:qFormat/>
    <w:rsid w:val="006F0F3E"/>
    <w:pPr>
      <w:spacing w:line="460" w:lineRule="exact"/>
      <w:ind w:firstLine="420"/>
    </w:pPr>
    <w:rPr>
      <w:rFonts w:ascii="宋体" w:hAnsi="宋体"/>
      <w:sz w:val="24"/>
    </w:rPr>
  </w:style>
  <w:style w:type="paragraph" w:customStyle="1" w:styleId="CharCharChar">
    <w:name w:val="Char Char Char"/>
    <w:basedOn w:val="a"/>
    <w:autoRedefine/>
    <w:qFormat/>
    <w:rsid w:val="006F0F3E"/>
    <w:rPr>
      <w:szCs w:val="21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autoRedefine/>
    <w:qFormat/>
    <w:rsid w:val="006F0F3E"/>
  </w:style>
  <w:style w:type="paragraph" w:customStyle="1" w:styleId="CharCharChar1">
    <w:name w:val="Char Char Char1"/>
    <w:basedOn w:val="a"/>
    <w:autoRedefine/>
    <w:qFormat/>
    <w:rsid w:val="006F0F3E"/>
  </w:style>
  <w:style w:type="character" w:customStyle="1" w:styleId="Char">
    <w:name w:val="页脚 Char"/>
    <w:basedOn w:val="a0"/>
    <w:link w:val="a3"/>
    <w:autoRedefine/>
    <w:qFormat/>
    <w:rsid w:val="006F0F3E"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autoRedefine/>
    <w:qFormat/>
    <w:rsid w:val="006F0F3E"/>
    <w:rPr>
      <w:kern w:val="2"/>
      <w:sz w:val="18"/>
      <w:szCs w:val="18"/>
    </w:rPr>
  </w:style>
  <w:style w:type="paragraph" w:styleId="a5">
    <w:name w:val="List Paragraph"/>
    <w:basedOn w:val="a"/>
    <w:autoRedefine/>
    <w:uiPriority w:val="99"/>
    <w:qFormat/>
    <w:rsid w:val="006F0F3E"/>
    <w:pPr>
      <w:ind w:firstLineChars="200" w:firstLine="420"/>
    </w:pPr>
  </w:style>
  <w:style w:type="character" w:customStyle="1" w:styleId="HTMLChar">
    <w:name w:val="HTML 预设格式 Char"/>
    <w:basedOn w:val="a0"/>
    <w:link w:val="HTML"/>
    <w:autoRedefine/>
    <w:uiPriority w:val="99"/>
    <w:qFormat/>
    <w:rsid w:val="006F0F3E"/>
    <w:rPr>
      <w:rFonts w:ascii="宋体" w:hAnsi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253</Words>
  <Characters>1446</Characters>
  <Application>Microsoft Office Word</Application>
  <DocSecurity>0</DocSecurity>
  <Lines>12</Lines>
  <Paragraphs>3</Paragraphs>
  <ScaleCrop>false</ScaleCrop>
  <Company>微软中国</Company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gyb1</cp:lastModifiedBy>
  <cp:revision>6</cp:revision>
  <cp:lastPrinted>2024-03-01T03:28:00Z</cp:lastPrinted>
  <dcterms:created xsi:type="dcterms:W3CDTF">2024-07-23T06:19:00Z</dcterms:created>
  <dcterms:modified xsi:type="dcterms:W3CDTF">2024-07-23T06:27:00Z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0E976B954EC54E30B9BB8A1672504CA1_13</vt:lpwstr>
  </property>
</Properties>
</file>