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BBFA5" w14:textId="77777777" w:rsidR="00AF22E2" w:rsidRDefault="00000000">
      <w:pPr>
        <w:widowControl/>
        <w:spacing w:after="220" w:line="259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3493F402" w14:textId="77777777" w:rsidR="00AF22E2" w:rsidRDefault="00000000">
      <w:pPr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2B04CD1D" w14:textId="77777777" w:rsidR="00AF22E2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23DA9F3" w14:textId="70B220F0" w:rsidR="00AF22E2" w:rsidRDefault="00000000">
      <w:pPr>
        <w:widowControl/>
        <w:spacing w:line="259" w:lineRule="auto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 w:rsidR="00B95A1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/>
          <w:sz w:val="24"/>
        </w:rPr>
        <w:t>00</w:t>
      </w:r>
      <w:r w:rsidR="00962CE4">
        <w:rPr>
          <w:rFonts w:ascii="宋体" w:eastAsia="宋体" w:hAnsi="宋体" w:cs="宋体" w:hint="eastAsia"/>
          <w:sz w:val="24"/>
        </w:rPr>
        <w:t>7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AF22E2" w14:paraId="2FFC3DCC" w14:textId="77777777">
        <w:trPr>
          <w:trHeight w:val="1880"/>
        </w:trPr>
        <w:tc>
          <w:tcPr>
            <w:tcW w:w="1840" w:type="dxa"/>
            <w:vAlign w:val="center"/>
          </w:tcPr>
          <w:p w14:paraId="42ADB601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1D2C1F67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40BD807E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40F745F4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□业绩说明会</w:t>
            </w:r>
          </w:p>
          <w:p w14:paraId="694375DC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5C0D590E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071E49A7" w14:textId="77777777" w:rsidR="00AF22E2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AF22E2" w14:paraId="6390BBBF" w14:textId="77777777" w:rsidTr="00C50006">
        <w:trPr>
          <w:trHeight w:val="409"/>
        </w:trPr>
        <w:tc>
          <w:tcPr>
            <w:tcW w:w="1840" w:type="dxa"/>
            <w:vAlign w:val="center"/>
          </w:tcPr>
          <w:p w14:paraId="7ADB8270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5227FFE4" w14:textId="03819D59" w:rsidR="00AF22E2" w:rsidRDefault="004A16E3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中泰</w:t>
            </w:r>
            <w:r w:rsidR="00DE4613">
              <w:rPr>
                <w:rFonts w:ascii="宋体" w:eastAsia="宋体" w:hAnsi="宋体" w:cs="宋体" w:hint="eastAsia"/>
                <w:sz w:val="24"/>
                <w:szCs w:val="24"/>
              </w:rPr>
              <w:t>证券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、申万证券、</w:t>
            </w:r>
            <w:r w:rsidR="002B142E">
              <w:rPr>
                <w:rFonts w:ascii="宋体" w:eastAsia="宋体" w:hAnsi="宋体" w:cs="宋体" w:hint="eastAsia"/>
                <w:sz w:val="24"/>
                <w:szCs w:val="24"/>
              </w:rPr>
              <w:t>长江养老、平安养老、招银理财、</w:t>
            </w:r>
            <w:proofErr w:type="gramStart"/>
            <w:r w:rsidR="002B142E">
              <w:rPr>
                <w:rFonts w:ascii="宋体" w:eastAsia="宋体" w:hAnsi="宋体" w:cs="宋体" w:hint="eastAsia"/>
                <w:sz w:val="24"/>
                <w:szCs w:val="24"/>
              </w:rPr>
              <w:t>工银瑞信</w:t>
            </w:r>
            <w:proofErr w:type="gramEnd"/>
            <w:r w:rsidR="002B142E">
              <w:rPr>
                <w:rFonts w:ascii="宋体" w:eastAsia="宋体" w:hAnsi="宋体" w:cs="宋体" w:hint="eastAsia"/>
                <w:sz w:val="24"/>
                <w:szCs w:val="24"/>
              </w:rPr>
              <w:t>、深圳国诚投资咨询有限公司</w:t>
            </w:r>
          </w:p>
        </w:tc>
      </w:tr>
      <w:tr w:rsidR="00AF22E2" w14:paraId="74D31047" w14:textId="77777777">
        <w:trPr>
          <w:trHeight w:val="20"/>
        </w:trPr>
        <w:tc>
          <w:tcPr>
            <w:tcW w:w="1840" w:type="dxa"/>
            <w:vAlign w:val="center"/>
          </w:tcPr>
          <w:p w14:paraId="427F7A22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F7D4BD6" w14:textId="70C108B0" w:rsidR="00AF22E2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B95A1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9C71B3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962CE4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AF22E2" w14:paraId="26C16136" w14:textId="77777777" w:rsidTr="00C50006">
        <w:trPr>
          <w:trHeight w:val="395"/>
        </w:trPr>
        <w:tc>
          <w:tcPr>
            <w:tcW w:w="1840" w:type="dxa"/>
            <w:vAlign w:val="center"/>
          </w:tcPr>
          <w:p w14:paraId="60247531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71B0CD50" w14:textId="178389C9" w:rsidR="00AF22E2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上海市吴淞路1</w:t>
            </w:r>
            <w:r>
              <w:rPr>
                <w:rFonts w:ascii="宋体" w:eastAsia="宋体" w:hAnsi="宋体" w:cs="宋体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</w:tr>
      <w:tr w:rsidR="00AF22E2" w14:paraId="3D286F4C" w14:textId="77777777">
        <w:trPr>
          <w:trHeight w:val="490"/>
        </w:trPr>
        <w:tc>
          <w:tcPr>
            <w:tcW w:w="1840" w:type="dxa"/>
            <w:vAlign w:val="center"/>
          </w:tcPr>
          <w:p w14:paraId="63BB24DD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1D8220BB" w14:textId="77777777" w:rsidR="00AF22E2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副总裁兼董事会秘书 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蒋家智先生</w:t>
            </w:r>
          </w:p>
          <w:p w14:paraId="4EDBAFA8" w14:textId="280A7B90" w:rsidR="00962CE4" w:rsidRDefault="00962CE4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证券事务代表   李贞女士</w:t>
            </w:r>
          </w:p>
          <w:p w14:paraId="0C8A9FFD" w14:textId="77777777" w:rsidR="00AF22E2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董事会办公室工作人员</w:t>
            </w:r>
          </w:p>
        </w:tc>
      </w:tr>
      <w:tr w:rsidR="00695F46" w14:paraId="6E3BD928" w14:textId="77777777">
        <w:trPr>
          <w:trHeight w:val="90"/>
        </w:trPr>
        <w:tc>
          <w:tcPr>
            <w:tcW w:w="1840" w:type="dxa"/>
            <w:vAlign w:val="center"/>
          </w:tcPr>
          <w:p w14:paraId="53428DE6" w14:textId="77777777" w:rsidR="00695F46" w:rsidRDefault="00695F46" w:rsidP="00695F46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07F1D2ED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63357848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（一）公司业务情况介绍</w:t>
            </w:r>
          </w:p>
          <w:p w14:paraId="1554461D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公司是一家以地产开发、运营和金融为主业，围绕房地产全产业</w:t>
            </w:r>
            <w:proofErr w:type="gramStart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链开展</w:t>
            </w:r>
            <w:proofErr w:type="gramEnd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相关业务布局的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、特色化的</w:t>
            </w: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综合性房地产集团，业务范围涵盖商品房开发与销售、保障性租赁住房开发与运营、科技园区开发与运营、城市历史风貌保护街区功能性开发、酒店建设与管理、配套餐饮、物业服务、商业管理、不动产金融等。近年来，公司积极参与市场竞争，打造职业团队，提升专业能力，开发、运营及金融各</w:t>
            </w:r>
            <w:proofErr w:type="gramStart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版块</w:t>
            </w:r>
            <w:proofErr w:type="gramEnd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协同发展，基本形成了多元化、差异化、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市场</w:t>
            </w: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化的经营格局。</w:t>
            </w:r>
          </w:p>
          <w:p w14:paraId="2782EC3B" w14:textId="76E76F7E" w:rsidR="00430A2D" w:rsidRPr="001B0084" w:rsidRDefault="00012728" w:rsidP="00695F46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7F79C7">
              <w:rPr>
                <w:rFonts w:ascii="宋体" w:eastAsia="宋体" w:hAnsi="宋体" w:hint="eastAsia"/>
                <w:sz w:val="24"/>
                <w:szCs w:val="24"/>
              </w:rPr>
              <w:t>公司开发的若干项目简要</w:t>
            </w:r>
            <w:r w:rsidR="00760EB8">
              <w:rPr>
                <w:rFonts w:ascii="宋体" w:eastAsia="宋体" w:hAnsi="宋体" w:hint="eastAsia"/>
                <w:sz w:val="24"/>
                <w:szCs w:val="24"/>
              </w:rPr>
              <w:t>介绍</w:t>
            </w:r>
            <w:r w:rsidR="007F79C7">
              <w:rPr>
                <w:rFonts w:ascii="宋体" w:eastAsia="宋体" w:hAnsi="宋体" w:hint="eastAsia"/>
                <w:sz w:val="24"/>
                <w:szCs w:val="24"/>
              </w:rPr>
              <w:t>如下</w:t>
            </w:r>
            <w:r w:rsidR="00760EB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CA60C73" w14:textId="180A2BCB" w:rsidR="00695F46" w:rsidRDefault="00760EB8" w:rsidP="00695F46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（1）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露香园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是目前规模比较大的一个地产项目，露香园一期</w:t>
            </w:r>
            <w:r w:rsidR="00BD2AE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已建成交付</w:t>
            </w:r>
            <w:r w:rsidR="00BD2AED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露香园二期分期开发，</w:t>
            </w:r>
            <w:r w:rsidR="00BD2AE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首开区</w:t>
            </w:r>
            <w:r w:rsidR="00BD2AED" w:rsidRPr="00BD2AED">
              <w:rPr>
                <w:rFonts w:ascii="宋体" w:eastAsia="宋体" w:hAnsi="宋体"/>
                <w:bCs/>
                <w:sz w:val="24"/>
                <w:szCs w:val="24"/>
              </w:rPr>
              <w:t>B、D1地块于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695F46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年3月入市，</w:t>
            </w:r>
            <w:r w:rsidR="00AE5247">
              <w:rPr>
                <w:rFonts w:ascii="宋体" w:eastAsia="宋体" w:hAnsi="宋体" w:hint="eastAsia"/>
                <w:bCs/>
                <w:sz w:val="24"/>
                <w:szCs w:val="24"/>
              </w:rPr>
              <w:t>基本售罄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AE5247">
              <w:rPr>
                <w:rFonts w:ascii="宋体" w:eastAsia="宋体" w:hAnsi="宋体" w:hint="eastAsia"/>
                <w:bCs/>
                <w:sz w:val="24"/>
                <w:szCs w:val="24"/>
              </w:rPr>
              <w:t>D地块别墅于2024年6月入市，其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余地块待入市。</w:t>
            </w:r>
          </w:p>
          <w:p w14:paraId="793868FF" w14:textId="17008F63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760EB8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）高阳新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里项目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于2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年8月入市，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127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套公寓和4套联排，基本售罄。</w:t>
            </w:r>
          </w:p>
          <w:p w14:paraId="0420FAF2" w14:textId="63789AEB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汇</w:t>
            </w:r>
            <w:proofErr w:type="gramStart"/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樾庭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proofErr w:type="gramEnd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440套住宅，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于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2023年10月开盘，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基本售罄。</w:t>
            </w:r>
          </w:p>
          <w:p w14:paraId="3FA4243A" w14:textId="24DC0CCE" w:rsidR="00BD2AED" w:rsidRDefault="00BD2AED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（4）</w:t>
            </w:r>
            <w:proofErr w:type="gramStart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虹盛里</w:t>
            </w:r>
            <w:proofErr w:type="gramEnd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（万安路）项目</w:t>
            </w:r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7个地块，一期共4个地块，451套住宅，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已于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2023年8月开盘，二期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房源待入市。</w:t>
            </w:r>
          </w:p>
          <w:p w14:paraId="5EFFBC3D" w14:textId="687ACB87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（5）</w:t>
            </w:r>
            <w:proofErr w:type="gramStart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水尚华庭项目</w:t>
            </w:r>
            <w:proofErr w:type="gramEnd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 w:rsidR="008C4AAD" w:rsidRPr="007F79C7">
              <w:rPr>
                <w:rFonts w:ascii="宋体" w:eastAsia="宋体" w:hAnsi="宋体"/>
                <w:bCs/>
                <w:sz w:val="24"/>
                <w:szCs w:val="24"/>
              </w:rPr>
              <w:t>1138套住宅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，目前正在销售中。</w:t>
            </w:r>
          </w:p>
          <w:p w14:paraId="59B0FD4D" w14:textId="61FBF252" w:rsidR="00BD2AED" w:rsidRDefault="008C4AAD" w:rsidP="008C4AA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（6）长宁项目包括45套公寓和23套联排，预计年内入市。</w:t>
            </w:r>
          </w:p>
          <w:p w14:paraId="6A209DE8" w14:textId="77777777" w:rsidR="008C4AAD" w:rsidRDefault="007F79C7" w:rsidP="008C4AA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r w:rsidR="008C4AAD" w:rsidRPr="00A42A90">
              <w:rPr>
                <w:rFonts w:ascii="宋体" w:eastAsia="宋体" w:hAnsi="宋体" w:hint="eastAsia"/>
                <w:bCs/>
                <w:sz w:val="24"/>
                <w:szCs w:val="24"/>
              </w:rPr>
              <w:t>大桥街道</w:t>
            </w:r>
            <w:r w:rsidR="008C4AAD">
              <w:rPr>
                <w:rFonts w:ascii="宋体" w:eastAsia="宋体" w:hAnsi="宋体"/>
                <w:bCs/>
                <w:sz w:val="24"/>
                <w:szCs w:val="24"/>
              </w:rPr>
              <w:t>94</w:t>
            </w:r>
            <w:r w:rsidR="008C4AAD" w:rsidRPr="00A42A90">
              <w:rPr>
                <w:rFonts w:ascii="宋体" w:eastAsia="宋体" w:hAnsi="宋体"/>
                <w:bCs/>
                <w:sz w:val="24"/>
                <w:szCs w:val="24"/>
              </w:rPr>
              <w:t>街坊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项目包括106套公寓和30套联排，预计年内入市。</w:t>
            </w:r>
          </w:p>
          <w:p w14:paraId="47FEB9C0" w14:textId="13922EF8" w:rsidR="007F79C7" w:rsidRDefault="008C4AAD" w:rsidP="008C4AA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（8）</w:t>
            </w:r>
            <w:r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璟云里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项目分期开发，一期包括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别墅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叠加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大平层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洋房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，共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1097套住宅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已建成交付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二期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住宅为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别墅产品，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目前正在建设中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  <w:p w14:paraId="7339CE9F" w14:textId="3E84DCF0" w:rsidR="007F79C7" w:rsidRDefault="00012728" w:rsidP="00BD2AE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2.“城投宽庭”运营情况</w:t>
            </w:r>
          </w:p>
          <w:p w14:paraId="0B222C01" w14:textId="02CEFFF5" w:rsidR="00012728" w:rsidRPr="007F79C7" w:rsidRDefault="00012728" w:rsidP="00BD2AE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12728">
              <w:rPr>
                <w:rFonts w:ascii="宋体" w:eastAsia="宋体" w:hAnsi="宋体" w:hint="eastAsia"/>
                <w:bCs/>
                <w:sz w:val="24"/>
                <w:szCs w:val="24"/>
              </w:rPr>
              <w:t>“城投宽庭”品牌持续推进规模化运营，目前在营社区总数</w:t>
            </w:r>
            <w:r w:rsidR="00DE4613">
              <w:rPr>
                <w:rFonts w:ascii="宋体" w:eastAsia="宋体" w:hAnsi="宋体" w:hint="eastAsia"/>
                <w:bCs/>
                <w:sz w:val="24"/>
                <w:szCs w:val="24"/>
              </w:rPr>
              <w:t>8</w:t>
            </w:r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个，已入市租赁房源累计约1.</w:t>
            </w:r>
            <w:r w:rsidR="00DE4613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万套。其中，“城投宽庭·江湾社区”和“城投宽庭·光华社区”作为首发基础设施项目，已于2024年1月12日成功发行了国泰君安城</w:t>
            </w:r>
            <w:proofErr w:type="gramStart"/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投宽庭保障</w:t>
            </w:r>
            <w:proofErr w:type="gramEnd"/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性租赁住房封闭式基础设施证券投资基金。</w:t>
            </w:r>
          </w:p>
          <w:p w14:paraId="13E54D27" w14:textId="77777777" w:rsidR="00695F46" w:rsidRPr="00D63F21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A42A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第二部分：提问与回答环节</w:t>
            </w:r>
          </w:p>
          <w:p w14:paraId="5ECD7CA0" w14:textId="0C0938A1" w:rsidR="00695F46" w:rsidRDefault="00695F46" w:rsidP="00695F46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1:</w:t>
            </w:r>
            <w:r w:rsidR="008C444E">
              <w:rPr>
                <w:rFonts w:hint="eastAsia"/>
                <w:b/>
                <w:bCs/>
              </w:rPr>
              <w:t xml:space="preserve"> </w:t>
            </w:r>
            <w:r w:rsidR="00DE2AC3">
              <w:rPr>
                <w:rFonts w:hint="eastAsia"/>
                <w:b/>
                <w:bCs/>
              </w:rPr>
              <w:t>公司是否涉足旅游地产</w:t>
            </w:r>
            <w:r w:rsidR="00012728" w:rsidRPr="00012728">
              <w:rPr>
                <w:b/>
                <w:bCs/>
              </w:rPr>
              <w:t>？</w:t>
            </w:r>
          </w:p>
          <w:p w14:paraId="0C32ED74" w14:textId="79A7FD93" w:rsidR="00695F46" w:rsidRDefault="00695F46" w:rsidP="00695F46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8C444E">
              <w:rPr>
                <w:rFonts w:cs="Times New Roman" w:hint="eastAsia"/>
                <w:shd w:val="clear" w:color="auto" w:fill="FFFFFF"/>
              </w:rPr>
              <w:t xml:space="preserve"> </w:t>
            </w:r>
            <w:r w:rsidR="006C1900">
              <w:rPr>
                <w:rFonts w:cs="Times New Roman" w:hint="eastAsia"/>
                <w:shd w:val="clear" w:color="auto" w:fill="FFFFFF"/>
              </w:rPr>
              <w:t>公司地产开发业务</w:t>
            </w:r>
            <w:r w:rsidR="006C1900" w:rsidRPr="006C1900">
              <w:rPr>
                <w:rFonts w:cs="Times New Roman" w:hint="eastAsia"/>
                <w:shd w:val="clear" w:color="auto" w:fill="FFFFFF"/>
              </w:rPr>
              <w:t>拥有商品房、保障房、租赁住宅、办公、商业、科技园区等多元化的产品体系</w:t>
            </w:r>
            <w:r w:rsidR="006C1900">
              <w:rPr>
                <w:rFonts w:cs="Times New Roman" w:hint="eastAsia"/>
                <w:shd w:val="clear" w:color="auto" w:fill="FFFFFF"/>
              </w:rPr>
              <w:t>，</w:t>
            </w:r>
            <w:r w:rsidR="003D468D">
              <w:rPr>
                <w:rFonts w:cs="Times New Roman" w:hint="eastAsia"/>
                <w:shd w:val="clear" w:color="auto" w:fill="FFFFFF"/>
              </w:rPr>
              <w:t>公司将继续维持</w:t>
            </w:r>
            <w:r w:rsidR="00E2281D">
              <w:rPr>
                <w:rFonts w:cs="Times New Roman" w:hint="eastAsia"/>
                <w:shd w:val="clear" w:color="auto" w:fill="FFFFFF"/>
              </w:rPr>
              <w:t>现有</w:t>
            </w:r>
            <w:r w:rsidR="003D468D">
              <w:rPr>
                <w:rFonts w:cs="Times New Roman" w:hint="eastAsia"/>
                <w:shd w:val="clear" w:color="auto" w:fill="FFFFFF"/>
              </w:rPr>
              <w:t>产品结构</w:t>
            </w:r>
            <w:r w:rsidR="006C1900">
              <w:rPr>
                <w:rFonts w:cs="Times New Roman" w:hint="eastAsia"/>
                <w:shd w:val="clear" w:color="auto" w:fill="FFFFFF"/>
              </w:rPr>
              <w:t>。</w:t>
            </w:r>
          </w:p>
          <w:p w14:paraId="451EB03A" w14:textId="7902620C" w:rsidR="00DE2AC3" w:rsidRPr="008C444E" w:rsidRDefault="00C16EA6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 w:rsidRPr="008C444E">
              <w:rPr>
                <w:rFonts w:hint="eastAsia"/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2</w:t>
            </w:r>
            <w:r w:rsidRPr="008C444E">
              <w:rPr>
                <w:b/>
                <w:bCs/>
              </w:rPr>
              <w:t>:</w:t>
            </w:r>
            <w:r w:rsidR="00DE2AC3">
              <w:rPr>
                <w:rFonts w:hint="eastAsia"/>
                <w:b/>
                <w:bCs/>
              </w:rPr>
              <w:t xml:space="preserve"> </w:t>
            </w:r>
            <w:r w:rsidR="006C1900" w:rsidRPr="006C1900">
              <w:rPr>
                <w:rFonts w:hint="eastAsia"/>
                <w:b/>
                <w:bCs/>
              </w:rPr>
              <w:t>公司有没有投资高科技企业的计划</w:t>
            </w:r>
            <w:r w:rsidR="006C1900">
              <w:rPr>
                <w:rFonts w:hint="eastAsia"/>
                <w:b/>
                <w:bCs/>
              </w:rPr>
              <w:t>？</w:t>
            </w:r>
          </w:p>
          <w:p w14:paraId="7530F050" w14:textId="23458282" w:rsidR="00C16EA6" w:rsidRDefault="00DE2AC3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>
              <w:rPr>
                <w:rFonts w:hint="eastAsia"/>
              </w:rPr>
              <w:t xml:space="preserve"> 公司</w:t>
            </w:r>
            <w:r w:rsidRPr="000F54A9">
              <w:rPr>
                <w:rFonts w:hint="eastAsia"/>
              </w:rPr>
              <w:t>金融板块主要是围绕主业服务，着重房地产上下游产业链进行布局。</w:t>
            </w:r>
            <w:r>
              <w:rPr>
                <w:rFonts w:hint="eastAsia"/>
              </w:rPr>
              <w:t>公司旗下直投平台投资公司去年全力推进保障性租赁住房公募REITs发行工作，积极解决公司重资产低周转率的问题，有效盘活基础设施资产。公司旗</w:t>
            </w:r>
            <w:proofErr w:type="gramStart"/>
            <w:r>
              <w:rPr>
                <w:rFonts w:hint="eastAsia"/>
              </w:rPr>
              <w:t>下诚鼎基金</w:t>
            </w:r>
            <w:proofErr w:type="gramEnd"/>
            <w:r>
              <w:rPr>
                <w:rFonts w:hint="eastAsia"/>
              </w:rPr>
              <w:t>围绕主业布局产业链，投资方向聚焦智慧城市和绿色城市领域、冷链</w:t>
            </w:r>
            <w:proofErr w:type="gramStart"/>
            <w:r>
              <w:rPr>
                <w:rFonts w:hint="eastAsia"/>
              </w:rPr>
              <w:t>物流全</w:t>
            </w:r>
            <w:proofErr w:type="gramEnd"/>
            <w:r>
              <w:rPr>
                <w:rFonts w:hint="eastAsia"/>
              </w:rPr>
              <w:t>产业链等。</w:t>
            </w:r>
          </w:p>
          <w:p w14:paraId="3257A088" w14:textId="50CB4734" w:rsidR="00DE2AC3" w:rsidRPr="008C444E" w:rsidRDefault="008C444E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 w:rsidRPr="008C444E">
              <w:rPr>
                <w:rFonts w:hint="eastAsia"/>
                <w:b/>
                <w:bCs/>
              </w:rPr>
              <w:t>Q3</w:t>
            </w:r>
            <w:r w:rsidRPr="008C444E">
              <w:rPr>
                <w:b/>
                <w:bCs/>
              </w:rPr>
              <w:t>:</w:t>
            </w:r>
            <w:r w:rsidR="00147A04">
              <w:rPr>
                <w:rFonts w:hint="eastAsia"/>
                <w:b/>
                <w:bCs/>
              </w:rPr>
              <w:t xml:space="preserve"> </w:t>
            </w:r>
            <w:r w:rsidR="00DE2AC3">
              <w:rPr>
                <w:rFonts w:hint="eastAsia"/>
                <w:b/>
                <w:bCs/>
              </w:rPr>
              <w:t>公司未来会增加</w:t>
            </w:r>
            <w:proofErr w:type="gramStart"/>
            <w:r w:rsidR="00DE2AC3">
              <w:rPr>
                <w:rFonts w:hint="eastAsia"/>
                <w:b/>
                <w:bCs/>
              </w:rPr>
              <w:t>像露香园这样</w:t>
            </w:r>
            <w:proofErr w:type="gramEnd"/>
            <w:r w:rsidR="00DE2AC3">
              <w:rPr>
                <w:rFonts w:hint="eastAsia"/>
                <w:b/>
                <w:bCs/>
              </w:rPr>
              <w:t>黄金地段的储备项目吗</w:t>
            </w:r>
            <w:r w:rsidR="00DE2AC3" w:rsidRPr="008C444E">
              <w:rPr>
                <w:b/>
                <w:bCs/>
              </w:rPr>
              <w:t>？</w:t>
            </w:r>
          </w:p>
          <w:p w14:paraId="5C6088AF" w14:textId="532778EF" w:rsidR="008C444E" w:rsidRPr="008C444E" w:rsidRDefault="00DE2AC3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7A5281">
              <w:rPr>
                <w:rFonts w:hint="eastAsia"/>
              </w:rPr>
              <w:t>露香园项目</w:t>
            </w:r>
            <w:r w:rsidR="00E2281D">
              <w:rPr>
                <w:rFonts w:hint="eastAsia"/>
              </w:rPr>
              <w:t>虽然</w:t>
            </w:r>
            <w:r w:rsidR="002F51F4">
              <w:rPr>
                <w:rFonts w:hint="eastAsia"/>
              </w:rPr>
              <w:t>整</w:t>
            </w:r>
            <w:r w:rsidR="003D468D">
              <w:rPr>
                <w:rFonts w:hint="eastAsia"/>
              </w:rPr>
              <w:t>体</w:t>
            </w:r>
            <w:r w:rsidR="007A5281">
              <w:rPr>
                <w:rFonts w:hint="eastAsia"/>
              </w:rPr>
              <w:t>资金投入大，</w:t>
            </w:r>
            <w:r w:rsidR="00E2281D">
              <w:rPr>
                <w:rFonts w:hint="eastAsia"/>
              </w:rPr>
              <w:t>涉及历史风貌保护，建设</w:t>
            </w:r>
            <w:r w:rsidR="002F51F4">
              <w:rPr>
                <w:rFonts w:hint="eastAsia"/>
              </w:rPr>
              <w:t>难度高，</w:t>
            </w:r>
            <w:r w:rsidR="00E2281D">
              <w:rPr>
                <w:rFonts w:hint="eastAsia"/>
              </w:rPr>
              <w:t>但是公司开发高端商品住宅的一个经典案例</w:t>
            </w:r>
            <w:r w:rsidR="002F51F4">
              <w:rPr>
                <w:rFonts w:hint="eastAsia"/>
              </w:rPr>
              <w:t>。</w:t>
            </w:r>
            <w:r w:rsidR="00C93CE1" w:rsidRPr="00C93CE1">
              <w:rPr>
                <w:rFonts w:hint="eastAsia"/>
              </w:rPr>
              <w:t>公司</w:t>
            </w:r>
            <w:r w:rsidR="00C93CE1">
              <w:rPr>
                <w:rFonts w:hint="eastAsia"/>
              </w:rPr>
              <w:t>会</w:t>
            </w:r>
            <w:r w:rsidR="00C93CE1" w:rsidRPr="00C93CE1">
              <w:rPr>
                <w:rFonts w:hint="eastAsia"/>
              </w:rPr>
              <w:t>根据政策动向、市场变化情况，合理做好</w:t>
            </w:r>
            <w:r w:rsidR="00E2281D">
              <w:rPr>
                <w:rFonts w:hint="eastAsia"/>
              </w:rPr>
              <w:t>未来</w:t>
            </w:r>
            <w:r w:rsidR="00C93CE1" w:rsidRPr="00C93CE1">
              <w:rPr>
                <w:rFonts w:hint="eastAsia"/>
              </w:rPr>
              <w:t>投资安排，</w:t>
            </w:r>
            <w:r w:rsidR="00C93CE1">
              <w:rPr>
                <w:rFonts w:hint="eastAsia"/>
              </w:rPr>
              <w:t>目前公司更集中精力关注中心城区的优质商品房项目。</w:t>
            </w:r>
          </w:p>
          <w:p w14:paraId="338B754F" w14:textId="21778769" w:rsidR="00F52A29" w:rsidRDefault="00F52A29" w:rsidP="008C444E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 w:rsidR="008C444E"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="00147A04">
              <w:rPr>
                <w:rFonts w:hint="eastAsia"/>
                <w:b/>
                <w:bCs/>
              </w:rPr>
              <w:t xml:space="preserve"> </w:t>
            </w:r>
            <w:proofErr w:type="gramStart"/>
            <w:r w:rsidR="00DE2AC3">
              <w:rPr>
                <w:rFonts w:hint="eastAsia"/>
                <w:b/>
                <w:bCs/>
              </w:rPr>
              <w:t>水尚华</w:t>
            </w:r>
            <w:proofErr w:type="gramEnd"/>
            <w:r w:rsidR="00DE2AC3">
              <w:rPr>
                <w:rFonts w:hint="eastAsia"/>
                <w:b/>
                <w:bCs/>
              </w:rPr>
              <w:t>庭和万安路项目</w:t>
            </w:r>
            <w:r w:rsidR="006C1900">
              <w:rPr>
                <w:rFonts w:hint="eastAsia"/>
                <w:b/>
                <w:bCs/>
              </w:rPr>
              <w:t>后续的去化规划</w:t>
            </w:r>
            <w:r>
              <w:rPr>
                <w:rFonts w:hint="eastAsia"/>
                <w:b/>
                <w:bCs/>
              </w:rPr>
              <w:t>？</w:t>
            </w:r>
          </w:p>
          <w:p w14:paraId="21E5CF55" w14:textId="59FDBDFD" w:rsidR="00CF0E87" w:rsidRPr="000F54A9" w:rsidRDefault="00F52A29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CF0E87">
              <w:rPr>
                <w:rFonts w:hint="eastAsia"/>
              </w:rPr>
              <w:t xml:space="preserve"> </w:t>
            </w:r>
            <w:r w:rsidR="006C1900" w:rsidRPr="006C1900">
              <w:rPr>
                <w:rFonts w:hint="eastAsia"/>
              </w:rPr>
              <w:t>公司将通过加大宣传力度，拓宽销售渠道等方式进一步加快项目的销售去化。</w:t>
            </w:r>
          </w:p>
          <w:p w14:paraId="45756447" w14:textId="6BF93B65" w:rsidR="00DE2AC3" w:rsidRDefault="00DE2AC3" w:rsidP="000F54A9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 w:rsidR="00212BBA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：</w:t>
            </w:r>
            <w:proofErr w:type="gramStart"/>
            <w:r w:rsidR="00E2281D">
              <w:rPr>
                <w:rFonts w:hint="eastAsia"/>
                <w:b/>
                <w:bCs/>
              </w:rPr>
              <w:t>水尚华庭项目</w:t>
            </w:r>
            <w:proofErr w:type="gramEnd"/>
            <w:r w:rsidR="00E2281D">
              <w:rPr>
                <w:rFonts w:hint="eastAsia"/>
                <w:b/>
                <w:bCs/>
              </w:rPr>
              <w:t>还会计提减值吗</w:t>
            </w:r>
            <w:r>
              <w:rPr>
                <w:rFonts w:hint="eastAsia"/>
                <w:b/>
                <w:bCs/>
              </w:rPr>
              <w:t>?</w:t>
            </w:r>
          </w:p>
          <w:p w14:paraId="33063172" w14:textId="77777777" w:rsidR="000F54A9" w:rsidRDefault="00DE2AC3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</w:pPr>
            <w:r>
              <w:rPr>
                <w:rFonts w:hint="eastAsia"/>
              </w:rPr>
              <w:t>A:</w:t>
            </w:r>
            <w:r w:rsidR="00E2281D">
              <w:rPr>
                <w:rFonts w:hint="eastAsia"/>
              </w:rPr>
              <w:t>公司在2023年年报中披露</w:t>
            </w:r>
            <w:proofErr w:type="gramStart"/>
            <w:r w:rsidR="00E2281D">
              <w:rPr>
                <w:rFonts w:hint="eastAsia"/>
              </w:rPr>
              <w:t>水尚华庭项目</w:t>
            </w:r>
            <w:proofErr w:type="gramEnd"/>
            <w:r w:rsidR="00E2281D">
              <w:rPr>
                <w:rFonts w:hint="eastAsia"/>
              </w:rPr>
              <w:t>存货减值2亿。该项目受到地理位置和房地产市场的影响，去化速度较慢，后续公司将通过加大宣传力度，拓宽销售渠道等方式进一步加快项目的销售去化。目前暂无相关减值计划。</w:t>
            </w:r>
          </w:p>
          <w:p w14:paraId="0FA3BA3C" w14:textId="6895EAB4" w:rsidR="00212BBA" w:rsidRDefault="00212BBA" w:rsidP="00212BBA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DE2AC3">
              <w:rPr>
                <w:rFonts w:hint="eastAsia"/>
                <w:b/>
                <w:bCs/>
              </w:rPr>
              <w:t>公司未来还有回购计划吗？</w:t>
            </w:r>
          </w:p>
          <w:p w14:paraId="172C3EC8" w14:textId="77777777" w:rsidR="00212BBA" w:rsidRDefault="00212BBA" w:rsidP="00212BBA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>
              <w:rPr>
                <w:rFonts w:hint="eastAsia"/>
              </w:rPr>
              <w:t xml:space="preserve"> </w:t>
            </w:r>
            <w:r w:rsidRPr="00C93CE1">
              <w:rPr>
                <w:rFonts w:hint="eastAsia"/>
              </w:rPr>
              <w:t>公司于2022年首次实施回购股份</w:t>
            </w:r>
            <w:r>
              <w:rPr>
                <w:rFonts w:hint="eastAsia"/>
              </w:rPr>
              <w:t>，</w:t>
            </w:r>
            <w:r w:rsidRPr="00C93CE1">
              <w:rPr>
                <w:rFonts w:hint="eastAsia"/>
              </w:rPr>
              <w:t>公司保持稳健经营</w:t>
            </w:r>
            <w:r>
              <w:rPr>
                <w:rFonts w:hint="eastAsia"/>
              </w:rPr>
              <w:t>，</w:t>
            </w:r>
            <w:r w:rsidRPr="00C93CE1">
              <w:rPr>
                <w:rFonts w:hint="eastAsia"/>
              </w:rPr>
              <w:t>董事会及经营层积极致力于公司的长远和可持续发展，开发、运营与投资三大板块协同促进，不断提升公司的综合实力和品牌影响力，提高公司竞争力和内在价值。同时公司也将持续规范强化公司治理，提高信息披露质量，增强与投资者的沟通交流，合理制定股东分红政策，树立公司在资本市场的良好形象，希望能给投资者带来长期的、合理的回报。</w:t>
            </w:r>
          </w:p>
          <w:p w14:paraId="167DABFD" w14:textId="68AB4DC4" w:rsidR="00212BBA" w:rsidRPr="00212BBA" w:rsidRDefault="00212BBA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</w:p>
        </w:tc>
      </w:tr>
      <w:tr w:rsidR="00695F46" w14:paraId="049C4F24" w14:textId="77777777">
        <w:trPr>
          <w:trHeight w:val="490"/>
        </w:trPr>
        <w:tc>
          <w:tcPr>
            <w:tcW w:w="1840" w:type="dxa"/>
            <w:vAlign w:val="center"/>
          </w:tcPr>
          <w:p w14:paraId="0906C1FB" w14:textId="77777777" w:rsidR="00695F46" w:rsidRDefault="00695F46" w:rsidP="00695F46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900" w:type="dxa"/>
            <w:vAlign w:val="center"/>
          </w:tcPr>
          <w:p w14:paraId="634C63C4" w14:textId="7EFD7935" w:rsidR="00695F46" w:rsidRDefault="00695F46" w:rsidP="00695F46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695F46" w14:paraId="17490D23" w14:textId="77777777">
        <w:trPr>
          <w:trHeight w:val="490"/>
        </w:trPr>
        <w:tc>
          <w:tcPr>
            <w:tcW w:w="9740" w:type="dxa"/>
            <w:gridSpan w:val="2"/>
            <w:shd w:val="clear" w:color="auto" w:fill="auto"/>
            <w:vAlign w:val="center"/>
          </w:tcPr>
          <w:p w14:paraId="7B94D1FF" w14:textId="77777777" w:rsidR="00695F46" w:rsidRDefault="00695F46" w:rsidP="00695F4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视为公司或管理层对公司业绩的保证或承诺，敬请广大投资者注意投资风险。</w:t>
            </w:r>
          </w:p>
        </w:tc>
      </w:tr>
    </w:tbl>
    <w:p w14:paraId="6889C7F6" w14:textId="77777777" w:rsidR="00AF22E2" w:rsidRDefault="00AF22E2">
      <w:pPr>
        <w:spacing w:line="26" w:lineRule="atLeast"/>
        <w:rPr>
          <w:rFonts w:ascii="宋体" w:eastAsia="宋体" w:hAnsi="宋体" w:cs="宋体" w:hint="eastAsia"/>
          <w:b/>
          <w:sz w:val="24"/>
          <w:szCs w:val="24"/>
        </w:rPr>
      </w:pPr>
    </w:p>
    <w:sectPr w:rsidR="00AF22E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5E15" w14:textId="77777777" w:rsidR="00AA2D2D" w:rsidRDefault="00AA2D2D">
      <w:pPr>
        <w:rPr>
          <w:rFonts w:hint="eastAsia"/>
        </w:rPr>
      </w:pPr>
      <w:r>
        <w:separator/>
      </w:r>
    </w:p>
  </w:endnote>
  <w:endnote w:type="continuationSeparator" w:id="0">
    <w:p w14:paraId="5996E52D" w14:textId="77777777" w:rsidR="00AA2D2D" w:rsidRDefault="00AA2D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6729" w14:textId="77777777" w:rsidR="00AF22E2" w:rsidRDefault="00AF22E2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5AE5" w14:textId="77777777" w:rsidR="00AA2D2D" w:rsidRDefault="00AA2D2D">
      <w:pPr>
        <w:rPr>
          <w:rFonts w:hint="eastAsia"/>
        </w:rPr>
      </w:pPr>
      <w:r>
        <w:separator/>
      </w:r>
    </w:p>
  </w:footnote>
  <w:footnote w:type="continuationSeparator" w:id="0">
    <w:p w14:paraId="63CD983D" w14:textId="77777777" w:rsidR="00AA2D2D" w:rsidRDefault="00AA2D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1190"/>
    <w:rsid w:val="00011B34"/>
    <w:rsid w:val="000121C8"/>
    <w:rsid w:val="0001272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321B"/>
    <w:rsid w:val="000933D6"/>
    <w:rsid w:val="00093950"/>
    <w:rsid w:val="00093A10"/>
    <w:rsid w:val="000944A8"/>
    <w:rsid w:val="00094581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7B3"/>
    <w:rsid w:val="000B4D40"/>
    <w:rsid w:val="000B4D6A"/>
    <w:rsid w:val="000B4EA2"/>
    <w:rsid w:val="000B5E14"/>
    <w:rsid w:val="000B6468"/>
    <w:rsid w:val="000B6740"/>
    <w:rsid w:val="000B7094"/>
    <w:rsid w:val="000B714C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4A9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4983"/>
    <w:rsid w:val="0014537D"/>
    <w:rsid w:val="00145A39"/>
    <w:rsid w:val="00146ACC"/>
    <w:rsid w:val="001473C2"/>
    <w:rsid w:val="001479EE"/>
    <w:rsid w:val="00147A04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97C38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084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3293"/>
    <w:rsid w:val="001F48A6"/>
    <w:rsid w:val="001F5315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BBA"/>
    <w:rsid w:val="00212F92"/>
    <w:rsid w:val="0021343C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73D8"/>
    <w:rsid w:val="0026054B"/>
    <w:rsid w:val="0026402F"/>
    <w:rsid w:val="002654C8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142E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1F4"/>
    <w:rsid w:val="002F5950"/>
    <w:rsid w:val="0030039D"/>
    <w:rsid w:val="00300415"/>
    <w:rsid w:val="003008FB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4CE0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70B8F"/>
    <w:rsid w:val="0037172A"/>
    <w:rsid w:val="003717A3"/>
    <w:rsid w:val="003737C5"/>
    <w:rsid w:val="00373868"/>
    <w:rsid w:val="00374545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B06D0"/>
    <w:rsid w:val="003B25C7"/>
    <w:rsid w:val="003B442D"/>
    <w:rsid w:val="003B4983"/>
    <w:rsid w:val="003B5081"/>
    <w:rsid w:val="003B5262"/>
    <w:rsid w:val="003B539B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468D"/>
    <w:rsid w:val="003D5A13"/>
    <w:rsid w:val="003D6F39"/>
    <w:rsid w:val="003D6F80"/>
    <w:rsid w:val="003D7590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A2D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6847"/>
    <w:rsid w:val="004472C8"/>
    <w:rsid w:val="00451341"/>
    <w:rsid w:val="00451660"/>
    <w:rsid w:val="004519F5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001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6E3"/>
    <w:rsid w:val="004A19FC"/>
    <w:rsid w:val="004A1E67"/>
    <w:rsid w:val="004A2FA7"/>
    <w:rsid w:val="004A531C"/>
    <w:rsid w:val="004A62E7"/>
    <w:rsid w:val="004A68C9"/>
    <w:rsid w:val="004A6E7D"/>
    <w:rsid w:val="004B1B19"/>
    <w:rsid w:val="004B2BB9"/>
    <w:rsid w:val="004B34F5"/>
    <w:rsid w:val="004B3FE0"/>
    <w:rsid w:val="004B490E"/>
    <w:rsid w:val="004B57CA"/>
    <w:rsid w:val="004B6CB6"/>
    <w:rsid w:val="004B7DAC"/>
    <w:rsid w:val="004C0498"/>
    <w:rsid w:val="004C064C"/>
    <w:rsid w:val="004C1504"/>
    <w:rsid w:val="004C1FEA"/>
    <w:rsid w:val="004C26CB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27B06"/>
    <w:rsid w:val="005324BB"/>
    <w:rsid w:val="00532B96"/>
    <w:rsid w:val="00532DD8"/>
    <w:rsid w:val="005335B8"/>
    <w:rsid w:val="0053390C"/>
    <w:rsid w:val="00533C83"/>
    <w:rsid w:val="00536CD7"/>
    <w:rsid w:val="00540D45"/>
    <w:rsid w:val="00544DC4"/>
    <w:rsid w:val="0054553A"/>
    <w:rsid w:val="00546DF2"/>
    <w:rsid w:val="005470C2"/>
    <w:rsid w:val="0054740D"/>
    <w:rsid w:val="0054781D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4534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066"/>
    <w:rsid w:val="00606FD2"/>
    <w:rsid w:val="0061042C"/>
    <w:rsid w:val="0061221D"/>
    <w:rsid w:val="0061230C"/>
    <w:rsid w:val="00612B2F"/>
    <w:rsid w:val="00615F69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54D7"/>
    <w:rsid w:val="006374CD"/>
    <w:rsid w:val="00641C81"/>
    <w:rsid w:val="00641DFD"/>
    <w:rsid w:val="00642339"/>
    <w:rsid w:val="00643754"/>
    <w:rsid w:val="006443AC"/>
    <w:rsid w:val="00644D75"/>
    <w:rsid w:val="00644E39"/>
    <w:rsid w:val="00644E99"/>
    <w:rsid w:val="0064636E"/>
    <w:rsid w:val="0064699B"/>
    <w:rsid w:val="00647460"/>
    <w:rsid w:val="006507FC"/>
    <w:rsid w:val="0065084A"/>
    <w:rsid w:val="00650BDD"/>
    <w:rsid w:val="00651E4B"/>
    <w:rsid w:val="006523A0"/>
    <w:rsid w:val="00652627"/>
    <w:rsid w:val="00653813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6C20"/>
    <w:rsid w:val="00667695"/>
    <w:rsid w:val="00670255"/>
    <w:rsid w:val="00671474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6"/>
    <w:rsid w:val="00695F4D"/>
    <w:rsid w:val="006967C2"/>
    <w:rsid w:val="006A04DA"/>
    <w:rsid w:val="006A0591"/>
    <w:rsid w:val="006A1073"/>
    <w:rsid w:val="006A1ED9"/>
    <w:rsid w:val="006A2428"/>
    <w:rsid w:val="006A470E"/>
    <w:rsid w:val="006A5D58"/>
    <w:rsid w:val="006B0FE9"/>
    <w:rsid w:val="006B1C9F"/>
    <w:rsid w:val="006B2D60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11EC"/>
    <w:rsid w:val="006C1441"/>
    <w:rsid w:val="006C163B"/>
    <w:rsid w:val="006C1900"/>
    <w:rsid w:val="006C35BF"/>
    <w:rsid w:val="006C3AA9"/>
    <w:rsid w:val="006C4380"/>
    <w:rsid w:val="006C4716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164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E68"/>
    <w:rsid w:val="00720600"/>
    <w:rsid w:val="007227BA"/>
    <w:rsid w:val="00722F68"/>
    <w:rsid w:val="0072320E"/>
    <w:rsid w:val="0072434C"/>
    <w:rsid w:val="0072560A"/>
    <w:rsid w:val="00727E4F"/>
    <w:rsid w:val="00730856"/>
    <w:rsid w:val="00730D98"/>
    <w:rsid w:val="00730E8E"/>
    <w:rsid w:val="00730F83"/>
    <w:rsid w:val="0073274F"/>
    <w:rsid w:val="00732A78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0EB8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538B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281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066"/>
    <w:rsid w:val="007B3A9E"/>
    <w:rsid w:val="007B3CFC"/>
    <w:rsid w:val="007B44E9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D7B5F"/>
    <w:rsid w:val="007E032F"/>
    <w:rsid w:val="007E1957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7F79C7"/>
    <w:rsid w:val="008019AE"/>
    <w:rsid w:val="00801F04"/>
    <w:rsid w:val="00801F28"/>
    <w:rsid w:val="0080407C"/>
    <w:rsid w:val="00807009"/>
    <w:rsid w:val="008112B9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37A4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61000"/>
    <w:rsid w:val="00861E1A"/>
    <w:rsid w:val="00862722"/>
    <w:rsid w:val="0086364C"/>
    <w:rsid w:val="00863D0A"/>
    <w:rsid w:val="008644EF"/>
    <w:rsid w:val="00864728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BBA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8C1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AD8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444E"/>
    <w:rsid w:val="008C4AAD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FD5"/>
    <w:rsid w:val="008E3A96"/>
    <w:rsid w:val="008E3CC6"/>
    <w:rsid w:val="008E5302"/>
    <w:rsid w:val="008E5C1D"/>
    <w:rsid w:val="008E6A4C"/>
    <w:rsid w:val="008E6FD5"/>
    <w:rsid w:val="008E7C68"/>
    <w:rsid w:val="008F02E9"/>
    <w:rsid w:val="008F129B"/>
    <w:rsid w:val="008F2A12"/>
    <w:rsid w:val="008F4791"/>
    <w:rsid w:val="008F4876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2CE4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6841"/>
    <w:rsid w:val="0098684C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AEA"/>
    <w:rsid w:val="009C7074"/>
    <w:rsid w:val="009C71B3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741A"/>
    <w:rsid w:val="009F03C4"/>
    <w:rsid w:val="009F04A5"/>
    <w:rsid w:val="009F44AF"/>
    <w:rsid w:val="009F6146"/>
    <w:rsid w:val="00A0269D"/>
    <w:rsid w:val="00A02F4B"/>
    <w:rsid w:val="00A03611"/>
    <w:rsid w:val="00A06501"/>
    <w:rsid w:val="00A10F4E"/>
    <w:rsid w:val="00A13A32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34AA"/>
    <w:rsid w:val="00A443DF"/>
    <w:rsid w:val="00A456DC"/>
    <w:rsid w:val="00A4658D"/>
    <w:rsid w:val="00A46907"/>
    <w:rsid w:val="00A46B5F"/>
    <w:rsid w:val="00A47597"/>
    <w:rsid w:val="00A50A4F"/>
    <w:rsid w:val="00A5195F"/>
    <w:rsid w:val="00A51A4E"/>
    <w:rsid w:val="00A51CC6"/>
    <w:rsid w:val="00A5268B"/>
    <w:rsid w:val="00A52CE8"/>
    <w:rsid w:val="00A53C95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2D2D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22BB"/>
    <w:rsid w:val="00AC3C42"/>
    <w:rsid w:val="00AC3F18"/>
    <w:rsid w:val="00AC450C"/>
    <w:rsid w:val="00AC45E6"/>
    <w:rsid w:val="00AC4CF2"/>
    <w:rsid w:val="00AC56B5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241"/>
    <w:rsid w:val="00AE3446"/>
    <w:rsid w:val="00AE3D47"/>
    <w:rsid w:val="00AE3DA9"/>
    <w:rsid w:val="00AE5247"/>
    <w:rsid w:val="00AE55B1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22E2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576A"/>
    <w:rsid w:val="00B95A12"/>
    <w:rsid w:val="00B96286"/>
    <w:rsid w:val="00BA0CC5"/>
    <w:rsid w:val="00BA0EEF"/>
    <w:rsid w:val="00BA4524"/>
    <w:rsid w:val="00BA4830"/>
    <w:rsid w:val="00BA5769"/>
    <w:rsid w:val="00BA7015"/>
    <w:rsid w:val="00BA7025"/>
    <w:rsid w:val="00BA7357"/>
    <w:rsid w:val="00BA76E8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9F4"/>
    <w:rsid w:val="00BD24B8"/>
    <w:rsid w:val="00BD2AED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6A59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6EA6"/>
    <w:rsid w:val="00C174A5"/>
    <w:rsid w:val="00C1764A"/>
    <w:rsid w:val="00C204B6"/>
    <w:rsid w:val="00C211A5"/>
    <w:rsid w:val="00C214F1"/>
    <w:rsid w:val="00C2225A"/>
    <w:rsid w:val="00C23837"/>
    <w:rsid w:val="00C24B92"/>
    <w:rsid w:val="00C255A0"/>
    <w:rsid w:val="00C25B03"/>
    <w:rsid w:val="00C25E48"/>
    <w:rsid w:val="00C303B3"/>
    <w:rsid w:val="00C30F6F"/>
    <w:rsid w:val="00C32E8C"/>
    <w:rsid w:val="00C330FD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0006"/>
    <w:rsid w:val="00C5176D"/>
    <w:rsid w:val="00C52157"/>
    <w:rsid w:val="00C523AD"/>
    <w:rsid w:val="00C5265E"/>
    <w:rsid w:val="00C527CB"/>
    <w:rsid w:val="00C5535A"/>
    <w:rsid w:val="00C554D3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CFF"/>
    <w:rsid w:val="00C776A4"/>
    <w:rsid w:val="00C80D0E"/>
    <w:rsid w:val="00C80ECD"/>
    <w:rsid w:val="00C835CC"/>
    <w:rsid w:val="00C83DFB"/>
    <w:rsid w:val="00C844C8"/>
    <w:rsid w:val="00C8468B"/>
    <w:rsid w:val="00C84705"/>
    <w:rsid w:val="00C84D37"/>
    <w:rsid w:val="00C85AF5"/>
    <w:rsid w:val="00C85F20"/>
    <w:rsid w:val="00C8782D"/>
    <w:rsid w:val="00C90231"/>
    <w:rsid w:val="00C91ECC"/>
    <w:rsid w:val="00C9261D"/>
    <w:rsid w:val="00C93555"/>
    <w:rsid w:val="00C93CE1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7F8"/>
    <w:rsid w:val="00CA585C"/>
    <w:rsid w:val="00CA5C1B"/>
    <w:rsid w:val="00CA606C"/>
    <w:rsid w:val="00CA7375"/>
    <w:rsid w:val="00CA7537"/>
    <w:rsid w:val="00CA796E"/>
    <w:rsid w:val="00CA7A1B"/>
    <w:rsid w:val="00CB00C9"/>
    <w:rsid w:val="00CB0802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B84"/>
    <w:rsid w:val="00CD430E"/>
    <w:rsid w:val="00CD4478"/>
    <w:rsid w:val="00CD4E70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3EB7"/>
    <w:rsid w:val="00CE4C7E"/>
    <w:rsid w:val="00CE5B92"/>
    <w:rsid w:val="00CE7E36"/>
    <w:rsid w:val="00CF005F"/>
    <w:rsid w:val="00CF0E87"/>
    <w:rsid w:val="00CF2718"/>
    <w:rsid w:val="00CF2E28"/>
    <w:rsid w:val="00CF2E8E"/>
    <w:rsid w:val="00CF2F00"/>
    <w:rsid w:val="00CF4448"/>
    <w:rsid w:val="00D006F8"/>
    <w:rsid w:val="00D01499"/>
    <w:rsid w:val="00D030E3"/>
    <w:rsid w:val="00D034F2"/>
    <w:rsid w:val="00D04437"/>
    <w:rsid w:val="00D0520C"/>
    <w:rsid w:val="00D06EF9"/>
    <w:rsid w:val="00D07521"/>
    <w:rsid w:val="00D12347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30A28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522"/>
    <w:rsid w:val="00D64D13"/>
    <w:rsid w:val="00D667F7"/>
    <w:rsid w:val="00D67E5E"/>
    <w:rsid w:val="00D70145"/>
    <w:rsid w:val="00D704EA"/>
    <w:rsid w:val="00D712BF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4BF1"/>
    <w:rsid w:val="00DA6740"/>
    <w:rsid w:val="00DA70A3"/>
    <w:rsid w:val="00DA7A6B"/>
    <w:rsid w:val="00DA7B88"/>
    <w:rsid w:val="00DA7BB4"/>
    <w:rsid w:val="00DA7BE3"/>
    <w:rsid w:val="00DA7CFB"/>
    <w:rsid w:val="00DB1F1B"/>
    <w:rsid w:val="00DB20F1"/>
    <w:rsid w:val="00DB549D"/>
    <w:rsid w:val="00DB5C33"/>
    <w:rsid w:val="00DB5D57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2AC3"/>
    <w:rsid w:val="00DE3930"/>
    <w:rsid w:val="00DE3DF1"/>
    <w:rsid w:val="00DE3EB7"/>
    <w:rsid w:val="00DE3EFC"/>
    <w:rsid w:val="00DE44F9"/>
    <w:rsid w:val="00DE4613"/>
    <w:rsid w:val="00DE493F"/>
    <w:rsid w:val="00DE55E5"/>
    <w:rsid w:val="00DE56E6"/>
    <w:rsid w:val="00DE6718"/>
    <w:rsid w:val="00DE75D1"/>
    <w:rsid w:val="00DE7B8E"/>
    <w:rsid w:val="00DF089E"/>
    <w:rsid w:val="00DF2092"/>
    <w:rsid w:val="00DF4A37"/>
    <w:rsid w:val="00DF4B86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81D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5D6E"/>
    <w:rsid w:val="00E47D59"/>
    <w:rsid w:val="00E50061"/>
    <w:rsid w:val="00E5028C"/>
    <w:rsid w:val="00E5090B"/>
    <w:rsid w:val="00E529F3"/>
    <w:rsid w:val="00E52A06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98A"/>
    <w:rsid w:val="00E800D8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F15C6"/>
    <w:rsid w:val="00EF26CA"/>
    <w:rsid w:val="00EF342C"/>
    <w:rsid w:val="00EF419B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1077F"/>
    <w:rsid w:val="00F109C9"/>
    <w:rsid w:val="00F11154"/>
    <w:rsid w:val="00F12B34"/>
    <w:rsid w:val="00F150E0"/>
    <w:rsid w:val="00F156A5"/>
    <w:rsid w:val="00F17307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1C3B"/>
    <w:rsid w:val="00F52A29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29B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3A0D"/>
    <w:rsid w:val="00FB65F5"/>
    <w:rsid w:val="00FC0C83"/>
    <w:rsid w:val="00FC18CD"/>
    <w:rsid w:val="00FC1F3B"/>
    <w:rsid w:val="00FC4F2C"/>
    <w:rsid w:val="00FC6CD8"/>
    <w:rsid w:val="00FC6EDF"/>
    <w:rsid w:val="00FC7555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3738E"/>
    <w:rsid w:val="7136706E"/>
    <w:rsid w:val="714A1A8C"/>
    <w:rsid w:val="716F713B"/>
    <w:rsid w:val="71783D3B"/>
    <w:rsid w:val="71907B36"/>
    <w:rsid w:val="71E76508"/>
    <w:rsid w:val="71FE226D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6A18"/>
  <w15:docId w15:val="{E96C1512-5369-47AE-A72C-0B130E8E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activekeyword">
    <w:name w:val="activekeyword"/>
    <w:basedOn w:val="a0"/>
    <w:qFormat/>
  </w:style>
  <w:style w:type="paragraph" w:customStyle="1" w:styleId="41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5D8C-9712-4A18-AB79-2737DBAA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300</Words>
  <Characters>1713</Characters>
  <Application>Microsoft Office Word</Application>
  <DocSecurity>0</DocSecurity>
  <Lines>14</Lines>
  <Paragraphs>4</Paragraphs>
  <ScaleCrop>false</ScaleCrop>
  <Company>WORKGROUP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konggu chengtou</cp:lastModifiedBy>
  <cp:revision>22</cp:revision>
  <cp:lastPrinted>2024-07-03T09:37:00Z</cp:lastPrinted>
  <dcterms:created xsi:type="dcterms:W3CDTF">2023-09-04T11:58:00Z</dcterms:created>
  <dcterms:modified xsi:type="dcterms:W3CDTF">2024-07-24T10:43:00Z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B559D59F230B420AA2CBC5EF005973C5</vt:lpwstr>
  </property>
</Properties>
</file>