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pPr>
        <w:jc w:val="right"/>
        <w:rPr>
          <w:rFonts w:hint="eastAsia" w:ascii="宋体" w:hAnsi="宋体" w:eastAsia="宋体"/>
          <w:lang w:eastAsia="zh-CN"/>
        </w:rPr>
      </w:pPr>
      <w:r>
        <w:rPr>
          <w:rFonts w:hint="eastAsia" w:ascii="宋体" w:hAnsi="宋体"/>
        </w:rPr>
        <w:t>编号：2024-00</w:t>
      </w:r>
      <w:r>
        <w:rPr>
          <w:rFonts w:hint="eastAsia" w:ascii="宋体" w:hAnsi="宋体"/>
          <w:lang w:val="en-US" w:eastAsia="zh-CN"/>
        </w:rPr>
        <w:t>5</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pPr>
              <w:pStyle w:val="24"/>
              <w:adjustRightInd w:val="0"/>
              <w:snapToGrid w:val="0"/>
              <w:spacing w:line="348" w:lineRule="auto"/>
              <w:rPr>
                <w:b/>
                <w:bCs/>
                <w:iCs/>
                <w:sz w:val="24"/>
              </w:rPr>
            </w:pPr>
            <w:r>
              <w:rPr>
                <w:b/>
                <w:bCs/>
                <w:iCs/>
                <w:sz w:val="24"/>
              </w:rPr>
              <w:t>投资者关系活动类别</w:t>
            </w:r>
          </w:p>
        </w:tc>
        <w:tc>
          <w:tcPr>
            <w:tcW w:w="6996" w:type="dxa"/>
            <w:vAlign w:val="center"/>
          </w:tcPr>
          <w:p>
            <w:pPr>
              <w:adjustRightInd w:val="0"/>
              <w:snapToGrid w:val="0"/>
              <w:spacing w:line="348"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pPr>
              <w:pStyle w:val="24"/>
              <w:adjustRightInd w:val="0"/>
              <w:snapToGrid w:val="0"/>
              <w:spacing w:line="348"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pPr>
              <w:pStyle w:val="24"/>
              <w:adjustRightInd w:val="0"/>
              <w:snapToGrid w:val="0"/>
              <w:spacing w:line="348" w:lineRule="auto"/>
              <w:rPr>
                <w:bCs/>
                <w:iCs/>
                <w:sz w:val="24"/>
              </w:rPr>
            </w:pPr>
            <w:r>
              <w:rPr>
                <w:bCs/>
                <w:iCs/>
                <w:sz w:val="24"/>
              </w:rPr>
              <w:sym w:font="Wingdings 2" w:char="00A3"/>
            </w:r>
            <w:r>
              <w:rPr>
                <w:sz w:val="24"/>
              </w:rPr>
              <w:t xml:space="preserve">新闻发布会         </w:t>
            </w:r>
            <w:r>
              <w:rPr>
                <w:bCs/>
                <w:iCs/>
                <w:sz w:val="24"/>
              </w:rPr>
              <w:sym w:font="Wingdings 2" w:char="0052"/>
            </w:r>
            <w:r>
              <w:rPr>
                <w:sz w:val="24"/>
              </w:rPr>
              <w:t>路演活动</w:t>
            </w:r>
          </w:p>
          <w:p>
            <w:pPr>
              <w:adjustRightInd w:val="0"/>
              <w:snapToGrid w:val="0"/>
              <w:spacing w:line="348" w:lineRule="auto"/>
              <w:rPr>
                <w:bCs/>
                <w:iCs/>
                <w:sz w:val="24"/>
                <w:szCs w:val="24"/>
              </w:rPr>
            </w:pPr>
            <w:r>
              <w:rPr>
                <w:sz w:val="24"/>
                <w:szCs w:val="24"/>
              </w:rPr>
              <w:sym w:font="Wingdings 2" w:char="00A3"/>
            </w:r>
            <w:r>
              <w:rPr>
                <w:sz w:val="24"/>
                <w:szCs w:val="24"/>
              </w:rPr>
              <w:t>电话会议</w:t>
            </w:r>
          </w:p>
          <w:p>
            <w:pPr>
              <w:pStyle w:val="24"/>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pPr>
              <w:pStyle w:val="24"/>
              <w:adjustRightInd w:val="0"/>
              <w:snapToGrid w:val="0"/>
              <w:spacing w:line="348" w:lineRule="auto"/>
              <w:rPr>
                <w:b/>
                <w:bCs/>
                <w:iCs/>
                <w:sz w:val="24"/>
              </w:rPr>
            </w:pPr>
            <w:r>
              <w:rPr>
                <w:b/>
                <w:bCs/>
                <w:iCs/>
                <w:sz w:val="24"/>
              </w:rPr>
              <w:t>参与单位名称及人员姓名</w:t>
            </w:r>
          </w:p>
        </w:tc>
        <w:tc>
          <w:tcPr>
            <w:tcW w:w="6996" w:type="dxa"/>
            <w:vAlign w:val="center"/>
          </w:tcPr>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易方达基金 何崇恺</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广发基金 陈蕴中</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富国基金 孟浩之 徐鸿博</w:t>
            </w:r>
          </w:p>
          <w:p>
            <w:pPr>
              <w:spacing w:line="348" w:lineRule="auto"/>
              <w:textAlignment w:val="baseline"/>
              <w:rPr>
                <w:rFonts w:hint="default" w:ascii="Times New Roman" w:hAnsi="Times New Roman"/>
                <w:sz w:val="24"/>
                <w:szCs w:val="24"/>
                <w:lang w:val="en-US" w:eastAsia="zh-CN"/>
              </w:rPr>
            </w:pPr>
            <w:r>
              <w:rPr>
                <w:rFonts w:hint="default" w:ascii="Times New Roman" w:hAnsi="Times New Roman"/>
                <w:sz w:val="24"/>
                <w:szCs w:val="24"/>
                <w:lang w:val="en-US" w:eastAsia="zh-CN"/>
              </w:rPr>
              <w:t>华泰柏瑞基金 陆从珍</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陈乐</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汪政</w:t>
            </w:r>
          </w:p>
          <w:p>
            <w:pPr>
              <w:spacing w:line="348" w:lineRule="auto"/>
              <w:textAlignment w:val="baseline"/>
              <w:rPr>
                <w:rFonts w:hint="default" w:ascii="Times New Roman" w:hAnsi="Times New Roman"/>
                <w:sz w:val="24"/>
                <w:szCs w:val="24"/>
                <w:lang w:val="en-US" w:eastAsia="zh-CN"/>
              </w:rPr>
            </w:pPr>
            <w:r>
              <w:rPr>
                <w:rFonts w:hint="default" w:ascii="Times New Roman" w:hAnsi="Times New Roman"/>
                <w:sz w:val="24"/>
                <w:szCs w:val="24"/>
                <w:lang w:val="en-US" w:eastAsia="zh-CN"/>
              </w:rPr>
              <w:t>兴业基金 董令飞</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中信建投基金 钱博文</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交银施罗德基金 陈孜驿</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人保养老 曾沐崴</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鹏华基金 苏东</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中信证券 付宸硕 张清源 刘慧芳</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国金证券 杨晨 任旭欢</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工银瑞信基金 张力涛</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广发证券 吴坤其</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华泰证券 田莫充</w:t>
            </w:r>
          </w:p>
          <w:p>
            <w:pPr>
              <w:spacing w:line="348" w:lineRule="auto"/>
              <w:textAlignment w:val="baseline"/>
              <w:rPr>
                <w:rFonts w:hint="default" w:ascii="Times New Roman" w:hAnsi="Times New Roman"/>
                <w:sz w:val="24"/>
                <w:szCs w:val="24"/>
                <w:lang w:val="en-US" w:eastAsia="zh-CN"/>
              </w:rPr>
            </w:pPr>
            <w:r>
              <w:rPr>
                <w:rFonts w:hint="default" w:ascii="Times New Roman" w:hAnsi="Times New Roman"/>
                <w:sz w:val="24"/>
                <w:szCs w:val="24"/>
                <w:lang w:val="en-US" w:eastAsia="zh-CN"/>
              </w:rPr>
              <w:t>兴业证券 李博彦</w:t>
            </w:r>
          </w:p>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西部证券 杨雨南</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华福证券 马卓群 杨若愚</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原点资产 崔尚晨</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莲花基金 肖海涛</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善恩投资 张伟</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重阳投资 卫书根</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震峰基金 廖思颖</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上汽投资 钟功焕</w:t>
            </w:r>
          </w:p>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南土资产 吴刚 刘小昊 朱彦頔</w:t>
            </w:r>
          </w:p>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博道基金 龚耀民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pPr>
              <w:pStyle w:val="24"/>
              <w:spacing w:line="348" w:lineRule="auto"/>
              <w:rPr>
                <w:rFonts w:ascii="Times New Roman" w:hAnsi="Times New Roman"/>
                <w:iCs/>
                <w:sz w:val="24"/>
              </w:rPr>
            </w:pPr>
            <w:r>
              <w:rPr>
                <w:rFonts w:hint="eastAsia" w:ascii="Times New Roman" w:hAnsi="Times New Roman"/>
                <w:iCs/>
                <w:sz w:val="24"/>
              </w:rPr>
              <w:t>2024年</w:t>
            </w:r>
            <w:r>
              <w:rPr>
                <w:rFonts w:hint="eastAsia" w:ascii="Times New Roman" w:hAnsi="Times New Roman"/>
                <w:iCs/>
                <w:sz w:val="24"/>
                <w:lang w:val="en-US" w:eastAsia="zh-CN"/>
              </w:rPr>
              <w:t>7</w:t>
            </w:r>
            <w:r>
              <w:rPr>
                <w:rFonts w:hint="eastAsia" w:ascii="Times New Roman" w:hAnsi="Times New Roman"/>
                <w:iCs/>
                <w:sz w:val="24"/>
              </w:rPr>
              <w:t>月1</w:t>
            </w:r>
            <w:r>
              <w:rPr>
                <w:rFonts w:hint="eastAsia" w:ascii="Times New Roman" w:hAnsi="Times New Roman"/>
                <w:iCs/>
                <w:sz w:val="24"/>
                <w:lang w:val="en-US" w:eastAsia="zh-CN"/>
              </w:rPr>
              <w:t>0</w:t>
            </w:r>
            <w:r>
              <w:rPr>
                <w:rFonts w:hint="eastAsia" w:ascii="Times New Roman" w:hAnsi="Times New Roman"/>
                <w:iCs/>
                <w:sz w:val="24"/>
              </w:rPr>
              <w:t>日至</w:t>
            </w:r>
            <w:r>
              <w:rPr>
                <w:rFonts w:hint="eastAsia" w:ascii="Times New Roman" w:hAnsi="Times New Roman"/>
                <w:iCs/>
                <w:sz w:val="24"/>
                <w:lang w:val="en-US" w:eastAsia="zh-CN"/>
              </w:rPr>
              <w:t>7</w:t>
            </w:r>
            <w:r>
              <w:rPr>
                <w:rFonts w:hint="eastAsia" w:ascii="Times New Roman" w:hAnsi="Times New Roman"/>
                <w:iCs/>
                <w:sz w:val="24"/>
              </w:rPr>
              <w:t>月</w:t>
            </w:r>
            <w:r>
              <w:rPr>
                <w:rFonts w:hint="eastAsia" w:ascii="Times New Roman" w:hAnsi="Times New Roman"/>
                <w:iCs/>
                <w:sz w:val="24"/>
                <w:lang w:val="en-US" w:eastAsia="zh-CN"/>
              </w:rPr>
              <w:t>31</w:t>
            </w:r>
            <w:r>
              <w:rPr>
                <w:rFonts w:hint="eastAsia" w:ascii="Times New Roman" w:hAnsi="Times New Roman"/>
                <w:i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pPr>
              <w:pStyle w:val="24"/>
              <w:spacing w:line="348" w:lineRule="auto"/>
              <w:rPr>
                <w:rFonts w:hint="default" w:ascii="Times New Roman" w:hAnsi="Times New Roman" w:eastAsia="宋体"/>
                <w:iCs/>
                <w:sz w:val="24"/>
                <w:lang w:val="en-US" w:eastAsia="zh-CN"/>
              </w:rPr>
            </w:pPr>
            <w:r>
              <w:rPr>
                <w:rFonts w:hint="eastAsia" w:ascii="Times New Roman" w:hAnsi="Times New Roman"/>
                <w:iCs/>
                <w:sz w:val="24"/>
              </w:rPr>
              <w:t>江西省南昌市高新开发区高新大道699号国泰集团会议室</w:t>
            </w:r>
            <w:r>
              <w:rPr>
                <w:rFonts w:hint="eastAsia" w:ascii="Times New Roman" w:hAnsi="Times New Roman"/>
                <w:iCs/>
                <w:sz w:val="24"/>
                <w:lang w:eastAsia="zh-CN"/>
              </w:rPr>
              <w:t>、</w:t>
            </w:r>
            <w:r>
              <w:rPr>
                <w:rFonts w:hint="eastAsia" w:ascii="Times New Roman" w:hAnsi="Times New Roman"/>
                <w:iCs/>
                <w:sz w:val="24"/>
                <w:lang w:val="en-US" w:eastAsia="zh-CN"/>
              </w:rPr>
              <w:t>上海市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pPr>
              <w:adjustRightInd w:val="0"/>
              <w:snapToGrid w:val="0"/>
              <w:spacing w:line="348" w:lineRule="auto"/>
              <w:rPr>
                <w:rFonts w:hint="eastAsia" w:ascii="Times New Roman" w:hAnsi="Times New Roman"/>
                <w:sz w:val="24"/>
                <w:szCs w:val="24"/>
                <w:lang w:val="en-US" w:eastAsia="zh-CN"/>
              </w:rPr>
            </w:pPr>
            <w:r>
              <w:rPr>
                <w:rFonts w:hint="eastAsia" w:ascii="Times New Roman" w:hAnsi="Times New Roman"/>
                <w:sz w:val="24"/>
                <w:szCs w:val="24"/>
                <w:lang w:val="en-US" w:eastAsia="zh-CN"/>
              </w:rPr>
              <w:t xml:space="preserve">董事长 熊旭晴 </w:t>
            </w:r>
          </w:p>
          <w:p>
            <w:pPr>
              <w:adjustRightInd w:val="0"/>
              <w:snapToGrid w:val="0"/>
              <w:spacing w:line="348" w:lineRule="auto"/>
              <w:rPr>
                <w:rFonts w:ascii="Times New Roman" w:hAnsi="Times New Roman"/>
                <w:sz w:val="24"/>
                <w:szCs w:val="24"/>
              </w:rPr>
            </w:pPr>
            <w:r>
              <w:rPr>
                <w:rFonts w:hint="eastAsia" w:ascii="Times New Roman" w:hAnsi="Times New Roman"/>
                <w:sz w:val="24"/>
                <w:szCs w:val="24"/>
              </w:rPr>
              <w:t xml:space="preserve">董事会秘书 何骥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26" w:type="dxa"/>
            <w:vAlign w:val="center"/>
          </w:tcPr>
          <w:p>
            <w:pPr>
              <w:pStyle w:val="24"/>
              <w:adjustRightInd w:val="0"/>
              <w:snapToGrid w:val="0"/>
              <w:spacing w:line="348" w:lineRule="auto"/>
              <w:rPr>
                <w:b/>
                <w:bCs/>
                <w:iCs/>
                <w:sz w:val="24"/>
              </w:rPr>
            </w:pPr>
            <w:r>
              <w:rPr>
                <w:rFonts w:hint="eastAsia"/>
                <w:b/>
                <w:bCs/>
                <w:iCs/>
                <w:sz w:val="24"/>
              </w:rPr>
              <w:t>投资者关系活动主要内容介绍</w:t>
            </w:r>
          </w:p>
        </w:tc>
        <w:tc>
          <w:tcPr>
            <w:tcW w:w="6996" w:type="dxa"/>
          </w:tcPr>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首先向投资者简要介绍公司2023年度经营业绩情况，民爆业务、军工新材料业务</w:t>
            </w:r>
            <w:r>
              <w:rPr>
                <w:rFonts w:hint="eastAsia" w:ascii="宋体" w:hAnsi="宋体" w:cs="宋体"/>
                <w:sz w:val="24"/>
                <w:szCs w:val="24"/>
                <w:lang w:eastAsia="zh-CN"/>
              </w:rPr>
              <w:t>、</w:t>
            </w:r>
            <w:r>
              <w:rPr>
                <w:rFonts w:hint="eastAsia" w:ascii="宋体" w:hAnsi="宋体" w:cs="宋体"/>
                <w:sz w:val="24"/>
                <w:szCs w:val="24"/>
                <w:lang w:val="en-US" w:eastAsia="zh-CN"/>
              </w:rPr>
              <w:t>轨交自动化及信息化业务</w:t>
            </w:r>
            <w:r>
              <w:rPr>
                <w:rFonts w:hint="eastAsia" w:ascii="宋体" w:hAnsi="宋体" w:cs="宋体"/>
                <w:sz w:val="24"/>
                <w:szCs w:val="24"/>
              </w:rPr>
              <w:t>情况，随后针对投资者关心的重点问题作了具体交流如下：</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1、公司含能材料项目建设最新进展</w:t>
            </w:r>
            <w:r>
              <w:rPr>
                <w:rFonts w:hint="eastAsia" w:ascii="宋体" w:hAnsi="宋体" w:cs="宋体"/>
                <w:sz w:val="24"/>
                <w:szCs w:val="24"/>
                <w:lang w:val="en-US" w:eastAsia="zh-CN"/>
              </w:rPr>
              <w:t>情况如何</w:t>
            </w:r>
            <w:r>
              <w:rPr>
                <w:rFonts w:hint="eastAsia" w:ascii="宋体" w:hAnsi="宋体" w:cs="宋体"/>
                <w:sz w:val="24"/>
                <w:szCs w:val="24"/>
              </w:rPr>
              <w:t>？</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答：公司含能材料项目于今年5月初取得国家有关部门核准批文后，6月19日公司完成对项目实施主体江西九江国泰新材料有限公司注册资本金增至3.5亿元工作。目前</w:t>
            </w:r>
            <w:r>
              <w:rPr>
                <w:rFonts w:hint="eastAsia" w:ascii="宋体" w:hAnsi="宋体" w:cs="宋体"/>
                <w:sz w:val="24"/>
                <w:szCs w:val="24"/>
                <w:lang w:val="en-US" w:eastAsia="zh-CN"/>
              </w:rPr>
              <w:t>项目进展顺利、进度符合预期，现已完成项目建设工程规划设计单位招标工作，对</w:t>
            </w:r>
            <w:r>
              <w:rPr>
                <w:rFonts w:hint="eastAsia" w:ascii="宋体" w:hAnsi="宋体" w:cs="宋体"/>
                <w:sz w:val="24"/>
                <w:szCs w:val="24"/>
              </w:rPr>
              <w:t>项目初步设计</w:t>
            </w:r>
            <w:r>
              <w:rPr>
                <w:rFonts w:hint="eastAsia" w:ascii="宋体" w:hAnsi="宋体" w:cs="宋体"/>
                <w:sz w:val="24"/>
                <w:szCs w:val="24"/>
                <w:lang w:val="en-US" w:eastAsia="zh-CN"/>
              </w:rPr>
              <w:t>进一步优化，开展项目清表前期工作</w:t>
            </w:r>
            <w:r>
              <w:rPr>
                <w:rFonts w:hint="eastAsia" w:ascii="宋体" w:hAnsi="宋体" w:cs="宋体"/>
                <w:sz w:val="24"/>
                <w:szCs w:val="24"/>
              </w:rPr>
              <w:t>以及启动项目相关招投标工作，努力按核准批文确定的时间节点建成投产，争取2025年下半年开始交付产品。</w:t>
            </w:r>
          </w:p>
          <w:p>
            <w:pPr>
              <w:adjustRightInd w:val="0"/>
              <w:snapToGrid w:val="0"/>
              <w:spacing w:line="336" w:lineRule="auto"/>
              <w:ind w:firstLine="480" w:firstLineChars="200"/>
              <w:rPr>
                <w:rFonts w:ascii="宋体" w:hAnsi="宋体" w:cs="宋体"/>
                <w:sz w:val="24"/>
                <w:szCs w:val="24"/>
              </w:rPr>
            </w:pP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2、请问一下目前轨道交通零部件订单开始释放，对</w:t>
            </w:r>
            <w:r>
              <w:rPr>
                <w:rFonts w:hint="eastAsia" w:ascii="宋体" w:hAnsi="宋体" w:cs="宋体"/>
                <w:sz w:val="24"/>
                <w:szCs w:val="24"/>
                <w:lang w:val="en-US" w:eastAsia="zh-CN"/>
              </w:rPr>
              <w:t>子</w:t>
            </w:r>
            <w:r>
              <w:rPr>
                <w:rFonts w:hint="eastAsia" w:ascii="宋体" w:hAnsi="宋体" w:cs="宋体"/>
                <w:sz w:val="24"/>
                <w:szCs w:val="24"/>
              </w:rPr>
              <w:t>公司</w:t>
            </w:r>
            <w:r>
              <w:rPr>
                <w:rFonts w:hint="eastAsia" w:ascii="宋体" w:hAnsi="宋体" w:cs="宋体"/>
                <w:sz w:val="24"/>
                <w:szCs w:val="24"/>
                <w:lang w:val="en-US" w:eastAsia="zh-CN"/>
              </w:rPr>
              <w:t>太格时代</w:t>
            </w:r>
            <w:r>
              <w:rPr>
                <w:rFonts w:hint="eastAsia" w:ascii="宋体" w:hAnsi="宋体" w:cs="宋体"/>
                <w:sz w:val="24"/>
                <w:szCs w:val="24"/>
              </w:rPr>
              <w:t>业绩有积极影响吗？</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答：2024年3月，国务院发布的《推动大规模设备更新和消费品以旧换新行动方案》明确指出：建立激励和约束相结合的长效机制，加快淘汰落后产品设备，提升安全可靠水平，促进产业高端化、智能化、绿色化发展。</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中国高铁从2008 年开通以来，至2017 年经历了比较迅速的发展增长期，随着运营里程和周期的增加，近几年</w:t>
            </w:r>
            <w:r>
              <w:rPr>
                <w:rFonts w:hint="eastAsia" w:ascii="宋体" w:hAnsi="宋体" w:cs="宋体"/>
                <w:sz w:val="24"/>
                <w:szCs w:val="24"/>
                <w:lang w:val="en-US" w:eastAsia="zh-CN"/>
              </w:rPr>
              <w:t>高铁线路、</w:t>
            </w:r>
            <w:r>
              <w:rPr>
                <w:rFonts w:hint="eastAsia" w:ascii="宋体" w:hAnsi="宋体" w:cs="宋体"/>
                <w:sz w:val="24"/>
                <w:szCs w:val="24"/>
              </w:rPr>
              <w:t>车辆已经陆续进入</w:t>
            </w:r>
            <w:r>
              <w:rPr>
                <w:rFonts w:hint="eastAsia" w:ascii="宋体" w:hAnsi="宋体" w:cs="宋体"/>
                <w:sz w:val="24"/>
                <w:szCs w:val="24"/>
                <w:lang w:val="en-US" w:eastAsia="zh-CN"/>
              </w:rPr>
              <w:t>设备维护、更新、替换</w:t>
            </w:r>
            <w:r>
              <w:rPr>
                <w:rFonts w:hint="eastAsia" w:ascii="宋体" w:hAnsi="宋体" w:cs="宋体"/>
                <w:sz w:val="24"/>
                <w:szCs w:val="24"/>
              </w:rPr>
              <w:t>周期。</w:t>
            </w:r>
            <w:r>
              <w:rPr>
                <w:rFonts w:hint="eastAsia" w:ascii="宋体" w:hAnsi="宋体" w:cs="宋体"/>
                <w:sz w:val="24"/>
                <w:szCs w:val="24"/>
                <w:lang w:val="en-US" w:eastAsia="zh-CN"/>
              </w:rPr>
              <w:t>公司控股子公司</w:t>
            </w:r>
            <w:r>
              <w:rPr>
                <w:rFonts w:hint="eastAsia" w:ascii="宋体" w:hAnsi="宋体" w:cs="宋体"/>
                <w:sz w:val="24"/>
                <w:szCs w:val="24"/>
              </w:rPr>
              <w:t>太格时代</w:t>
            </w:r>
            <w:r>
              <w:rPr>
                <w:rFonts w:hint="eastAsia" w:ascii="宋体" w:hAnsi="宋体" w:cs="宋体"/>
                <w:sz w:val="24"/>
                <w:szCs w:val="24"/>
                <w:lang w:val="en-US" w:eastAsia="zh-CN"/>
              </w:rPr>
              <w:t>将</w:t>
            </w:r>
            <w:r>
              <w:rPr>
                <w:rFonts w:hint="eastAsia" w:ascii="宋体" w:hAnsi="宋体" w:cs="宋体"/>
                <w:sz w:val="24"/>
                <w:szCs w:val="24"/>
              </w:rPr>
              <w:t>紧抓《推动大规模设备更新和消费品以旧换新行动方案》政策机遇，聚焦轨交行业装备更新迭代、改造、维保等领域需求，向智慧运维、智慧检测等纵向产业链延伸，持续加大智能化、信息化、数字化产品研发和市场推广力度，推进公司产品向高端化、智能化、绿色化发展，从多维度</w:t>
            </w:r>
            <w:r>
              <w:rPr>
                <w:rFonts w:hint="eastAsia" w:ascii="宋体" w:hAnsi="宋体" w:cs="宋体"/>
                <w:sz w:val="24"/>
                <w:szCs w:val="24"/>
                <w:lang w:val="en-US" w:eastAsia="zh-CN"/>
              </w:rPr>
              <w:t>抓住</w:t>
            </w:r>
            <w:r>
              <w:rPr>
                <w:rFonts w:hint="eastAsia" w:ascii="宋体" w:hAnsi="宋体" w:cs="宋体"/>
                <w:sz w:val="24"/>
                <w:szCs w:val="24"/>
              </w:rPr>
              <w:t>产业升级机遇。</w:t>
            </w:r>
          </w:p>
          <w:p>
            <w:pPr>
              <w:adjustRightInd w:val="0"/>
              <w:snapToGrid w:val="0"/>
              <w:spacing w:line="336" w:lineRule="auto"/>
              <w:ind w:firstLine="480" w:firstLineChars="200"/>
              <w:rPr>
                <w:rFonts w:hint="eastAsia" w:ascii="宋体" w:hAnsi="宋体" w:cs="宋体"/>
                <w:sz w:val="24"/>
                <w:szCs w:val="24"/>
                <w:lang w:val="en-US" w:eastAsia="zh-CN"/>
              </w:rPr>
            </w:pP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公司未来是否还有并购扩张计划？</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答：</w:t>
            </w:r>
            <w:r>
              <w:rPr>
                <w:rFonts w:hint="eastAsia" w:ascii="宋体" w:hAnsi="宋体" w:cs="宋体"/>
                <w:sz w:val="24"/>
                <w:szCs w:val="24"/>
                <w:lang w:val="en-US" w:eastAsia="zh-CN"/>
              </w:rPr>
              <w:t>目前</w:t>
            </w:r>
            <w:r>
              <w:rPr>
                <w:rFonts w:hint="eastAsia" w:ascii="宋体" w:hAnsi="宋体" w:cs="宋体"/>
                <w:sz w:val="24"/>
                <w:szCs w:val="24"/>
              </w:rPr>
              <w:t>行业政策鼓励企业开展重组整合，江西省</w:t>
            </w:r>
            <w:r>
              <w:rPr>
                <w:rFonts w:hint="eastAsia" w:ascii="宋体" w:hAnsi="宋体" w:cs="宋体"/>
                <w:sz w:val="24"/>
                <w:szCs w:val="24"/>
                <w:lang w:val="en-US" w:eastAsia="zh-CN"/>
              </w:rPr>
              <w:t>也</w:t>
            </w:r>
            <w:r>
              <w:rPr>
                <w:rFonts w:hint="eastAsia" w:ascii="宋体" w:hAnsi="宋体" w:cs="宋体"/>
                <w:sz w:val="24"/>
                <w:szCs w:val="24"/>
              </w:rPr>
              <w:t>是全国率先完成省内民爆资产整合的省份之一</w:t>
            </w:r>
            <w:r>
              <w:rPr>
                <w:rFonts w:hint="eastAsia" w:ascii="宋体" w:hAnsi="宋体" w:cs="宋体"/>
                <w:sz w:val="24"/>
                <w:szCs w:val="24"/>
                <w:lang w:eastAsia="zh-CN"/>
              </w:rPr>
              <w:t>。</w:t>
            </w:r>
            <w:r>
              <w:rPr>
                <w:rFonts w:hint="eastAsia" w:ascii="宋体" w:hAnsi="宋体" w:cs="宋体"/>
                <w:sz w:val="24"/>
                <w:szCs w:val="24"/>
              </w:rPr>
              <w:t>未来公司将顺应民爆行业结构调整及重组整合政策导向</w:t>
            </w:r>
            <w:r>
              <w:rPr>
                <w:rFonts w:hint="eastAsia" w:ascii="宋体" w:hAnsi="宋体" w:cs="宋体"/>
                <w:sz w:val="24"/>
                <w:szCs w:val="24"/>
                <w:lang w:eastAsia="zh-CN"/>
              </w:rPr>
              <w:t>，</w:t>
            </w:r>
            <w:r>
              <w:rPr>
                <w:rFonts w:hint="eastAsia" w:ascii="宋体" w:hAnsi="宋体" w:cs="宋体"/>
                <w:sz w:val="24"/>
                <w:szCs w:val="24"/>
              </w:rPr>
              <w:t>充分发挥国有上市公司的平台优势</w:t>
            </w:r>
            <w:r>
              <w:rPr>
                <w:rFonts w:hint="eastAsia" w:ascii="宋体" w:hAnsi="宋体" w:cs="宋体"/>
                <w:sz w:val="24"/>
                <w:szCs w:val="24"/>
                <w:lang w:eastAsia="zh-CN"/>
              </w:rPr>
              <w:t>，</w:t>
            </w:r>
            <w:r>
              <w:rPr>
                <w:rFonts w:hint="eastAsia" w:ascii="宋体" w:hAnsi="宋体" w:cs="宋体"/>
                <w:sz w:val="24"/>
                <w:szCs w:val="24"/>
              </w:rPr>
              <w:t>围绕主营业务、加强产业链延伸和产业协同</w:t>
            </w:r>
            <w:r>
              <w:rPr>
                <w:rFonts w:hint="eastAsia" w:ascii="宋体" w:hAnsi="宋体" w:cs="宋体"/>
                <w:sz w:val="24"/>
                <w:szCs w:val="24"/>
                <w:lang w:val="en-US" w:eastAsia="zh-CN"/>
              </w:rPr>
              <w:t>开展</w:t>
            </w:r>
            <w:r>
              <w:rPr>
                <w:rFonts w:hint="eastAsia" w:ascii="宋体" w:hAnsi="宋体" w:cs="宋体"/>
                <w:sz w:val="24"/>
                <w:szCs w:val="24"/>
              </w:rPr>
              <w:t>并购，增加民爆物品生产许可，实现产能适度扩张，推动产能结构与区域市场合理布局，推动民爆一体化产业做强做优做大。</w:t>
            </w:r>
          </w:p>
          <w:p>
            <w:pPr>
              <w:adjustRightInd w:val="0"/>
              <w:snapToGrid w:val="0"/>
              <w:spacing w:line="336" w:lineRule="auto"/>
              <w:ind w:firstLine="480" w:firstLineChars="200"/>
              <w:rPr>
                <w:rFonts w:hint="eastAsia" w:ascii="宋体" w:hAnsi="宋体" w:cs="宋体"/>
                <w:sz w:val="24"/>
                <w:szCs w:val="24"/>
              </w:rPr>
            </w:pP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、请公司介绍</w:t>
            </w:r>
            <w:r>
              <w:rPr>
                <w:rFonts w:hint="eastAsia" w:ascii="宋体" w:hAnsi="宋体" w:cs="宋体"/>
                <w:sz w:val="24"/>
                <w:szCs w:val="24"/>
                <w:lang w:val="en-US" w:eastAsia="zh-CN"/>
              </w:rPr>
              <w:t>2024年上半年</w:t>
            </w:r>
            <w:r>
              <w:rPr>
                <w:rFonts w:hint="eastAsia" w:ascii="宋体" w:hAnsi="宋体" w:cs="宋体"/>
                <w:sz w:val="24"/>
                <w:szCs w:val="24"/>
              </w:rPr>
              <w:t>民爆行业发展状况？</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答：2024年上半年，民爆行业总体呈现缩量下行态势，但在主要原材料价格持续走低以及西部区域市场需求增加的带动下，行业总体利润保持稳定增长，企业安全投入得以保障。根据</w:t>
            </w:r>
            <w:r>
              <w:rPr>
                <w:rFonts w:hint="eastAsia" w:ascii="宋体" w:hAnsi="宋体" w:cs="宋体"/>
                <w:sz w:val="24"/>
                <w:szCs w:val="24"/>
                <w:lang w:val="en-US" w:eastAsia="zh-CN"/>
              </w:rPr>
              <w:t>行业简报</w:t>
            </w:r>
            <w:r>
              <w:rPr>
                <w:rFonts w:hint="eastAsia" w:ascii="宋体" w:hAnsi="宋体" w:cs="宋体"/>
                <w:sz w:val="24"/>
                <w:szCs w:val="24"/>
              </w:rPr>
              <w:t>公布</w:t>
            </w:r>
            <w:r>
              <w:rPr>
                <w:rFonts w:hint="eastAsia" w:ascii="宋体" w:hAnsi="宋体" w:cs="宋体"/>
                <w:sz w:val="24"/>
                <w:szCs w:val="24"/>
                <w:lang w:val="en-US" w:eastAsia="zh-CN"/>
              </w:rPr>
              <w:t>的</w:t>
            </w:r>
            <w:r>
              <w:rPr>
                <w:rFonts w:hint="eastAsia" w:ascii="宋体" w:hAnsi="宋体" w:cs="宋体"/>
                <w:sz w:val="24"/>
                <w:szCs w:val="24"/>
              </w:rPr>
              <w:t>数据，</w:t>
            </w:r>
            <w:r>
              <w:rPr>
                <w:rFonts w:hint="eastAsia" w:ascii="宋体" w:hAnsi="宋体" w:cs="宋体"/>
                <w:sz w:val="24"/>
                <w:szCs w:val="24"/>
                <w:lang w:val="en-US" w:eastAsia="zh-CN"/>
              </w:rPr>
              <w:t>2024年上半年</w:t>
            </w:r>
            <w:r>
              <w:rPr>
                <w:rFonts w:hint="eastAsia" w:ascii="宋体" w:hAnsi="宋体" w:cs="宋体"/>
                <w:sz w:val="24"/>
                <w:szCs w:val="24"/>
              </w:rPr>
              <w:t>，民爆生产企业累计完成生产、销售总值分别为192.55亿元和187.84亿元，同比分别下降</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49</w:t>
            </w:r>
            <w:r>
              <w:rPr>
                <w:rFonts w:hint="eastAsia" w:ascii="宋体" w:hAnsi="宋体" w:cs="宋体"/>
                <w:sz w:val="24"/>
                <w:szCs w:val="24"/>
              </w:rPr>
              <w:t>%和6.</w:t>
            </w:r>
            <w:r>
              <w:rPr>
                <w:rFonts w:hint="eastAsia" w:ascii="宋体" w:hAnsi="宋体" w:cs="宋体"/>
                <w:sz w:val="24"/>
                <w:szCs w:val="24"/>
                <w:lang w:val="en-US" w:eastAsia="zh-CN"/>
              </w:rPr>
              <w:t>70</w:t>
            </w:r>
            <w:r>
              <w:rPr>
                <w:rFonts w:hint="eastAsia" w:ascii="宋体" w:hAnsi="宋体" w:cs="宋体"/>
                <w:sz w:val="24"/>
                <w:szCs w:val="24"/>
              </w:rPr>
              <w:t>%。累计实现利润总额</w:t>
            </w:r>
            <w:r>
              <w:rPr>
                <w:rFonts w:hint="eastAsia" w:ascii="宋体" w:hAnsi="宋体" w:cs="宋体"/>
                <w:sz w:val="24"/>
                <w:szCs w:val="24"/>
                <w:lang w:val="en-US" w:eastAsia="zh-CN"/>
              </w:rPr>
              <w:t>67</w:t>
            </w:r>
            <w:r>
              <w:rPr>
                <w:rFonts w:hint="eastAsia" w:ascii="宋体" w:hAnsi="宋体" w:cs="宋体"/>
                <w:sz w:val="24"/>
                <w:szCs w:val="24"/>
              </w:rPr>
              <w:t>.</w:t>
            </w:r>
            <w:r>
              <w:rPr>
                <w:rFonts w:hint="eastAsia" w:ascii="宋体" w:hAnsi="宋体" w:cs="宋体"/>
                <w:sz w:val="24"/>
                <w:szCs w:val="24"/>
                <w:lang w:val="en-US" w:eastAsia="zh-CN"/>
              </w:rPr>
              <w:t>85</w:t>
            </w:r>
            <w:r>
              <w:rPr>
                <w:rFonts w:hint="eastAsia" w:ascii="宋体" w:hAnsi="宋体" w:cs="宋体"/>
                <w:sz w:val="24"/>
                <w:szCs w:val="24"/>
              </w:rPr>
              <w:t>亿元，同比增长</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47</w:t>
            </w:r>
            <w:r>
              <w:rPr>
                <w:rFonts w:hint="eastAsia" w:ascii="宋体" w:hAnsi="宋体" w:cs="宋体"/>
                <w:sz w:val="24"/>
                <w:szCs w:val="24"/>
              </w:rPr>
              <w:t>%；累计实现爆破服务收入150.82亿元，同比增长</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60</w:t>
            </w:r>
            <w:r>
              <w:rPr>
                <w:rFonts w:hint="eastAsia" w:ascii="宋体" w:hAnsi="宋体" w:cs="宋体"/>
                <w:sz w:val="24"/>
                <w:szCs w:val="24"/>
              </w:rPr>
              <w:t>%。</w:t>
            </w:r>
          </w:p>
          <w:p>
            <w:pPr>
              <w:adjustRightInd w:val="0"/>
              <w:snapToGrid w:val="0"/>
              <w:spacing w:line="336" w:lineRule="auto"/>
              <w:ind w:firstLine="480" w:firstLineChars="200"/>
              <w:rPr>
                <w:rFonts w:ascii="宋体" w:hAnsi="宋体" w:cs="宋体"/>
                <w:sz w:val="24"/>
                <w:szCs w:val="24"/>
              </w:rPr>
            </w:pP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、公司炸药产品未来的涨价可能性和弹性？</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答：2014年12月25日，国家发展改革委等3部委印发的《关于放开民爆器材出厂价格有关问题的通知》（发改价格﹝2014﹞2936号），放开了民爆器</w:t>
            </w:r>
            <w:bookmarkStart w:id="0" w:name="_GoBack"/>
            <w:bookmarkEnd w:id="0"/>
            <w:r>
              <w:rPr>
                <w:rFonts w:hint="eastAsia" w:ascii="宋体" w:hAnsi="宋体" w:cs="宋体"/>
                <w:sz w:val="24"/>
                <w:szCs w:val="24"/>
              </w:rPr>
              <w:t>材出厂价格，并取消了对民爆器材流通费率管理，具体价格由供需双方协商确定。</w:t>
            </w:r>
          </w:p>
          <w:p>
            <w:pPr>
              <w:adjustRightInd w:val="0"/>
              <w:snapToGrid w:val="0"/>
              <w:spacing w:line="336"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公司民爆产品价格主要受原材料</w:t>
            </w:r>
            <w:r>
              <w:rPr>
                <w:rFonts w:hint="eastAsia" w:ascii="宋体" w:hAnsi="宋体" w:cs="宋体"/>
                <w:sz w:val="24"/>
                <w:szCs w:val="24"/>
                <w:lang w:val="en-US" w:eastAsia="zh-CN"/>
              </w:rPr>
              <w:t>价格</w:t>
            </w:r>
            <w:r>
              <w:rPr>
                <w:rFonts w:hint="eastAsia" w:ascii="宋体" w:hAnsi="宋体" w:cs="宋体"/>
                <w:sz w:val="24"/>
                <w:szCs w:val="24"/>
              </w:rPr>
              <w:t>、供求关系、区域差异的影响，同时参照公司各生产点周边省份炸药价格的市场行情适时调整，以保持合理利润水平</w:t>
            </w:r>
            <w:r>
              <w:rPr>
                <w:rFonts w:hint="eastAsia" w:ascii="宋体" w:hAnsi="宋体" w:cs="宋体"/>
                <w:sz w:val="24"/>
                <w:szCs w:val="24"/>
                <w:lang w:val="en-US" w:eastAsia="zh-CN"/>
              </w:rPr>
              <w:t>。</w:t>
            </w:r>
          </w:p>
          <w:p>
            <w:pPr>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三石有色项目建设进展如何，主要产品是什么，应用领域有哪些？</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答：公司全资子公司三石有色主要从事钽铌、有色金属等加工销售，覆盖高纯氧化物及超高纯氧化物等高附加值产品，目前冶金级钽铌氧化物已进入稳定量产阶段，高纯、超高纯钽铌氧化物的生产仍处于工艺改进过程中。稀有金属钽可应用于军工航天、电子信息、半导体、超导等领域；稀有金属铌除传统应用领域外，近年来大规模用于GPU光学硅模块、滤波器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pPr>
              <w:pStyle w:val="24"/>
              <w:spacing w:line="348" w:lineRule="auto"/>
              <w:rPr>
                <w:rFonts w:ascii="Times New Roman" w:hAnsi="Times New Roman"/>
                <w:bCs/>
                <w:iCs/>
                <w:sz w:val="24"/>
              </w:rPr>
            </w:pPr>
            <w:r>
              <w:rPr>
                <w:rFonts w:ascii="Times New Roman" w:hAnsi="Times New Roman"/>
                <w:bCs/>
                <w:iCs/>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pPr>
              <w:pStyle w:val="24"/>
              <w:spacing w:line="348"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4</w:t>
            </w:r>
            <w:r>
              <w:rPr>
                <w:rFonts w:ascii="Times New Roman" w:hAnsi="Times New Roman"/>
                <w:bCs/>
                <w:iCs/>
                <w:sz w:val="24"/>
              </w:rPr>
              <w:t>年</w:t>
            </w:r>
            <w:r>
              <w:rPr>
                <w:rFonts w:hint="eastAsia" w:ascii="Times New Roman" w:hAnsi="Times New Roman"/>
                <w:bCs/>
                <w:iCs/>
                <w:sz w:val="24"/>
                <w:lang w:val="en-US" w:eastAsia="zh-CN"/>
              </w:rPr>
              <w:t>8</w:t>
            </w:r>
            <w:r>
              <w:rPr>
                <w:rFonts w:hint="eastAsia" w:ascii="Times New Roman" w:hAnsi="Times New Roman"/>
                <w:bCs/>
                <w:iCs/>
                <w:sz w:val="24"/>
              </w:rPr>
              <w:t>月1</w:t>
            </w:r>
            <w:r>
              <w:rPr>
                <w:rFonts w:ascii="Times New Roman" w:hAnsi="Times New Roman"/>
                <w:bCs/>
                <w:iCs/>
                <w:sz w:val="24"/>
              </w:rPr>
              <w:t>日</w:t>
            </w:r>
          </w:p>
        </w:tc>
      </w:tr>
    </w:tbl>
    <w:p>
      <w:pPr>
        <w:rPr>
          <w:rFonts w:ascii="Times New Roman" w:hAnsi="Times New Roman"/>
          <w:sz w:val="28"/>
          <w:szCs w:val="28"/>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jg5NzJmMjE3YWM3NWQ2Mzg1MDAyNjc5MjRlMDMifQ=="/>
  </w:docVars>
  <w:rsids>
    <w:rsidRoot w:val="00172A27"/>
    <w:rsid w:val="00005BE5"/>
    <w:rsid w:val="00012A14"/>
    <w:rsid w:val="00051401"/>
    <w:rsid w:val="000729AD"/>
    <w:rsid w:val="00075373"/>
    <w:rsid w:val="000B3CDB"/>
    <w:rsid w:val="000B5A24"/>
    <w:rsid w:val="000D5F99"/>
    <w:rsid w:val="000E7FD8"/>
    <w:rsid w:val="000F3952"/>
    <w:rsid w:val="00111F29"/>
    <w:rsid w:val="001408E3"/>
    <w:rsid w:val="0014474A"/>
    <w:rsid w:val="001549ED"/>
    <w:rsid w:val="00172A27"/>
    <w:rsid w:val="00173BDF"/>
    <w:rsid w:val="0019468E"/>
    <w:rsid w:val="001C5BB5"/>
    <w:rsid w:val="001F4888"/>
    <w:rsid w:val="002037D4"/>
    <w:rsid w:val="00260223"/>
    <w:rsid w:val="00282BE8"/>
    <w:rsid w:val="002A4B4C"/>
    <w:rsid w:val="002D7F64"/>
    <w:rsid w:val="00303F67"/>
    <w:rsid w:val="003215D0"/>
    <w:rsid w:val="003333AB"/>
    <w:rsid w:val="00415011"/>
    <w:rsid w:val="004502D8"/>
    <w:rsid w:val="004609B1"/>
    <w:rsid w:val="004762D3"/>
    <w:rsid w:val="004D0367"/>
    <w:rsid w:val="004D0F55"/>
    <w:rsid w:val="004E12F1"/>
    <w:rsid w:val="004F05BD"/>
    <w:rsid w:val="0054333A"/>
    <w:rsid w:val="005508BF"/>
    <w:rsid w:val="005516FE"/>
    <w:rsid w:val="005A56BD"/>
    <w:rsid w:val="005B0351"/>
    <w:rsid w:val="005D3B41"/>
    <w:rsid w:val="00610F76"/>
    <w:rsid w:val="00621D23"/>
    <w:rsid w:val="006267C4"/>
    <w:rsid w:val="00654E41"/>
    <w:rsid w:val="00660154"/>
    <w:rsid w:val="00660AD4"/>
    <w:rsid w:val="006A76EB"/>
    <w:rsid w:val="00714BDD"/>
    <w:rsid w:val="00726C8D"/>
    <w:rsid w:val="00735737"/>
    <w:rsid w:val="007572EB"/>
    <w:rsid w:val="007A6170"/>
    <w:rsid w:val="007D2B30"/>
    <w:rsid w:val="007D484F"/>
    <w:rsid w:val="00807D0E"/>
    <w:rsid w:val="00837B23"/>
    <w:rsid w:val="00856970"/>
    <w:rsid w:val="00900289"/>
    <w:rsid w:val="009E3246"/>
    <w:rsid w:val="00A6191B"/>
    <w:rsid w:val="00A628F4"/>
    <w:rsid w:val="00A70EAF"/>
    <w:rsid w:val="00A74DB1"/>
    <w:rsid w:val="00AE2EA5"/>
    <w:rsid w:val="00AE7B95"/>
    <w:rsid w:val="00AF217D"/>
    <w:rsid w:val="00B008D6"/>
    <w:rsid w:val="00B13B61"/>
    <w:rsid w:val="00B45C19"/>
    <w:rsid w:val="00B53767"/>
    <w:rsid w:val="00B636F0"/>
    <w:rsid w:val="00B67E74"/>
    <w:rsid w:val="00B72B1E"/>
    <w:rsid w:val="00B95F24"/>
    <w:rsid w:val="00BA60E8"/>
    <w:rsid w:val="00BC6896"/>
    <w:rsid w:val="00BE3D4A"/>
    <w:rsid w:val="00BF44E6"/>
    <w:rsid w:val="00C528EC"/>
    <w:rsid w:val="00C9040D"/>
    <w:rsid w:val="00C96D4E"/>
    <w:rsid w:val="00CC5CA9"/>
    <w:rsid w:val="00CF0CB9"/>
    <w:rsid w:val="00D466A6"/>
    <w:rsid w:val="00D70E55"/>
    <w:rsid w:val="00D764E4"/>
    <w:rsid w:val="00D82ADB"/>
    <w:rsid w:val="00E23F3C"/>
    <w:rsid w:val="00E310B8"/>
    <w:rsid w:val="00E62CB1"/>
    <w:rsid w:val="00E67BAB"/>
    <w:rsid w:val="00EA2A0B"/>
    <w:rsid w:val="00EB3F3E"/>
    <w:rsid w:val="00ED68F4"/>
    <w:rsid w:val="00EF628C"/>
    <w:rsid w:val="00F071C8"/>
    <w:rsid w:val="00F42141"/>
    <w:rsid w:val="00F846A9"/>
    <w:rsid w:val="00FC7064"/>
    <w:rsid w:val="00FE1056"/>
    <w:rsid w:val="012F77FB"/>
    <w:rsid w:val="01663B09"/>
    <w:rsid w:val="017052C2"/>
    <w:rsid w:val="01BE6AF9"/>
    <w:rsid w:val="0220070B"/>
    <w:rsid w:val="0272649F"/>
    <w:rsid w:val="031B1925"/>
    <w:rsid w:val="040A0C52"/>
    <w:rsid w:val="057E50FA"/>
    <w:rsid w:val="062E19DF"/>
    <w:rsid w:val="079F2DB5"/>
    <w:rsid w:val="086C2CFF"/>
    <w:rsid w:val="086F3FA3"/>
    <w:rsid w:val="08C40CF3"/>
    <w:rsid w:val="09C6525C"/>
    <w:rsid w:val="09F04B00"/>
    <w:rsid w:val="0A1D72FB"/>
    <w:rsid w:val="0A9172F3"/>
    <w:rsid w:val="0AD97127"/>
    <w:rsid w:val="0C112E71"/>
    <w:rsid w:val="0E776918"/>
    <w:rsid w:val="0E8F0CEC"/>
    <w:rsid w:val="0EA06710"/>
    <w:rsid w:val="108D02AC"/>
    <w:rsid w:val="10A9384D"/>
    <w:rsid w:val="112573D4"/>
    <w:rsid w:val="11882673"/>
    <w:rsid w:val="12C41C61"/>
    <w:rsid w:val="12F31613"/>
    <w:rsid w:val="1491634A"/>
    <w:rsid w:val="14D507B4"/>
    <w:rsid w:val="15146085"/>
    <w:rsid w:val="158F0E59"/>
    <w:rsid w:val="15E962C8"/>
    <w:rsid w:val="17090DA6"/>
    <w:rsid w:val="1761330E"/>
    <w:rsid w:val="187F55E4"/>
    <w:rsid w:val="18EF7F00"/>
    <w:rsid w:val="19297D6C"/>
    <w:rsid w:val="19CC5666"/>
    <w:rsid w:val="1ACA7824"/>
    <w:rsid w:val="1B153B0F"/>
    <w:rsid w:val="1B2D6D86"/>
    <w:rsid w:val="1CCF12B9"/>
    <w:rsid w:val="1CEA0CB6"/>
    <w:rsid w:val="1D590854"/>
    <w:rsid w:val="1DB47768"/>
    <w:rsid w:val="1E7233D8"/>
    <w:rsid w:val="203606F7"/>
    <w:rsid w:val="226E1C50"/>
    <w:rsid w:val="232C2FB8"/>
    <w:rsid w:val="23C737F1"/>
    <w:rsid w:val="2513238F"/>
    <w:rsid w:val="2522011E"/>
    <w:rsid w:val="26FA6683"/>
    <w:rsid w:val="27A41130"/>
    <w:rsid w:val="28740B91"/>
    <w:rsid w:val="293765A7"/>
    <w:rsid w:val="2A396FA8"/>
    <w:rsid w:val="2B2A2B97"/>
    <w:rsid w:val="2C742F1C"/>
    <w:rsid w:val="2C8974F1"/>
    <w:rsid w:val="2C8D1007"/>
    <w:rsid w:val="2D4F45EC"/>
    <w:rsid w:val="2DBC19FE"/>
    <w:rsid w:val="31A53D8D"/>
    <w:rsid w:val="32440EDC"/>
    <w:rsid w:val="326C0551"/>
    <w:rsid w:val="33690F44"/>
    <w:rsid w:val="33CE2331"/>
    <w:rsid w:val="356B0A3B"/>
    <w:rsid w:val="36704ABB"/>
    <w:rsid w:val="373C3BA7"/>
    <w:rsid w:val="38CD681E"/>
    <w:rsid w:val="38DC5496"/>
    <w:rsid w:val="39760E2C"/>
    <w:rsid w:val="39D37144"/>
    <w:rsid w:val="39D4375B"/>
    <w:rsid w:val="39D964F3"/>
    <w:rsid w:val="3A3042F0"/>
    <w:rsid w:val="3A5B4367"/>
    <w:rsid w:val="3A953F23"/>
    <w:rsid w:val="3BD0316A"/>
    <w:rsid w:val="3BEE40FB"/>
    <w:rsid w:val="3C5C4961"/>
    <w:rsid w:val="3E7551CA"/>
    <w:rsid w:val="3ED846AD"/>
    <w:rsid w:val="3FD2226D"/>
    <w:rsid w:val="40293542"/>
    <w:rsid w:val="40F912CC"/>
    <w:rsid w:val="41557C10"/>
    <w:rsid w:val="42A329D9"/>
    <w:rsid w:val="431B63A1"/>
    <w:rsid w:val="469B1418"/>
    <w:rsid w:val="46F56910"/>
    <w:rsid w:val="481E5EE0"/>
    <w:rsid w:val="48562A5D"/>
    <w:rsid w:val="48D2515B"/>
    <w:rsid w:val="4933371F"/>
    <w:rsid w:val="49B37CF3"/>
    <w:rsid w:val="4A1C0F29"/>
    <w:rsid w:val="4A9F3C99"/>
    <w:rsid w:val="4B7B1369"/>
    <w:rsid w:val="4BDB5432"/>
    <w:rsid w:val="4C0E4530"/>
    <w:rsid w:val="4DF5519C"/>
    <w:rsid w:val="4E004A5C"/>
    <w:rsid w:val="4F376605"/>
    <w:rsid w:val="50CE348B"/>
    <w:rsid w:val="51A83C8D"/>
    <w:rsid w:val="53E607EA"/>
    <w:rsid w:val="546F389A"/>
    <w:rsid w:val="554C3B9F"/>
    <w:rsid w:val="557378ED"/>
    <w:rsid w:val="55E40C52"/>
    <w:rsid w:val="579C7722"/>
    <w:rsid w:val="58AE5E7C"/>
    <w:rsid w:val="595E459B"/>
    <w:rsid w:val="5A7D0C9E"/>
    <w:rsid w:val="5AD41F13"/>
    <w:rsid w:val="5C6B3654"/>
    <w:rsid w:val="5CE91611"/>
    <w:rsid w:val="5D2D269B"/>
    <w:rsid w:val="5D5201C0"/>
    <w:rsid w:val="5DC9716E"/>
    <w:rsid w:val="5DDE5652"/>
    <w:rsid w:val="5E613EA4"/>
    <w:rsid w:val="5FEA56D8"/>
    <w:rsid w:val="607313C1"/>
    <w:rsid w:val="60B66CA4"/>
    <w:rsid w:val="60E640CC"/>
    <w:rsid w:val="60FD3B15"/>
    <w:rsid w:val="62315391"/>
    <w:rsid w:val="62C108C4"/>
    <w:rsid w:val="634927F8"/>
    <w:rsid w:val="63921342"/>
    <w:rsid w:val="64287ECD"/>
    <w:rsid w:val="6498572D"/>
    <w:rsid w:val="64B9162B"/>
    <w:rsid w:val="663740B6"/>
    <w:rsid w:val="66601051"/>
    <w:rsid w:val="66902670"/>
    <w:rsid w:val="6710771C"/>
    <w:rsid w:val="678E1D9F"/>
    <w:rsid w:val="68053E8D"/>
    <w:rsid w:val="69F65C1A"/>
    <w:rsid w:val="6A275748"/>
    <w:rsid w:val="6A36252B"/>
    <w:rsid w:val="6A724BD9"/>
    <w:rsid w:val="6E3E5853"/>
    <w:rsid w:val="6E576C48"/>
    <w:rsid w:val="6E5C1E06"/>
    <w:rsid w:val="6E711399"/>
    <w:rsid w:val="6E7D2E87"/>
    <w:rsid w:val="6EC33075"/>
    <w:rsid w:val="6F595014"/>
    <w:rsid w:val="72075026"/>
    <w:rsid w:val="722608CA"/>
    <w:rsid w:val="730B5005"/>
    <w:rsid w:val="732B0626"/>
    <w:rsid w:val="73FE0E42"/>
    <w:rsid w:val="74314109"/>
    <w:rsid w:val="745B2A20"/>
    <w:rsid w:val="74911176"/>
    <w:rsid w:val="749E60E7"/>
    <w:rsid w:val="74F846EB"/>
    <w:rsid w:val="76044EAD"/>
    <w:rsid w:val="76D07EF6"/>
    <w:rsid w:val="77CA4C87"/>
    <w:rsid w:val="78093CAC"/>
    <w:rsid w:val="78607595"/>
    <w:rsid w:val="788861F9"/>
    <w:rsid w:val="78CA023E"/>
    <w:rsid w:val="795D77B7"/>
    <w:rsid w:val="79BD7ABA"/>
    <w:rsid w:val="7A2F7E05"/>
    <w:rsid w:val="7AAA5956"/>
    <w:rsid w:val="7AAC015C"/>
    <w:rsid w:val="7AB5242F"/>
    <w:rsid w:val="7AF87737"/>
    <w:rsid w:val="7B0B1932"/>
    <w:rsid w:val="7B1D2DF5"/>
    <w:rsid w:val="7B292635"/>
    <w:rsid w:val="7B2A3C6E"/>
    <w:rsid w:val="7D236D81"/>
    <w:rsid w:val="7D2C2DAC"/>
    <w:rsid w:val="7FAE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19"/>
    <w:autoRedefine/>
    <w:qFormat/>
    <w:uiPriority w:val="0"/>
    <w:rPr>
      <w:sz w:val="18"/>
      <w:szCs w:val="18"/>
    </w:rPr>
  </w:style>
  <w:style w:type="paragraph" w:styleId="8">
    <w:name w:val="footer"/>
    <w:basedOn w:val="1"/>
    <w:link w:val="15"/>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0"/>
    <w:autoRedefine/>
    <w:qFormat/>
    <w:uiPriority w:val="0"/>
    <w:rPr>
      <w:b/>
      <w:bCs/>
    </w:rPr>
  </w:style>
  <w:style w:type="character" w:styleId="14">
    <w:name w:val="annotation reference"/>
    <w:autoRedefine/>
    <w:qFormat/>
    <w:uiPriority w:val="0"/>
    <w:rPr>
      <w:sz w:val="21"/>
      <w:szCs w:val="21"/>
    </w:rPr>
  </w:style>
  <w:style w:type="character" w:customStyle="1" w:styleId="15">
    <w:name w:val="页脚 Char"/>
    <w:link w:val="8"/>
    <w:autoRedefine/>
    <w:qFormat/>
    <w:uiPriority w:val="99"/>
    <w:rPr>
      <w:kern w:val="2"/>
      <w:sz w:val="18"/>
    </w:rPr>
  </w:style>
  <w:style w:type="character" w:customStyle="1" w:styleId="16">
    <w:name w:val="页码 New"/>
    <w:basedOn w:val="13"/>
    <w:autoRedefine/>
    <w:qFormat/>
    <w:uiPriority w:val="0"/>
  </w:style>
  <w:style w:type="character" w:customStyle="1" w:styleId="17">
    <w:name w:val="页码 New New"/>
    <w:basedOn w:val="13"/>
    <w:autoRedefine/>
    <w:qFormat/>
    <w:uiPriority w:val="0"/>
  </w:style>
  <w:style w:type="character" w:customStyle="1" w:styleId="18">
    <w:name w:val="页码 New New New"/>
    <w:basedOn w:val="13"/>
    <w:autoRedefine/>
    <w:qFormat/>
    <w:uiPriority w:val="0"/>
  </w:style>
  <w:style w:type="character" w:customStyle="1" w:styleId="19">
    <w:name w:val="批注框文本 Char"/>
    <w:link w:val="7"/>
    <w:autoRedefine/>
    <w:qFormat/>
    <w:uiPriority w:val="0"/>
    <w:rPr>
      <w:kern w:val="2"/>
      <w:sz w:val="18"/>
      <w:szCs w:val="18"/>
    </w:rPr>
  </w:style>
  <w:style w:type="character" w:customStyle="1" w:styleId="20">
    <w:name w:val="批注主题 Char"/>
    <w:link w:val="11"/>
    <w:autoRedefine/>
    <w:qFormat/>
    <w:uiPriority w:val="0"/>
    <w:rPr>
      <w:b/>
      <w:bCs/>
      <w:kern w:val="2"/>
      <w:sz w:val="21"/>
    </w:rPr>
  </w:style>
  <w:style w:type="character" w:customStyle="1" w:styleId="21">
    <w:name w:val="批注文字 Char"/>
    <w:link w:val="5"/>
    <w:autoRedefine/>
    <w:qFormat/>
    <w:uiPriority w:val="0"/>
    <w:rPr>
      <w:kern w:val="2"/>
      <w:sz w:val="21"/>
    </w:rPr>
  </w:style>
  <w:style w:type="character" w:customStyle="1" w:styleId="22">
    <w:name w:val="页码 New New New New"/>
    <w:basedOn w:val="13"/>
    <w:autoRedefine/>
    <w:qFormat/>
    <w:uiPriority w:val="0"/>
  </w:style>
  <w:style w:type="paragraph" w:customStyle="1" w:styleId="23">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7">
    <w:name w:val="页眉 New"/>
    <w:basedOn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8">
    <w:name w:val="页脚 New New New"/>
    <w:basedOn w:val="29"/>
    <w:autoRedefine/>
    <w:qFormat/>
    <w:uiPriority w:val="0"/>
    <w:pPr>
      <w:tabs>
        <w:tab w:val="center" w:pos="4153"/>
        <w:tab w:val="right" w:pos="8306"/>
      </w:tabs>
      <w:snapToGrid w:val="0"/>
      <w:jc w:val="left"/>
    </w:pPr>
    <w:rPr>
      <w:sz w:val="18"/>
    </w:rPr>
  </w:style>
  <w:style w:type="paragraph" w:customStyle="1" w:styleId="29">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0">
    <w:name w:val="页眉 New New"/>
    <w:basedOn w:val="2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1">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2">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页脚 New"/>
    <w:basedOn w:val="24"/>
    <w:autoRedefine/>
    <w:qFormat/>
    <w:uiPriority w:val="0"/>
    <w:pPr>
      <w:tabs>
        <w:tab w:val="center" w:pos="4153"/>
        <w:tab w:val="right" w:pos="8306"/>
      </w:tabs>
      <w:snapToGrid w:val="0"/>
      <w:jc w:val="left"/>
    </w:pPr>
    <w:rPr>
      <w:sz w:val="18"/>
      <w:szCs w:val="18"/>
    </w:rPr>
  </w:style>
  <w:style w:type="paragraph" w:customStyle="1" w:styleId="34">
    <w:name w:val="页脚1"/>
    <w:basedOn w:val="1"/>
    <w:autoRedefine/>
    <w:qFormat/>
    <w:uiPriority w:val="99"/>
    <w:pPr>
      <w:tabs>
        <w:tab w:val="center" w:pos="4153"/>
        <w:tab w:val="right" w:pos="8306"/>
      </w:tabs>
      <w:snapToGrid w:val="0"/>
      <w:jc w:val="right"/>
    </w:pPr>
    <w:rPr>
      <w:rFonts w:hint="eastAsia"/>
    </w:rPr>
  </w:style>
  <w:style w:type="paragraph" w:customStyle="1" w:styleId="35">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
    <w:name w:val="页脚 New New"/>
    <w:basedOn w:val="23"/>
    <w:autoRedefine/>
    <w:qFormat/>
    <w:uiPriority w:val="0"/>
    <w:pPr>
      <w:tabs>
        <w:tab w:val="center" w:pos="4153"/>
        <w:tab w:val="right" w:pos="8306"/>
      </w:tabs>
      <w:snapToGrid w:val="0"/>
      <w:jc w:val="left"/>
    </w:pPr>
    <w:rPr>
      <w:sz w:val="18"/>
    </w:rPr>
  </w:style>
  <w:style w:type="paragraph" w:customStyle="1" w:styleId="37">
    <w:name w:val="页脚 New New New New"/>
    <w:basedOn w:val="38"/>
    <w:autoRedefine/>
    <w:qFormat/>
    <w:uiPriority w:val="0"/>
    <w:pPr>
      <w:tabs>
        <w:tab w:val="center" w:pos="4153"/>
        <w:tab w:val="right" w:pos="8306"/>
      </w:tabs>
      <w:snapToGrid w:val="0"/>
      <w:jc w:val="left"/>
    </w:pPr>
    <w:rPr>
      <w:sz w:val="18"/>
      <w:szCs w:val="18"/>
    </w:rPr>
  </w:style>
  <w:style w:type="paragraph" w:customStyle="1" w:styleId="38">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39">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0">
    <w:name w:val="修订1"/>
    <w:autoRedefine/>
    <w:qFormat/>
    <w:uiPriority w:val="99"/>
    <w:rPr>
      <w:rFonts w:ascii="Calibri" w:hAnsi="Calibri" w:eastAsia="宋体" w:cs="Times New Roman"/>
      <w:kern w:val="2"/>
      <w:sz w:val="21"/>
      <w:lang w:val="en-US" w:eastAsia="zh-CN" w:bidi="ar-SA"/>
    </w:rPr>
  </w:style>
  <w:style w:type="paragraph" w:customStyle="1" w:styleId="41">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2">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8">
    <w:name w:val="标题 2 Char"/>
    <w:basedOn w:val="13"/>
    <w:link w:val="3"/>
    <w:autoRedefine/>
    <w:qFormat/>
    <w:uiPriority w:val="0"/>
    <w:rPr>
      <w:rFonts w:ascii="Arial" w:hAnsi="Arial" w:eastAsia="黑体" w:cs="宋体"/>
      <w:kern w:val="2"/>
      <w:sz w:val="32"/>
      <w:szCs w:val="22"/>
    </w:rPr>
  </w:style>
  <w:style w:type="character" w:customStyle="1" w:styleId="49">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DD3A-3DA8-48A5-A51B-AE06636DE46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1870</Words>
  <Characters>1975</Characters>
  <Lines>15</Lines>
  <Paragraphs>4</Paragraphs>
  <TotalTime>11</TotalTime>
  <ScaleCrop>false</ScaleCrop>
  <LinksUpToDate>false</LinksUpToDate>
  <CharactersWithSpaces>2082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2024-06-30T08:07:00Z</dcterms:created>
  <dc:creator>Administrator</dc:creator>
  <cp:lastModifiedBy>郭辉</cp:lastModifiedBy>
  <cp:lastPrinted>2024-08-02T08:58:00Z</cp:lastPrinted>
  <dcterms:modified xsi:type="dcterms:W3CDTF">2024-08-02T09:52:21Z</dcterms:modified>
  <dc:title>投资者关系活动记录表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A29584D49B0447E89574DA5E4D07EB97_13</vt:lpwstr>
  </property>
</Properties>
</file>