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600328                             </w:t>
      </w:r>
      <w:r>
        <w:rPr>
          <w:rFonts w:hAnsi="宋体"/>
          <w:bCs/>
          <w:iCs/>
          <w:color w:val="000000"/>
          <w:sz w:val="24"/>
        </w:rPr>
        <w:t>证券简称：</w:t>
      </w:r>
      <w:r>
        <w:rPr>
          <w:color w:val="000000"/>
          <w:sz w:val="24"/>
        </w:rPr>
        <w:t>中盐化工</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中盐内蒙古化工股份有限公司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2024年8月9日 (周五) 下午 13:50~17:00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1、董事长周杰</w:t>
            </w:r>
          </w:p>
          <w:p>
            <w:pPr>
              <w:spacing w:line="420" w:lineRule="exact"/>
              <w:rPr>
                <w:rFonts w:hint="default" w:ascii="宋体" w:hAnsi="宋体"/>
                <w:bCs/>
                <w:sz w:val="24"/>
              </w:rPr>
            </w:pPr>
            <w:r>
              <w:rPr>
                <w:rFonts w:hint="default" w:ascii="宋体" w:hAnsi="宋体"/>
                <w:bCs/>
                <w:sz w:val="24"/>
              </w:rPr>
              <w:t>2、财务总监兼董事会秘书陈云泉</w:t>
            </w:r>
          </w:p>
          <w:p>
            <w:pPr>
              <w:spacing w:line="420" w:lineRule="exact"/>
              <w:rPr>
                <w:rFonts w:hint="default" w:ascii="宋体" w:hAnsi="宋体"/>
                <w:bCs/>
                <w:sz w:val="24"/>
              </w:rPr>
            </w:pPr>
            <w:r>
              <w:rPr>
                <w:rFonts w:hint="default" w:ascii="宋体" w:hAnsi="宋体"/>
                <w:bCs/>
                <w:sz w:val="24"/>
              </w:rPr>
              <w:t>3、证券事务部部长孙卫荣</w:t>
            </w:r>
          </w:p>
          <w:p>
            <w:pPr>
              <w:spacing w:line="420" w:lineRule="exact"/>
              <w:rPr>
                <w:rFonts w:hint="default" w:ascii="宋体" w:hAnsi="宋体"/>
                <w:bCs/>
                <w:sz w:val="24"/>
              </w:rPr>
            </w:pPr>
            <w:r>
              <w:rPr>
                <w:rFonts w:hint="default" w:ascii="宋体" w:hAnsi="宋体"/>
                <w:bCs/>
                <w:sz w:val="24"/>
              </w:rPr>
              <w:t>4、财务部部长宋大勇</w:t>
            </w:r>
          </w:p>
          <w:p>
            <w:pPr>
              <w:spacing w:line="420" w:lineRule="exact"/>
              <w:rPr>
                <w:rFonts w:hint="default" w:ascii="宋体" w:hAnsi="宋体"/>
                <w:bCs/>
                <w:sz w:val="24"/>
              </w:rPr>
            </w:pPr>
            <w:r>
              <w:rPr>
                <w:rFonts w:hint="default" w:ascii="宋体" w:hAnsi="宋体"/>
                <w:bCs/>
                <w:sz w:val="24"/>
              </w:rPr>
              <w:t>5、财务部核算室主任杨燕</w:t>
            </w:r>
          </w:p>
          <w:p>
            <w:pPr>
              <w:spacing w:line="420" w:lineRule="exact"/>
              <w:rPr>
                <w:rFonts w:hint="default" w:ascii="宋体" w:hAnsi="宋体"/>
                <w:bCs/>
                <w:sz w:val="24"/>
              </w:rPr>
            </w:pPr>
            <w:r>
              <w:rPr>
                <w:rFonts w:hint="default" w:ascii="宋体" w:hAnsi="宋体"/>
                <w:bCs/>
                <w:sz w:val="24"/>
              </w:rPr>
              <w:t>6、证券投资分析王艳菊</w:t>
            </w:r>
          </w:p>
          <w:p>
            <w:pPr>
              <w:spacing w:line="420" w:lineRule="exact"/>
              <w:rPr>
                <w:rFonts w:hint="default" w:ascii="宋体" w:hAnsi="宋体"/>
                <w:bCs/>
                <w:sz w:val="24"/>
              </w:rPr>
            </w:pPr>
            <w:r>
              <w:rPr>
                <w:rFonts w:hint="default" w:ascii="宋体" w:hAnsi="宋体"/>
                <w:bCs/>
                <w:sz w:val="24"/>
              </w:rPr>
              <w:t>7、证券信息管理付永才</w:t>
            </w:r>
          </w:p>
          <w:p>
            <w:pPr>
              <w:spacing w:line="420" w:lineRule="exact"/>
              <w:rPr>
                <w:rFonts w:hint="default" w:ascii="宋体" w:hAnsi="宋体"/>
                <w:bCs/>
                <w:sz w:val="24"/>
              </w:rPr>
            </w:pPr>
            <w:r>
              <w:rPr>
                <w:rFonts w:hint="default" w:ascii="宋体" w:hAnsi="宋体"/>
                <w:bCs/>
                <w:sz w:val="24"/>
              </w:rPr>
              <w:t>8、证券信息管理刘娜</w:t>
            </w:r>
          </w:p>
          <w:p>
            <w:pPr>
              <w:spacing w:line="420" w:lineRule="exact"/>
              <w:rPr>
                <w:rFonts w:hint="default" w:ascii="宋体" w:hAnsi="宋体"/>
                <w:bCs/>
                <w:sz w:val="24"/>
              </w:rPr>
            </w:pPr>
            <w:r>
              <w:rPr>
                <w:rFonts w:hint="default" w:ascii="宋体" w:hAnsi="宋体"/>
                <w:bCs/>
                <w:sz w:val="24"/>
              </w:rPr>
              <w:t>9、报表组组长韩朝宇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eastAsia="宋体" w:cs="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1、请问，公司股权激励计划进展如何？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2021年限制性股票激励计划第一个解除限售期解除限售条件已经成就，加权平均净资产收益率等考核指标均完成、完成值均满足高于对标企业75分位值条件。具体情况请您关注公司《关于2021年限制性股票激励计划首批授予限制性股票第一个解除限售期解除限售暨上市流通的公告》及其他股权激励事项相关公告。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2、目前纯碱产能恢复多少了，下半年有望满负载生产吗？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您好，公司纯碱装置现都处于满产状态，生产运营正常。谢谢您的关注。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3、请问，作为化工企业，公司节能降耗工作开展如何？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高度重视节能降耗工作，以《节能降耗三年行动方案》《废水综合治理三年行动方案》为工作指南，坚持节水减排、节能降碳、绿色发展总基调，寻求新举措、新方式、新技术，努力实现减排、零排，保障企业健康发展。一是推动老旧设备更新、工艺升级，如以循环流化床锅炉及配套背压式汽轮机组替代中温中压自然循环煤粉锅炉、电石产业以立式烘干窑替代卧式转筒烘干机，减少设备设施投入的同时降低原材料消耗；二是实现绿电应用，公司将依托内蒙古西部丰富的风、光资源，开发建设绿色能源项目，以绿电替代火电，节能降碳的同时降低生产成本；三是追求工艺创新突破，在传统制碱工艺中回收锅炉烟气二氧化碳结合氯碱产业中产生的电石渣生产纯碱产品等，在传统工艺突破的同时，实现资源综合利用、减排降耗。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4、请问，公司高纯钠现状如何？产销情况如何？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您好，公司高纯钠是一种高纯度金属钠成品，被列入国家 863 计划项目，产能 800 吨，为国内最大，以公司全球规模最大、技术领先的金属钠产业为依托，工艺及成本控制在行业内具有优势，采取订单式生产模式。根据合同约定，本年度将交付1600吨左右高纯钠产品。谢谢您的关注。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5、能说下，公司目前的主要战略目标，以及围绕怎么样的一个中心去经营？</w:t>
            </w:r>
          </w:p>
          <w:p>
            <w:pPr>
              <w:pStyle w:val="7"/>
              <w:spacing w:line="460" w:lineRule="exact"/>
              <w:ind w:left="-2" w:leftChars="-1" w:firstLine="480"/>
              <w:rPr>
                <w:rFonts w:ascii="宋体" w:hAnsi="宋体"/>
                <w:bCs/>
                <w:iCs/>
                <w:color w:val="000000"/>
                <w:sz w:val="24"/>
              </w:rPr>
            </w:pPr>
            <w:r>
              <w:rPr>
                <w:rFonts w:hint="default" w:ascii="宋体" w:hAnsi="宋体"/>
                <w:sz w:val="24"/>
                <w:szCs w:val="24"/>
              </w:rPr>
              <w:t>您好，公司坚持 “深化改革、精益求精、提质增盈、行业引领”的经营方针，谋经营、抓落实、强管理，围绕建设“世界一流化工企业”的总体目标，大力推进低成本战略，注重技术研发与管理创新，持续推进产品和产业结构调整步伐，集中力量做强做优主营核心产业，提升企业内在发展质量。谢谢您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 xml:space="preserve">2024-08-09 </w:t>
            </w:r>
            <w:bookmarkStart w:id="0" w:name="_GoBack"/>
            <w:bookmarkEnd w:id="0"/>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7A5187C"/>
    <w:rsid w:val="3BFA3B96"/>
    <w:rsid w:val="3CEF3472"/>
    <w:rsid w:val="3EFF16E9"/>
    <w:rsid w:val="6C0356BF"/>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3</TotalTime>
  <ScaleCrop>false</ScaleCrop>
  <LinksUpToDate>false</LinksUpToDate>
  <CharactersWithSpaces>513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zq</cp:lastModifiedBy>
  <cp:lastPrinted>2014-02-21T05:34:00Z</cp:lastPrinted>
  <dcterms:modified xsi:type="dcterms:W3CDTF">2024-08-09T09:09:27Z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3378DF92D5494EA79182626F58817F75</vt:lpwstr>
  </property>
</Properties>
</file>