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F14C9" w14:textId="77777777" w:rsidR="00E6483B" w:rsidRPr="00AA78A5" w:rsidRDefault="00E6483B" w:rsidP="00E6483B">
      <w:pPr>
        <w:spacing w:line="360" w:lineRule="auto"/>
        <w:ind w:firstLineChars="200" w:firstLine="562"/>
        <w:jc w:val="center"/>
        <w:rPr>
          <w:rFonts w:ascii="宋体" w:eastAsia="宋体" w:hAnsi="宋体"/>
          <w:b/>
          <w:sz w:val="28"/>
          <w:szCs w:val="28"/>
        </w:rPr>
      </w:pPr>
      <w:r w:rsidRPr="00AA78A5">
        <w:rPr>
          <w:rFonts w:ascii="宋体" w:eastAsia="宋体" w:hAnsi="宋体" w:hint="eastAsia"/>
          <w:b/>
          <w:sz w:val="28"/>
          <w:szCs w:val="28"/>
        </w:rPr>
        <w:t>湖北振华化学股份有限公司</w:t>
      </w:r>
    </w:p>
    <w:p w14:paraId="5ACC37BF" w14:textId="5F6E4761" w:rsidR="00E6483B" w:rsidRPr="00AA78A5" w:rsidRDefault="00427FD4" w:rsidP="00E6483B">
      <w:pPr>
        <w:spacing w:line="360" w:lineRule="auto"/>
        <w:ind w:firstLineChars="200" w:firstLine="562"/>
        <w:jc w:val="center"/>
        <w:rPr>
          <w:rFonts w:ascii="宋体" w:eastAsia="宋体" w:hAnsi="宋体"/>
          <w:b/>
          <w:sz w:val="28"/>
          <w:szCs w:val="28"/>
        </w:rPr>
      </w:pPr>
      <w:r>
        <w:rPr>
          <w:rFonts w:ascii="宋体" w:eastAsia="宋体" w:hAnsi="宋体" w:hint="eastAsia"/>
          <w:b/>
          <w:sz w:val="28"/>
          <w:szCs w:val="28"/>
        </w:rPr>
        <w:t>2</w:t>
      </w:r>
      <w:r>
        <w:rPr>
          <w:rFonts w:ascii="宋体" w:eastAsia="宋体" w:hAnsi="宋体"/>
          <w:b/>
          <w:sz w:val="28"/>
          <w:szCs w:val="28"/>
        </w:rPr>
        <w:t>024</w:t>
      </w:r>
      <w:r>
        <w:rPr>
          <w:rFonts w:ascii="宋体" w:eastAsia="宋体" w:hAnsi="宋体" w:hint="eastAsia"/>
          <w:b/>
          <w:sz w:val="28"/>
          <w:szCs w:val="28"/>
        </w:rPr>
        <w:t>年半年度</w:t>
      </w:r>
      <w:r>
        <w:rPr>
          <w:rFonts w:ascii="宋体" w:eastAsia="宋体" w:hAnsi="宋体"/>
          <w:b/>
          <w:sz w:val="28"/>
          <w:szCs w:val="28"/>
        </w:rPr>
        <w:t>业绩</w:t>
      </w:r>
      <w:r w:rsidR="00E6483B" w:rsidRPr="00AA78A5">
        <w:rPr>
          <w:rFonts w:ascii="宋体" w:eastAsia="宋体" w:hAnsi="宋体" w:hint="eastAsia"/>
          <w:b/>
          <w:sz w:val="28"/>
          <w:szCs w:val="28"/>
        </w:rPr>
        <w:t>交流会内容纪要</w:t>
      </w:r>
    </w:p>
    <w:p w14:paraId="389BABEA" w14:textId="77777777" w:rsidR="00E6483B" w:rsidRPr="00AA78A5" w:rsidRDefault="00E6483B" w:rsidP="00E6483B">
      <w:pPr>
        <w:spacing w:line="360" w:lineRule="auto"/>
        <w:ind w:firstLineChars="200" w:firstLine="562"/>
        <w:rPr>
          <w:rFonts w:ascii="宋体" w:eastAsia="宋体" w:hAnsi="宋体"/>
          <w:b/>
          <w:bCs/>
          <w:sz w:val="28"/>
          <w:szCs w:val="28"/>
        </w:rPr>
      </w:pPr>
    </w:p>
    <w:p w14:paraId="3B3BA793" w14:textId="6783713A" w:rsidR="00E6483B" w:rsidRPr="00AA78A5" w:rsidRDefault="00E6483B" w:rsidP="00E6483B">
      <w:pPr>
        <w:spacing w:line="360" w:lineRule="auto"/>
        <w:ind w:firstLineChars="200" w:firstLine="562"/>
        <w:rPr>
          <w:rFonts w:ascii="宋体" w:eastAsia="宋体" w:hAnsi="宋体"/>
          <w:b/>
          <w:bCs/>
          <w:sz w:val="28"/>
          <w:szCs w:val="28"/>
        </w:rPr>
      </w:pPr>
      <w:r w:rsidRPr="00AA78A5">
        <w:rPr>
          <w:rFonts w:ascii="宋体" w:eastAsia="宋体" w:hAnsi="宋体" w:hint="eastAsia"/>
          <w:b/>
          <w:bCs/>
          <w:sz w:val="28"/>
          <w:szCs w:val="28"/>
        </w:rPr>
        <w:t>一、会议基本情况</w:t>
      </w:r>
    </w:p>
    <w:p w14:paraId="7A9883D9" w14:textId="51D812BD" w:rsidR="00E6483B" w:rsidRPr="00AA78A5" w:rsidRDefault="00E6483B" w:rsidP="00E6483B">
      <w:pPr>
        <w:spacing w:line="360" w:lineRule="auto"/>
        <w:ind w:firstLineChars="200" w:firstLine="560"/>
        <w:rPr>
          <w:rFonts w:ascii="宋体" w:eastAsia="宋体" w:hAnsi="宋体"/>
          <w:color w:val="FF0000"/>
          <w:sz w:val="28"/>
          <w:szCs w:val="28"/>
        </w:rPr>
      </w:pPr>
      <w:r w:rsidRPr="00AA78A5">
        <w:rPr>
          <w:rFonts w:ascii="宋体" w:eastAsia="宋体" w:hAnsi="宋体" w:hint="eastAsia"/>
          <w:sz w:val="28"/>
          <w:szCs w:val="28"/>
        </w:rPr>
        <w:t>调研时间：202</w:t>
      </w:r>
      <w:r w:rsidRPr="00AA78A5">
        <w:rPr>
          <w:rFonts w:ascii="宋体" w:eastAsia="宋体" w:hAnsi="宋体"/>
          <w:sz w:val="28"/>
          <w:szCs w:val="28"/>
        </w:rPr>
        <w:t>4</w:t>
      </w:r>
      <w:r w:rsidRPr="00AA78A5">
        <w:rPr>
          <w:rFonts w:ascii="宋体" w:eastAsia="宋体" w:hAnsi="宋体" w:hint="eastAsia"/>
          <w:sz w:val="28"/>
          <w:szCs w:val="28"/>
        </w:rPr>
        <w:t>年</w:t>
      </w:r>
      <w:r w:rsidRPr="00AA78A5">
        <w:rPr>
          <w:rFonts w:ascii="宋体" w:eastAsia="宋体" w:hAnsi="宋体"/>
          <w:sz w:val="28"/>
          <w:szCs w:val="28"/>
        </w:rPr>
        <w:t>8</w:t>
      </w:r>
      <w:r w:rsidRPr="00AA78A5">
        <w:rPr>
          <w:rFonts w:ascii="宋体" w:eastAsia="宋体" w:hAnsi="宋体" w:hint="eastAsia"/>
          <w:sz w:val="28"/>
          <w:szCs w:val="28"/>
        </w:rPr>
        <w:t>月</w:t>
      </w:r>
      <w:r w:rsidRPr="00AA78A5">
        <w:rPr>
          <w:rFonts w:ascii="宋体" w:eastAsia="宋体" w:hAnsi="宋体"/>
          <w:sz w:val="28"/>
          <w:szCs w:val="28"/>
        </w:rPr>
        <w:t>14</w:t>
      </w:r>
      <w:r w:rsidRPr="00AA78A5">
        <w:rPr>
          <w:rFonts w:ascii="宋体" w:eastAsia="宋体" w:hAnsi="宋体" w:hint="eastAsia"/>
          <w:sz w:val="28"/>
          <w:szCs w:val="28"/>
        </w:rPr>
        <w:t>日</w:t>
      </w:r>
    </w:p>
    <w:p w14:paraId="480706AE" w14:textId="2FE8A72A" w:rsidR="00E6483B" w:rsidRPr="00AA78A5" w:rsidRDefault="00E6483B" w:rsidP="00E6483B">
      <w:pPr>
        <w:spacing w:line="360" w:lineRule="auto"/>
        <w:ind w:firstLineChars="200" w:firstLine="560"/>
        <w:rPr>
          <w:rFonts w:ascii="宋体" w:eastAsia="宋体" w:hAnsi="宋体" w:hint="eastAsia"/>
          <w:sz w:val="28"/>
          <w:szCs w:val="28"/>
        </w:rPr>
      </w:pPr>
      <w:r w:rsidRPr="00AA78A5">
        <w:rPr>
          <w:rFonts w:ascii="宋体" w:eastAsia="宋体" w:hAnsi="宋体" w:hint="eastAsia"/>
          <w:sz w:val="28"/>
          <w:szCs w:val="28"/>
        </w:rPr>
        <w:t>调研形式：电话会议</w:t>
      </w:r>
      <w:bookmarkStart w:id="0" w:name="_GoBack"/>
      <w:bookmarkEnd w:id="0"/>
    </w:p>
    <w:p w14:paraId="50981BF3" w14:textId="77777777" w:rsidR="00E6483B" w:rsidRPr="00AA78A5" w:rsidRDefault="00E6483B" w:rsidP="00E6483B">
      <w:pPr>
        <w:spacing w:line="360" w:lineRule="auto"/>
        <w:ind w:firstLineChars="200" w:firstLine="560"/>
        <w:rPr>
          <w:rFonts w:ascii="宋体" w:eastAsia="宋体" w:hAnsi="宋体"/>
          <w:sz w:val="28"/>
          <w:szCs w:val="28"/>
        </w:rPr>
      </w:pPr>
      <w:r w:rsidRPr="00AA78A5">
        <w:rPr>
          <w:rFonts w:ascii="宋体" w:eastAsia="宋体" w:hAnsi="宋体" w:hint="eastAsia"/>
          <w:sz w:val="28"/>
          <w:szCs w:val="28"/>
        </w:rPr>
        <w:t>公司参会人员：韩翔  总经理助理</w:t>
      </w:r>
    </w:p>
    <w:p w14:paraId="767511D7" w14:textId="77777777" w:rsidR="00E6483B" w:rsidRPr="00AA78A5" w:rsidRDefault="00E6483B" w:rsidP="00E6483B">
      <w:pPr>
        <w:spacing w:line="360" w:lineRule="auto"/>
        <w:ind w:firstLineChars="200" w:firstLine="560"/>
        <w:rPr>
          <w:rFonts w:ascii="宋体" w:eastAsia="宋体" w:hAnsi="宋体"/>
          <w:sz w:val="28"/>
          <w:szCs w:val="28"/>
        </w:rPr>
      </w:pPr>
      <w:r w:rsidRPr="00AA78A5">
        <w:rPr>
          <w:rFonts w:ascii="宋体" w:eastAsia="宋体" w:hAnsi="宋体" w:hint="eastAsia"/>
          <w:sz w:val="28"/>
          <w:szCs w:val="28"/>
        </w:rPr>
        <w:t>参会机构：详见附件“参会机构清单”</w:t>
      </w:r>
    </w:p>
    <w:p w14:paraId="02D117EF" w14:textId="77777777" w:rsidR="00E6483B" w:rsidRPr="00AA78A5" w:rsidRDefault="00E6483B">
      <w:pPr>
        <w:rPr>
          <w:rFonts w:ascii="宋体" w:eastAsia="宋体" w:hAnsi="宋体"/>
          <w:sz w:val="28"/>
          <w:szCs w:val="28"/>
        </w:rPr>
      </w:pPr>
    </w:p>
    <w:p w14:paraId="49D551F5" w14:textId="77777777" w:rsidR="00E6483B" w:rsidRPr="00AA78A5" w:rsidRDefault="00E6483B" w:rsidP="00E6483B">
      <w:pPr>
        <w:spacing w:line="360" w:lineRule="auto"/>
        <w:ind w:firstLineChars="200" w:firstLine="562"/>
        <w:rPr>
          <w:rFonts w:ascii="宋体" w:eastAsia="宋体" w:hAnsi="宋体"/>
          <w:b/>
          <w:bCs/>
          <w:sz w:val="28"/>
          <w:szCs w:val="28"/>
        </w:rPr>
      </w:pPr>
      <w:r w:rsidRPr="00AA78A5">
        <w:rPr>
          <w:rFonts w:ascii="宋体" w:eastAsia="宋体" w:hAnsi="宋体" w:hint="eastAsia"/>
          <w:b/>
          <w:bCs/>
          <w:sz w:val="28"/>
          <w:szCs w:val="28"/>
        </w:rPr>
        <w:t>二、会议交流的主要内容</w:t>
      </w:r>
    </w:p>
    <w:p w14:paraId="6DFA6D2F" w14:textId="3AFF71C4" w:rsidR="00E6483B" w:rsidRPr="00AA78A5" w:rsidRDefault="00E6483B" w:rsidP="00E6483B">
      <w:pPr>
        <w:ind w:firstLineChars="200" w:firstLine="562"/>
        <w:rPr>
          <w:rFonts w:ascii="宋体" w:eastAsia="宋体" w:hAnsi="宋体"/>
          <w:b/>
          <w:sz w:val="28"/>
          <w:szCs w:val="28"/>
        </w:rPr>
      </w:pPr>
      <w:r w:rsidRPr="00AA78A5">
        <w:rPr>
          <w:rFonts w:ascii="宋体" w:eastAsia="宋体" w:hAnsi="宋体" w:hint="eastAsia"/>
          <w:b/>
          <w:sz w:val="28"/>
          <w:szCs w:val="28"/>
        </w:rPr>
        <w:t>（一）2024年上半年整体情况介绍</w:t>
      </w:r>
    </w:p>
    <w:p w14:paraId="53BC5CAA" w14:textId="00DCBECB" w:rsidR="00834267" w:rsidRPr="00AA78A5" w:rsidRDefault="00300FD9" w:rsidP="00E6483B">
      <w:pPr>
        <w:ind w:firstLineChars="200" w:firstLine="560"/>
        <w:rPr>
          <w:rFonts w:ascii="宋体" w:eastAsia="宋体" w:hAnsi="宋体"/>
          <w:sz w:val="28"/>
          <w:szCs w:val="28"/>
        </w:rPr>
      </w:pPr>
      <w:r w:rsidRPr="00AA78A5">
        <w:rPr>
          <w:rFonts w:ascii="宋体" w:eastAsia="宋体" w:hAnsi="宋体" w:hint="eastAsia"/>
          <w:sz w:val="28"/>
          <w:szCs w:val="28"/>
        </w:rPr>
        <w:t>上半年公司主要财务指标增长幅度比较显著，首先从量价配置策略的角度进行说明。销售价格方面当前市场比较关注，自3月末以后公司产品也进行了数次公开提价操作，排除在手订单释放对价格执行的影响后，二季度公司主要铬盐产品的环比售价均有不同程度的提升，进入七月份以来，主要在售产品价格仍保持温和上涨的态势。但公司随半年报同步披露的经营数据中，三项主营含铬产品的价格看上去并未有大的变化，这主要是由于产品分类统计口径的影响导致的。具体来说，金属铬是公司今年上半年一个重要的业绩增长来源，但截至目前金属铬的经营情况未在报告数据中单独体现。氧化铬绿是金属铬最主要的原材料，今年上半年公司有大量的氧化铬绿作为中间产品用于生产金属铬而不再对外销售，由此导致经营数据中“铬的氧化物”这</w:t>
      </w:r>
      <w:r w:rsidRPr="00AA78A5">
        <w:rPr>
          <w:rFonts w:ascii="宋体" w:eastAsia="宋体" w:hAnsi="宋体" w:hint="eastAsia"/>
          <w:sz w:val="28"/>
          <w:szCs w:val="28"/>
        </w:rPr>
        <w:lastRenderedPageBreak/>
        <w:t>一科目无论是销量还是销售均价都受到较大程度的低估，尤其是价格的实际增长未能体现。另一方面，公司市场份额优先的销售策略是一贯的，因此，在市场行情较好的条件下优先进行量的扩充是公司的主导经营原则。今年上半年公司各项主营产品销量均实现较大幅度的增长，相关数据在报告中均有列示，在此不再赘述。</w:t>
      </w:r>
    </w:p>
    <w:p w14:paraId="2D1C3EC4" w14:textId="77777777" w:rsidR="00834267" w:rsidRPr="00AA78A5" w:rsidRDefault="00300FD9" w:rsidP="00E6483B">
      <w:pPr>
        <w:ind w:firstLineChars="200" w:firstLine="560"/>
        <w:rPr>
          <w:rFonts w:ascii="宋体" w:eastAsia="宋体" w:hAnsi="宋体"/>
          <w:sz w:val="28"/>
          <w:szCs w:val="28"/>
        </w:rPr>
      </w:pPr>
      <w:r w:rsidRPr="00AA78A5">
        <w:rPr>
          <w:rFonts w:ascii="宋体" w:eastAsia="宋体" w:hAnsi="宋体" w:hint="eastAsia"/>
          <w:sz w:val="28"/>
          <w:szCs w:val="28"/>
        </w:rPr>
        <w:t>综合近年来的市场格局和经营成果，我们认为铬化学品体现出的成长性强于周期性，可以从市场和产品两个维度来论证。市场方面，上半年公司海外销售收入增长了近40%，这是在国内铬盐产品出口不退税的相对劣势背景下实现的，充分表明了铬盐在需求端的潜在韧性和成长空间；产品方面，公司产业链纵向延伸的金属铬上半年表现优异，金属铬是高温合金的第二大主材，单耗在0.15-0.3吨之间，受国家“两机专项”及全球军工生产的需求拉动，为铬盐的需求扩容提供了有力支撑。对于副产物的应用和挖潜，半年报的数据显示，公司超细氢氧化铝、高纯元明粉以及钒的提取率均有一定幅度的提升，公司产品在非铬业务领域的拓展一方面匹配了产能的稳定释放，同时增厚了公司的利润和护城河。</w:t>
      </w:r>
    </w:p>
    <w:p w14:paraId="191776D5" w14:textId="6D053DCC" w:rsidR="00834267" w:rsidRPr="00AA78A5" w:rsidRDefault="00E6483B" w:rsidP="00176FFB">
      <w:pPr>
        <w:ind w:firstLineChars="200" w:firstLine="562"/>
        <w:rPr>
          <w:rFonts w:ascii="宋体" w:eastAsia="宋体" w:hAnsi="宋体"/>
          <w:b/>
          <w:sz w:val="28"/>
          <w:szCs w:val="28"/>
        </w:rPr>
      </w:pPr>
      <w:r w:rsidRPr="00AA78A5">
        <w:rPr>
          <w:rFonts w:ascii="宋体" w:eastAsia="宋体" w:hAnsi="宋体" w:hint="eastAsia"/>
          <w:b/>
          <w:sz w:val="28"/>
          <w:szCs w:val="28"/>
        </w:rPr>
        <w:t>（二）问答环节</w:t>
      </w:r>
    </w:p>
    <w:p w14:paraId="45ED5530" w14:textId="122E009A" w:rsidR="00834267" w:rsidRPr="00AA78A5" w:rsidRDefault="00176FFB" w:rsidP="00176FFB">
      <w:pPr>
        <w:ind w:firstLineChars="200" w:firstLine="562"/>
        <w:rPr>
          <w:rFonts w:ascii="宋体" w:eastAsia="宋体" w:hAnsi="宋体"/>
          <w:b/>
          <w:sz w:val="28"/>
          <w:szCs w:val="28"/>
        </w:rPr>
      </w:pPr>
      <w:r w:rsidRPr="00AA78A5">
        <w:rPr>
          <w:rFonts w:ascii="宋体" w:eastAsia="宋体" w:hAnsi="宋体" w:hint="eastAsia"/>
          <w:b/>
          <w:sz w:val="28"/>
          <w:szCs w:val="28"/>
        </w:rPr>
        <w:t>1、</w:t>
      </w:r>
      <w:r w:rsidR="00300FD9" w:rsidRPr="00AA78A5">
        <w:rPr>
          <w:rFonts w:ascii="宋体" w:eastAsia="宋体" w:hAnsi="宋体" w:hint="eastAsia"/>
          <w:b/>
          <w:sz w:val="28"/>
          <w:szCs w:val="28"/>
        </w:rPr>
        <w:t>产成品库存水平</w:t>
      </w:r>
      <w:r w:rsidRPr="00AA78A5">
        <w:rPr>
          <w:rFonts w:ascii="宋体" w:eastAsia="宋体" w:hAnsi="宋体" w:hint="eastAsia"/>
          <w:b/>
          <w:sz w:val="28"/>
          <w:szCs w:val="28"/>
        </w:rPr>
        <w:t>如何</w:t>
      </w:r>
      <w:r w:rsidRPr="00AA78A5">
        <w:rPr>
          <w:rFonts w:ascii="宋体" w:eastAsia="宋体" w:hAnsi="宋体"/>
          <w:b/>
          <w:sz w:val="28"/>
          <w:szCs w:val="28"/>
        </w:rPr>
        <w:t>？</w:t>
      </w:r>
    </w:p>
    <w:p w14:paraId="081FA76B"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截止到六月底，公司库存总额虽然比较高，但其中只有约一半是成品库存。成品库存中主要是金属铬及其主材（氧化铬绿）的备货，因这两项产品的固有价值比较高，总额有一个多亿，其他还有一些产品虽然形态上可以对外销售，但实际是公司用于另类产品开发的备用</w:t>
      </w:r>
      <w:r w:rsidRPr="00AA78A5">
        <w:rPr>
          <w:rFonts w:ascii="宋体" w:eastAsia="宋体" w:hAnsi="宋体" w:hint="eastAsia"/>
          <w:sz w:val="28"/>
          <w:szCs w:val="28"/>
        </w:rPr>
        <w:lastRenderedPageBreak/>
        <w:t>品。真正可供外售的产品库存已基本出清。</w:t>
      </w:r>
    </w:p>
    <w:p w14:paraId="47AA4E18" w14:textId="1646DF23" w:rsidR="00834267" w:rsidRPr="00AA78A5" w:rsidRDefault="00176FFB" w:rsidP="00176FFB">
      <w:pPr>
        <w:ind w:firstLineChars="200" w:firstLine="562"/>
        <w:rPr>
          <w:rFonts w:ascii="宋体" w:eastAsia="宋体" w:hAnsi="宋体"/>
          <w:b/>
          <w:sz w:val="28"/>
          <w:szCs w:val="28"/>
        </w:rPr>
      </w:pPr>
      <w:r w:rsidRPr="00AA78A5">
        <w:rPr>
          <w:rFonts w:ascii="宋体" w:eastAsia="宋体" w:hAnsi="宋体" w:hint="eastAsia"/>
          <w:b/>
          <w:sz w:val="28"/>
          <w:szCs w:val="28"/>
        </w:rPr>
        <w:t>2、</w:t>
      </w:r>
      <w:r w:rsidR="00300FD9" w:rsidRPr="00AA78A5">
        <w:rPr>
          <w:rFonts w:ascii="宋体" w:eastAsia="宋体" w:hAnsi="宋体" w:hint="eastAsia"/>
          <w:b/>
          <w:sz w:val="28"/>
          <w:szCs w:val="28"/>
        </w:rPr>
        <w:t>原材料价格下行，短期是否对公司有业绩贡献，对铬矿价格后续怎么看？</w:t>
      </w:r>
    </w:p>
    <w:p w14:paraId="01A6482C"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去年在铬铁矿价格上涨幅度比较高，且其他主要原材料价格都在下跌的情况下，铬铁矿占公司产品总成本的比例也就是三成左右。公司成本优势主要体现在对加工成本的不断优化。总体来说，铬铁矿需求端的支撑比较牢固，不锈钢行业需求整体比较旺盛，当然也会有间歇期，在行业相对低迷的时候会对铬铁矿价格有传导效应。一般来说我们铬铁矿的采购价反应到生产成本上有三个月左右的滞后性，当前铬铁矿价格有所下降，但对生产端的影响也要到四季度才能体现。</w:t>
      </w:r>
    </w:p>
    <w:p w14:paraId="1AD4AD2C"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3，高端涂料提倡无铬化，未来发展怎样？</w:t>
      </w:r>
    </w:p>
    <w:p w14:paraId="3A0FAAF7"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从国内的行业要求看，与身体直接接触的领域需要逐步减少对铬化学品的依赖。但这方面的需求收缩对于铬盐源头厂商构成的影响总体是有限的，铬盐的应用范围非常广泛，整体来看，在细分行业的此消彼长中，近年来总体需求有明显的上涨趋势。硅钢涂料主要是用在工业品，具体来说是电机产品上，近年来增幅较大。</w:t>
      </w:r>
    </w:p>
    <w:p w14:paraId="4725F6B8"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4，金属铬未来的精细化延伸是怎么考虑的？</w:t>
      </w:r>
    </w:p>
    <w:p w14:paraId="597C049F"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公司今年首先立足于普通型号产品的产能释放，尽可能达到满产，后续会进一步完善产品附加值，开发精细化应用领域。</w:t>
      </w:r>
    </w:p>
    <w:p w14:paraId="30CDE8B9"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5，维生素K3的情况？</w:t>
      </w:r>
    </w:p>
    <w:p w14:paraId="675CDD2E"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不同于铬盐产品，维生素K3确实有很强的周期性。维生素K3全球用量大约在7000-8000吨之间，总体保持稳定，我司和兄弟科技加</w:t>
      </w:r>
      <w:r w:rsidRPr="00AA78A5">
        <w:rPr>
          <w:rFonts w:ascii="宋体" w:eastAsia="宋体" w:hAnsi="宋体" w:hint="eastAsia"/>
          <w:sz w:val="28"/>
          <w:szCs w:val="28"/>
        </w:rPr>
        <w:lastRenderedPageBreak/>
        <w:t>起来占有全球75%以上产能，价格对供给端的边际变化比较敏感。近期受巴斯夫生产装置不可抗力影响带来的市场情绪扰动，三季度维生素K3走势比较强，远期走势尚不能确定。</w:t>
      </w:r>
    </w:p>
    <w:p w14:paraId="7CE380A5"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6，金属铬现在满产了吗？</w:t>
      </w:r>
    </w:p>
    <w:p w14:paraId="1909A11E"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金属铬和铬钢玉两个产品，上半年加总差不多是8200吨，6月基本达到满产状态，下半年以充分达产为目标。</w:t>
      </w:r>
    </w:p>
    <w:p w14:paraId="181AEFF6"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7，金属铬的毛利会比单纯卖铬绿增幅多少？</w:t>
      </w:r>
    </w:p>
    <w:p w14:paraId="4C248B07"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由于我司的产能释放，在供给端对市场冲击比较大，当前金属铬市场热度较好，有一些厂商会买铬盐去制备金属铬，从这个角度考虑，我们不希望金属铬单品的利润过于显著。由于金属铬充分、有效消纳了氧化铬绿，而当前公司氧化铬绿的毛利率是铬盐产品中相对较高且稳定的，所以公司经营金属铬的获得感主要在铬盐上体现。用铬盐来计算，金属铬的利润贡献是比较客观的。</w:t>
      </w:r>
    </w:p>
    <w:p w14:paraId="1BD61904"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8，金属铬国内厂家有多少，有哪些是有上游铬绿生产能力的。没有铬盐产能的厂商是否有向上延伸的可能。</w:t>
      </w:r>
    </w:p>
    <w:p w14:paraId="4C852EFF"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具有铬盐全序列生产能力的金属铬主流厂商目前国内有四家，其中一家是从铬矿直接做金属铬，一万吨左右的年产能，除此之外，包括我们在内都是铬盐厂产业链的纵向延伸。直接买铬盐做金属铬冶炼的厂商比较多，这些厂商向上游延伸的可能性不大，一方面六价铬的生产有很强的准入门槛，全国自2013年以来原则上就已不再新增布点，再者从投资效益来看铬盐装置从投产到全流程跑通再到市场渠道建设是一个长期投入的过程。</w:t>
      </w:r>
    </w:p>
    <w:p w14:paraId="51BCA971"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lastRenderedPageBreak/>
        <w:t>9，公司在铬盐上的市占率已经很高了，金属铬三五年来看，市场能有多大规模，我们有多少市占率。</w:t>
      </w:r>
    </w:p>
    <w:p w14:paraId="3FFC1D61"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金属铬产品我们从今年一季度开始才和下游主流厂商直接建立商务关系，对行业的理解需要一个过程，根据我们初步了解的情况，对于金属铬及其衍生品未来两到三年的增长曲线我们是比较有信心的，国内装置升级和工况改造使金属铬的需求增长具有持续性。全球来看，金属铬的需求受海外供给格局、地缘政治冲突、贸易争端等多方面因素的影响，整体来说既有需求端的提振，也有供应端的弹性，预计供需均不会出现长期缺口，归根结底还是要看谁能抓住行业机遇成为有效产能，多年来在铬盐领域积累的竞争优势使我们对此持相对乐观的态度。</w:t>
      </w:r>
    </w:p>
    <w:p w14:paraId="5C3CAD95"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10，金属铬会扩产吗？</w:t>
      </w:r>
    </w:p>
    <w:p w14:paraId="3CD7452F"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设计产能还是有弹性预留的。</w:t>
      </w:r>
    </w:p>
    <w:p w14:paraId="67E29B78"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11，请问美国对金属铬征收额外关税，对公司产品需求的有多大？</w:t>
      </w:r>
    </w:p>
    <w:p w14:paraId="7109926F" w14:textId="77777777" w:rsidR="00834267" w:rsidRPr="00AA78A5" w:rsidRDefault="00300FD9" w:rsidP="00176FFB">
      <w:pPr>
        <w:ind w:firstLineChars="200" w:firstLine="560"/>
        <w:rPr>
          <w:rFonts w:ascii="宋体" w:eastAsia="宋体" w:hAnsi="宋体"/>
          <w:sz w:val="28"/>
          <w:szCs w:val="28"/>
        </w:rPr>
      </w:pPr>
      <w:r w:rsidRPr="00AA78A5">
        <w:rPr>
          <w:rFonts w:ascii="宋体" w:eastAsia="宋体" w:hAnsi="宋体" w:hint="eastAsia"/>
          <w:sz w:val="28"/>
          <w:szCs w:val="28"/>
        </w:rPr>
        <w:t>截至本月初，美国贸易代表办公室尚未对新关税的征收安排发布最终裁定。公司直接外销到美国的金属铬占比很小，主要是氧化铬绿的出口。我们判断美国的关贸政策不至于覆盖到铬化学品，对公司自身业务的影响不大，对行业整体的影响还要看后续进展。</w:t>
      </w:r>
    </w:p>
    <w:p w14:paraId="50CD9AE7" w14:textId="77777777" w:rsidR="00834267" w:rsidRPr="00AA78A5" w:rsidRDefault="00300FD9" w:rsidP="00176FFB">
      <w:pPr>
        <w:ind w:firstLineChars="200" w:firstLine="562"/>
        <w:rPr>
          <w:rFonts w:ascii="宋体" w:eastAsia="宋体" w:hAnsi="宋体"/>
          <w:b/>
          <w:sz w:val="28"/>
          <w:szCs w:val="28"/>
        </w:rPr>
      </w:pPr>
      <w:r w:rsidRPr="00AA78A5">
        <w:rPr>
          <w:rFonts w:ascii="宋体" w:eastAsia="宋体" w:hAnsi="宋体" w:hint="eastAsia"/>
          <w:b/>
          <w:sz w:val="28"/>
          <w:szCs w:val="28"/>
        </w:rPr>
        <w:t>12，全面业绩和明年的增长如何展望？</w:t>
      </w:r>
    </w:p>
    <w:p w14:paraId="6B5F0428" w14:textId="31E14D03" w:rsidR="00373704" w:rsidRPr="00373704" w:rsidRDefault="00300FD9" w:rsidP="00373704">
      <w:pPr>
        <w:ind w:firstLineChars="200" w:firstLine="560"/>
        <w:rPr>
          <w:rFonts w:ascii="宋体" w:eastAsia="宋体" w:hAnsi="宋体"/>
          <w:sz w:val="28"/>
          <w:szCs w:val="28"/>
        </w:rPr>
      </w:pPr>
      <w:r w:rsidRPr="00AA78A5">
        <w:rPr>
          <w:rFonts w:ascii="宋体" w:eastAsia="宋体" w:hAnsi="宋体" w:hint="eastAsia"/>
          <w:sz w:val="28"/>
          <w:szCs w:val="28"/>
        </w:rPr>
        <w:t>铬化学品全球需求的扩容是比较确定的，我们作为源头厂商，具备极强的柔性生产调配能力，在经营成果上预计能够保持增长态势。</w:t>
      </w:r>
    </w:p>
    <w:p w14:paraId="302934DE" w14:textId="32B52BD3" w:rsidR="006045EF" w:rsidRPr="00AA78A5" w:rsidRDefault="006045EF" w:rsidP="006045EF">
      <w:pPr>
        <w:spacing w:line="360" w:lineRule="auto"/>
        <w:ind w:firstLineChars="200" w:firstLine="562"/>
        <w:jc w:val="left"/>
        <w:rPr>
          <w:rFonts w:ascii="宋体" w:eastAsia="宋体" w:hAnsi="宋体"/>
          <w:b/>
          <w:sz w:val="28"/>
          <w:szCs w:val="28"/>
        </w:rPr>
      </w:pPr>
      <w:r w:rsidRPr="00AA78A5">
        <w:rPr>
          <w:rFonts w:ascii="宋体" w:eastAsia="宋体" w:hAnsi="宋体" w:hint="eastAsia"/>
          <w:b/>
          <w:sz w:val="28"/>
          <w:szCs w:val="28"/>
        </w:rPr>
        <w:lastRenderedPageBreak/>
        <w:t>附：参会机构清单（排名不分先后）</w:t>
      </w:r>
    </w:p>
    <w:p w14:paraId="3193F551" w14:textId="77777777" w:rsidR="006045EF" w:rsidRPr="00AA78A5" w:rsidRDefault="006045EF" w:rsidP="006045EF">
      <w:pPr>
        <w:ind w:right="560" w:firstLineChars="200" w:firstLine="560"/>
        <w:rPr>
          <w:rFonts w:ascii="宋体" w:eastAsia="宋体" w:hAnsi="宋体"/>
          <w:sz w:val="28"/>
          <w:szCs w:val="28"/>
        </w:rPr>
      </w:pPr>
    </w:p>
    <w:p w14:paraId="1669D978" w14:textId="432D07E0"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中信证券股份有限公司</w:t>
      </w:r>
    </w:p>
    <w:p w14:paraId="75C8936D"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嘉实基金管理有限公司</w:t>
      </w:r>
    </w:p>
    <w:p w14:paraId="2ACCBDB3"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华泰证券股份有限公司</w:t>
      </w:r>
    </w:p>
    <w:p w14:paraId="0B9654AC"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中泰证券股份有限公司</w:t>
      </w:r>
    </w:p>
    <w:p w14:paraId="213AF964"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华福证券有限责任公司</w:t>
      </w:r>
    </w:p>
    <w:p w14:paraId="6E7E3FED"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华富基金管理有限公司</w:t>
      </w:r>
    </w:p>
    <w:p w14:paraId="7C6755B0"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格林基金管理有限公司</w:t>
      </w:r>
    </w:p>
    <w:p w14:paraId="234F450A"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红土创新基金管理有限公司</w:t>
      </w:r>
    </w:p>
    <w:p w14:paraId="33184D1A"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长江证券股份有限公司</w:t>
      </w:r>
    </w:p>
    <w:p w14:paraId="4652A853"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上海睿郡资产管理有限公司</w:t>
      </w:r>
    </w:p>
    <w:p w14:paraId="6C1055BC"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五矿证券有限公司</w:t>
      </w:r>
    </w:p>
    <w:p w14:paraId="49B6087B"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广发证券股份有限公司</w:t>
      </w:r>
    </w:p>
    <w:p w14:paraId="677021D6"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华鑫证券有限责任公司</w:t>
      </w:r>
    </w:p>
    <w:p w14:paraId="53CEEFB3"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长城证券股份有限公司</w:t>
      </w:r>
    </w:p>
    <w:p w14:paraId="44CE8184"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民生证券股份有限公司</w:t>
      </w:r>
    </w:p>
    <w:p w14:paraId="414B767A"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西藏东财基金管理有限公司</w:t>
      </w:r>
    </w:p>
    <w:p w14:paraId="070CF1C7"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上海麟洲私募基金管理有限公司</w:t>
      </w:r>
    </w:p>
    <w:p w14:paraId="16A40F66"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深圳前海波本基金有限公司</w:t>
      </w:r>
    </w:p>
    <w:p w14:paraId="2EEF870F"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国元证券股份有限公司</w:t>
      </w:r>
    </w:p>
    <w:p w14:paraId="361D1D78"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珠海市横琴新区山海证券投资基金管理有限公司</w:t>
      </w:r>
    </w:p>
    <w:p w14:paraId="16006854"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lastRenderedPageBreak/>
        <w:t>国海证券股份有限公司</w:t>
      </w:r>
    </w:p>
    <w:p w14:paraId="28AF08ED"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华源证券股份有限公司</w:t>
      </w:r>
    </w:p>
    <w:p w14:paraId="5DF63E98"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淳厚基金管理有限公司</w:t>
      </w:r>
    </w:p>
    <w:p w14:paraId="4ACC2688"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招商证券股份有限公司</w:t>
      </w:r>
    </w:p>
    <w:p w14:paraId="14EF1D07"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中国光大银行股份有限公司</w:t>
      </w:r>
    </w:p>
    <w:p w14:paraId="3439656B"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杭州本坚私募基金管理有限公司</w:t>
      </w:r>
    </w:p>
    <w:p w14:paraId="18F4857A"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北京高信百诺投资管理有限公司</w:t>
      </w:r>
    </w:p>
    <w:p w14:paraId="77B1575C"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富国基金管理有限公司</w:t>
      </w:r>
    </w:p>
    <w:p w14:paraId="69714D8B"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浙商证券股份有限公司</w:t>
      </w:r>
    </w:p>
    <w:p w14:paraId="3AB8C7B4"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国元证券股份有限公司</w:t>
      </w:r>
    </w:p>
    <w:p w14:paraId="5DD2280B" w14:textId="77777777"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上海证券有限责任公司</w:t>
      </w:r>
    </w:p>
    <w:p w14:paraId="32CCE7D8" w14:textId="62571E29" w:rsidR="006045EF" w:rsidRPr="00AA78A5" w:rsidRDefault="006045EF" w:rsidP="006045EF">
      <w:pPr>
        <w:ind w:right="560" w:firstLineChars="200" w:firstLine="560"/>
        <w:rPr>
          <w:rFonts w:ascii="宋体" w:eastAsia="宋体" w:hAnsi="宋体"/>
          <w:sz w:val="28"/>
          <w:szCs w:val="28"/>
        </w:rPr>
      </w:pPr>
      <w:r w:rsidRPr="00AA78A5">
        <w:rPr>
          <w:rFonts w:ascii="宋体" w:eastAsia="宋体" w:hAnsi="宋体" w:hint="eastAsia"/>
          <w:sz w:val="28"/>
          <w:szCs w:val="28"/>
        </w:rPr>
        <w:t>中信建投证券股份有限公司</w:t>
      </w:r>
    </w:p>
    <w:sectPr w:rsidR="006045EF" w:rsidRPr="00AA78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61AB0" w14:textId="77777777" w:rsidR="00480AA6" w:rsidRDefault="00480AA6" w:rsidP="00E6483B">
      <w:r>
        <w:separator/>
      </w:r>
    </w:p>
  </w:endnote>
  <w:endnote w:type="continuationSeparator" w:id="0">
    <w:p w14:paraId="6A1F5637" w14:textId="77777777" w:rsidR="00480AA6" w:rsidRDefault="00480AA6" w:rsidP="00E6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68779" w14:textId="77777777" w:rsidR="00480AA6" w:rsidRDefault="00480AA6" w:rsidP="00E6483B">
      <w:r>
        <w:separator/>
      </w:r>
    </w:p>
  </w:footnote>
  <w:footnote w:type="continuationSeparator" w:id="0">
    <w:p w14:paraId="4B18123E" w14:textId="77777777" w:rsidR="00480AA6" w:rsidRDefault="00480AA6" w:rsidP="00E648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4741A"/>
    <w:multiLevelType w:val="singleLevel"/>
    <w:tmpl w:val="2104741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GU3NmVmYzMyOGI4ZTliODczMTI0NmEzNmY0MTYifQ=="/>
  </w:docVars>
  <w:rsids>
    <w:rsidRoot w:val="00834267"/>
    <w:rsid w:val="00176FFB"/>
    <w:rsid w:val="00300FD9"/>
    <w:rsid w:val="00373704"/>
    <w:rsid w:val="00427FD4"/>
    <w:rsid w:val="00480AA6"/>
    <w:rsid w:val="004D103B"/>
    <w:rsid w:val="006045EF"/>
    <w:rsid w:val="00834267"/>
    <w:rsid w:val="00AA78A5"/>
    <w:rsid w:val="00E6483B"/>
    <w:rsid w:val="01280985"/>
    <w:rsid w:val="0131223E"/>
    <w:rsid w:val="0197127A"/>
    <w:rsid w:val="01DE2B98"/>
    <w:rsid w:val="01E2401D"/>
    <w:rsid w:val="02E640D3"/>
    <w:rsid w:val="032F67A4"/>
    <w:rsid w:val="03BD4CCE"/>
    <w:rsid w:val="03BE636F"/>
    <w:rsid w:val="040850AA"/>
    <w:rsid w:val="04FA4807"/>
    <w:rsid w:val="0548539F"/>
    <w:rsid w:val="05F238CF"/>
    <w:rsid w:val="06EA58F0"/>
    <w:rsid w:val="07E83530"/>
    <w:rsid w:val="089710AE"/>
    <w:rsid w:val="08CB1A46"/>
    <w:rsid w:val="09BC7165"/>
    <w:rsid w:val="0A781878"/>
    <w:rsid w:val="0B3F4609"/>
    <w:rsid w:val="0B8E29E5"/>
    <w:rsid w:val="0BC52876"/>
    <w:rsid w:val="0C1F3C94"/>
    <w:rsid w:val="0CCD747B"/>
    <w:rsid w:val="0CFB2AEE"/>
    <w:rsid w:val="0CFD70C5"/>
    <w:rsid w:val="0D466031"/>
    <w:rsid w:val="0E0A025B"/>
    <w:rsid w:val="0EDA27AD"/>
    <w:rsid w:val="0EE97578"/>
    <w:rsid w:val="0F1D10FE"/>
    <w:rsid w:val="0F2F74A9"/>
    <w:rsid w:val="0F495435"/>
    <w:rsid w:val="1019426D"/>
    <w:rsid w:val="109B0AB2"/>
    <w:rsid w:val="10A17896"/>
    <w:rsid w:val="10FD58BF"/>
    <w:rsid w:val="11B61890"/>
    <w:rsid w:val="12B81D01"/>
    <w:rsid w:val="132F6C02"/>
    <w:rsid w:val="13FD03DC"/>
    <w:rsid w:val="1451767D"/>
    <w:rsid w:val="15532AAC"/>
    <w:rsid w:val="16247724"/>
    <w:rsid w:val="171A3FAC"/>
    <w:rsid w:val="1761460E"/>
    <w:rsid w:val="189035D7"/>
    <w:rsid w:val="18A44C13"/>
    <w:rsid w:val="19811061"/>
    <w:rsid w:val="19EE1A61"/>
    <w:rsid w:val="1A353BBA"/>
    <w:rsid w:val="1AA634D8"/>
    <w:rsid w:val="1BE1296B"/>
    <w:rsid w:val="1C296AD5"/>
    <w:rsid w:val="1C324A63"/>
    <w:rsid w:val="1D9C082C"/>
    <w:rsid w:val="1E26634A"/>
    <w:rsid w:val="1E6377CA"/>
    <w:rsid w:val="1E795491"/>
    <w:rsid w:val="1F20299E"/>
    <w:rsid w:val="1F6A6BD3"/>
    <w:rsid w:val="201028E7"/>
    <w:rsid w:val="207A754C"/>
    <w:rsid w:val="208251E1"/>
    <w:rsid w:val="21B20A68"/>
    <w:rsid w:val="21F50A70"/>
    <w:rsid w:val="222D791B"/>
    <w:rsid w:val="22481908"/>
    <w:rsid w:val="23061C04"/>
    <w:rsid w:val="238B07E0"/>
    <w:rsid w:val="2392570C"/>
    <w:rsid w:val="239646E1"/>
    <w:rsid w:val="23A041DE"/>
    <w:rsid w:val="247B6DE4"/>
    <w:rsid w:val="25C5028D"/>
    <w:rsid w:val="25ED78F7"/>
    <w:rsid w:val="2608130B"/>
    <w:rsid w:val="26AF0B03"/>
    <w:rsid w:val="278051DC"/>
    <w:rsid w:val="28D9119F"/>
    <w:rsid w:val="2B1E752D"/>
    <w:rsid w:val="2C256CFC"/>
    <w:rsid w:val="2E436ECB"/>
    <w:rsid w:val="2FEA64F3"/>
    <w:rsid w:val="30B30B82"/>
    <w:rsid w:val="312F7784"/>
    <w:rsid w:val="315E78A6"/>
    <w:rsid w:val="321118B3"/>
    <w:rsid w:val="325017E1"/>
    <w:rsid w:val="326367BD"/>
    <w:rsid w:val="32E66383"/>
    <w:rsid w:val="330324E7"/>
    <w:rsid w:val="332C17EF"/>
    <w:rsid w:val="333C4550"/>
    <w:rsid w:val="333E5959"/>
    <w:rsid w:val="34687F87"/>
    <w:rsid w:val="357B65F2"/>
    <w:rsid w:val="36D10681"/>
    <w:rsid w:val="382B3AAB"/>
    <w:rsid w:val="387977AF"/>
    <w:rsid w:val="39474099"/>
    <w:rsid w:val="3A3C645F"/>
    <w:rsid w:val="3A517C80"/>
    <w:rsid w:val="3A940454"/>
    <w:rsid w:val="3AC86407"/>
    <w:rsid w:val="3AD11030"/>
    <w:rsid w:val="3B654473"/>
    <w:rsid w:val="3B8B3F25"/>
    <w:rsid w:val="3BA26629"/>
    <w:rsid w:val="3C326803"/>
    <w:rsid w:val="3C590F9E"/>
    <w:rsid w:val="3CF63D4A"/>
    <w:rsid w:val="3D145CCF"/>
    <w:rsid w:val="3D2E036C"/>
    <w:rsid w:val="3DF34568"/>
    <w:rsid w:val="3E08203A"/>
    <w:rsid w:val="3E1B1309"/>
    <w:rsid w:val="3E706CD4"/>
    <w:rsid w:val="3E9D04E1"/>
    <w:rsid w:val="3EBF7B14"/>
    <w:rsid w:val="3F3C7738"/>
    <w:rsid w:val="3FB14118"/>
    <w:rsid w:val="409778F2"/>
    <w:rsid w:val="432352B6"/>
    <w:rsid w:val="43C24CB7"/>
    <w:rsid w:val="43D2132B"/>
    <w:rsid w:val="44FA5CEB"/>
    <w:rsid w:val="450364C6"/>
    <w:rsid w:val="452C0A86"/>
    <w:rsid w:val="45337098"/>
    <w:rsid w:val="46EE154C"/>
    <w:rsid w:val="490920E0"/>
    <w:rsid w:val="493C399A"/>
    <w:rsid w:val="49437201"/>
    <w:rsid w:val="49A4567D"/>
    <w:rsid w:val="49BA6031"/>
    <w:rsid w:val="4A0B7C82"/>
    <w:rsid w:val="4A7E19D0"/>
    <w:rsid w:val="4AC35735"/>
    <w:rsid w:val="4B383231"/>
    <w:rsid w:val="4B4739CB"/>
    <w:rsid w:val="4B4948C0"/>
    <w:rsid w:val="4C564076"/>
    <w:rsid w:val="502A1C8E"/>
    <w:rsid w:val="520A53D8"/>
    <w:rsid w:val="52537561"/>
    <w:rsid w:val="53B36F4F"/>
    <w:rsid w:val="55020BD2"/>
    <w:rsid w:val="56464605"/>
    <w:rsid w:val="564C6072"/>
    <w:rsid w:val="56CD7269"/>
    <w:rsid w:val="57781BF5"/>
    <w:rsid w:val="579E0EC9"/>
    <w:rsid w:val="57C03BF5"/>
    <w:rsid w:val="57EF771C"/>
    <w:rsid w:val="58831FCD"/>
    <w:rsid w:val="58D51A9B"/>
    <w:rsid w:val="59C7175B"/>
    <w:rsid w:val="59CA79C0"/>
    <w:rsid w:val="5A1A3DFE"/>
    <w:rsid w:val="5A3B17A6"/>
    <w:rsid w:val="5A436494"/>
    <w:rsid w:val="5ACC2934"/>
    <w:rsid w:val="5B047625"/>
    <w:rsid w:val="5B6A0117"/>
    <w:rsid w:val="5CEF3D63"/>
    <w:rsid w:val="5DA9139A"/>
    <w:rsid w:val="5DB70349"/>
    <w:rsid w:val="5E0604A9"/>
    <w:rsid w:val="5E187283"/>
    <w:rsid w:val="5E3721C0"/>
    <w:rsid w:val="5EB9695A"/>
    <w:rsid w:val="5EE6572A"/>
    <w:rsid w:val="5F5074D8"/>
    <w:rsid w:val="600C2C53"/>
    <w:rsid w:val="60485B90"/>
    <w:rsid w:val="60AC3381"/>
    <w:rsid w:val="60BA1DB4"/>
    <w:rsid w:val="612133CB"/>
    <w:rsid w:val="62AB0710"/>
    <w:rsid w:val="62B01075"/>
    <w:rsid w:val="631A211D"/>
    <w:rsid w:val="63486485"/>
    <w:rsid w:val="6350415C"/>
    <w:rsid w:val="65673B69"/>
    <w:rsid w:val="66B75B30"/>
    <w:rsid w:val="66BA7343"/>
    <w:rsid w:val="66DD104D"/>
    <w:rsid w:val="676C461D"/>
    <w:rsid w:val="682A0707"/>
    <w:rsid w:val="68832A1A"/>
    <w:rsid w:val="68D04A5F"/>
    <w:rsid w:val="69823BF9"/>
    <w:rsid w:val="69DE26DD"/>
    <w:rsid w:val="6A7C6B6D"/>
    <w:rsid w:val="6ADC229B"/>
    <w:rsid w:val="6BF67AC3"/>
    <w:rsid w:val="6C495B4E"/>
    <w:rsid w:val="6EB964DA"/>
    <w:rsid w:val="71483B00"/>
    <w:rsid w:val="715E4A0D"/>
    <w:rsid w:val="71AB7DF7"/>
    <w:rsid w:val="71CC2FCF"/>
    <w:rsid w:val="721D48D4"/>
    <w:rsid w:val="72205D46"/>
    <w:rsid w:val="72951D35"/>
    <w:rsid w:val="736768DB"/>
    <w:rsid w:val="74B031B6"/>
    <w:rsid w:val="74BF6727"/>
    <w:rsid w:val="74CE195C"/>
    <w:rsid w:val="76075BE9"/>
    <w:rsid w:val="7644629F"/>
    <w:rsid w:val="76A521E3"/>
    <w:rsid w:val="77095A86"/>
    <w:rsid w:val="772E4B74"/>
    <w:rsid w:val="78C77117"/>
    <w:rsid w:val="7A4A2693"/>
    <w:rsid w:val="7AF253A7"/>
    <w:rsid w:val="7B661B10"/>
    <w:rsid w:val="7C370E07"/>
    <w:rsid w:val="7C710498"/>
    <w:rsid w:val="7D696E7C"/>
    <w:rsid w:val="7E6B4212"/>
    <w:rsid w:val="7E7A2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B0F55"/>
  <w15:docId w15:val="{6546CFDD-BEC7-4E90-8B55-C526D47D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48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6483B"/>
    <w:rPr>
      <w:kern w:val="2"/>
      <w:sz w:val="18"/>
      <w:szCs w:val="18"/>
    </w:rPr>
  </w:style>
  <w:style w:type="paragraph" w:styleId="a5">
    <w:name w:val="footer"/>
    <w:basedOn w:val="a"/>
    <w:link w:val="a6"/>
    <w:rsid w:val="00E6483B"/>
    <w:pPr>
      <w:tabs>
        <w:tab w:val="center" w:pos="4153"/>
        <w:tab w:val="right" w:pos="8306"/>
      </w:tabs>
      <w:snapToGrid w:val="0"/>
      <w:jc w:val="left"/>
    </w:pPr>
    <w:rPr>
      <w:sz w:val="18"/>
      <w:szCs w:val="18"/>
    </w:rPr>
  </w:style>
  <w:style w:type="character" w:customStyle="1" w:styleId="a6">
    <w:name w:val="页脚 字符"/>
    <w:basedOn w:val="a0"/>
    <w:link w:val="a5"/>
    <w:rsid w:val="00E6483B"/>
    <w:rPr>
      <w:kern w:val="2"/>
      <w:sz w:val="18"/>
      <w:szCs w:val="18"/>
    </w:rPr>
  </w:style>
  <w:style w:type="paragraph" w:styleId="a7">
    <w:name w:val="Date"/>
    <w:basedOn w:val="a"/>
    <w:next w:val="a"/>
    <w:link w:val="a8"/>
    <w:rsid w:val="006045EF"/>
    <w:pPr>
      <w:ind w:leftChars="2500" w:left="100"/>
    </w:pPr>
  </w:style>
  <w:style w:type="character" w:customStyle="1" w:styleId="a8">
    <w:name w:val="日期 字符"/>
    <w:basedOn w:val="a0"/>
    <w:link w:val="a7"/>
    <w:rsid w:val="006045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470</Words>
  <Characters>2681</Characters>
  <Application>Microsoft Office Word</Application>
  <DocSecurity>0</DocSecurity>
  <Lines>22</Lines>
  <Paragraphs>6</Paragraphs>
  <ScaleCrop>false</ScaleCrop>
  <Company>Microsoft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Microsoft</cp:lastModifiedBy>
  <cp:revision>8</cp:revision>
  <dcterms:created xsi:type="dcterms:W3CDTF">2024-04-08T10:07:00Z</dcterms:created>
  <dcterms:modified xsi:type="dcterms:W3CDTF">2024-08-15T08:46:00Z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B48674027CF94E9DB810879D685A9195_12</vt:lpwstr>
  </property>
</Properties>
</file>