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277" w:rsidRDefault="00DA433D" w:rsidP="00E557B1">
      <w:pPr>
        <w:spacing w:beforeLines="50" w:afterLines="50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600717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天津港</w:t>
      </w:r>
    </w:p>
    <w:p w:rsidR="00C17277" w:rsidRDefault="00DA433D" w:rsidP="00E557B1">
      <w:pPr>
        <w:spacing w:beforeLines="50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天津港股份有限公司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:rsidR="00C17277" w:rsidRDefault="00DA433D">
      <w:pPr>
        <w:spacing w:line="400" w:lineRule="exact"/>
        <w:rPr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8"/>
        <w:gridCol w:w="6847"/>
      </w:tblGrid>
      <w:tr w:rsidR="00C172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77" w:rsidRDefault="00DA433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:rsidR="00C17277" w:rsidRDefault="00C17277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77" w:rsidRDefault="00870637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MS Mincho" w:eastAsia="MS Mincho" w:hAnsi="MS Mincho" w:cs="MS Mincho" w:hint="eastAsia"/>
                <w:bCs/>
                <w:iCs/>
                <w:color w:val="000000"/>
                <w:kern w:val="0"/>
                <w:sz w:val="24"/>
              </w:rPr>
              <w:t>☑</w:t>
            </w:r>
            <w:r w:rsidR="00DA433D">
              <w:rPr>
                <w:rFonts w:hAnsi="宋体"/>
                <w:kern w:val="0"/>
                <w:sz w:val="24"/>
              </w:rPr>
              <w:t>特定对象调研</w:t>
            </w:r>
            <w:r w:rsidR="00DA433D">
              <w:rPr>
                <w:kern w:val="0"/>
                <w:sz w:val="24"/>
              </w:rPr>
              <w:t xml:space="preserve">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="00DA433D"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 w:rsidR="00DA433D"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="00DA433D">
              <w:rPr>
                <w:rFonts w:hAnsi="宋体"/>
                <w:kern w:val="0"/>
                <w:sz w:val="24"/>
              </w:rPr>
              <w:t>分析师会议</w:t>
            </w:r>
          </w:p>
          <w:p w:rsidR="00C17277" w:rsidRDefault="00DA433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:rsidR="00C17277" w:rsidRDefault="00DA433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 w:rsidR="006B7CE7">
              <w:rPr>
                <w:bCs/>
                <w:iCs/>
                <w:color w:val="000000"/>
                <w:kern w:val="0"/>
                <w:sz w:val="24"/>
              </w:rPr>
              <w:t>□</w:t>
            </w:r>
            <w:r w:rsidR="004E1BB3"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:rsidR="00C17277" w:rsidRDefault="00DA433D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:rsidR="00C17277" w:rsidRDefault="00DA433D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proofErr w:type="gramStart"/>
            <w:r>
              <w:rPr>
                <w:rFonts w:hAnsi="宋体"/>
                <w:kern w:val="0"/>
                <w:sz w:val="24"/>
                <w:u w:val="single"/>
              </w:rPr>
              <w:t>请文字</w:t>
            </w:r>
            <w:proofErr w:type="gramEnd"/>
            <w:r>
              <w:rPr>
                <w:rFonts w:hAnsi="宋体"/>
                <w:kern w:val="0"/>
                <w:sz w:val="24"/>
                <w:u w:val="single"/>
              </w:rPr>
              <w:t>说明其他活动内容）</w:t>
            </w:r>
          </w:p>
        </w:tc>
      </w:tr>
      <w:tr w:rsidR="00C172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77" w:rsidRDefault="00DA433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7C" w:rsidRPr="00A8172A" w:rsidRDefault="008F427C" w:rsidP="00A8172A">
            <w:pPr>
              <w:spacing w:line="460" w:lineRule="exact"/>
              <w:rPr>
                <w:rFonts w:asciiTheme="minorEastAsia" w:eastAsiaTheme="minorEastAsia" w:hAnsiTheme="minorEastAsia"/>
                <w:sz w:val="24"/>
              </w:rPr>
            </w:pPr>
            <w:r w:rsidRPr="00A8172A">
              <w:rPr>
                <w:rFonts w:asciiTheme="minorEastAsia" w:eastAsiaTheme="minorEastAsia" w:hAnsiTheme="minorEastAsia"/>
                <w:sz w:val="24"/>
              </w:rPr>
              <w:t>202</w:t>
            </w:r>
            <w:r w:rsidRPr="00A8172A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 w:rsidRPr="00A8172A">
              <w:rPr>
                <w:rFonts w:asciiTheme="minorEastAsia" w:eastAsiaTheme="minorEastAsia" w:hAnsiTheme="minorEastAsia"/>
                <w:sz w:val="24"/>
              </w:rPr>
              <w:t>年</w:t>
            </w:r>
            <w:r w:rsidR="007167C5" w:rsidRPr="00A8172A">
              <w:rPr>
                <w:rFonts w:asciiTheme="minorEastAsia" w:eastAsiaTheme="minorEastAsia" w:hAnsiTheme="minorEastAsia" w:hint="eastAsia"/>
                <w:sz w:val="24"/>
              </w:rPr>
              <w:t>8</w:t>
            </w:r>
            <w:r w:rsidRPr="00A8172A">
              <w:rPr>
                <w:rFonts w:asciiTheme="minorEastAsia" w:eastAsiaTheme="minorEastAsia" w:hAnsiTheme="minorEastAsia"/>
                <w:sz w:val="24"/>
              </w:rPr>
              <w:t>月</w:t>
            </w:r>
            <w:r w:rsidR="007167C5" w:rsidRPr="00A8172A">
              <w:rPr>
                <w:rFonts w:asciiTheme="minorEastAsia" w:eastAsiaTheme="minorEastAsia" w:hAnsiTheme="minorEastAsia" w:hint="eastAsia"/>
                <w:sz w:val="24"/>
              </w:rPr>
              <w:t>13</w:t>
            </w:r>
            <w:r w:rsidRPr="00A8172A">
              <w:rPr>
                <w:rFonts w:asciiTheme="minorEastAsia" w:eastAsiaTheme="minorEastAsia" w:hAnsiTheme="minorEastAsia"/>
                <w:sz w:val="24"/>
              </w:rPr>
              <w:t>日 (周</w:t>
            </w:r>
            <w:r w:rsidR="007167C5" w:rsidRPr="00A8172A">
              <w:rPr>
                <w:rFonts w:asciiTheme="minorEastAsia" w:eastAsiaTheme="minorEastAsia" w:hAnsiTheme="minorEastAsia" w:hint="eastAsia"/>
                <w:sz w:val="24"/>
              </w:rPr>
              <w:t>二</w:t>
            </w:r>
            <w:r w:rsidRPr="00A8172A">
              <w:rPr>
                <w:rFonts w:asciiTheme="minorEastAsia" w:eastAsiaTheme="minorEastAsia" w:hAnsiTheme="minorEastAsia"/>
                <w:sz w:val="24"/>
              </w:rPr>
              <w:t>) 1</w:t>
            </w:r>
            <w:r w:rsidRPr="00A8172A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Pr="00A8172A">
              <w:rPr>
                <w:rFonts w:asciiTheme="minorEastAsia" w:eastAsiaTheme="minorEastAsia" w:hAnsiTheme="minorEastAsia"/>
                <w:sz w:val="24"/>
              </w:rPr>
              <w:t>:</w:t>
            </w:r>
            <w:r w:rsidRPr="00A8172A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A8172A">
              <w:rPr>
                <w:rFonts w:asciiTheme="minorEastAsia" w:eastAsiaTheme="minorEastAsia" w:hAnsiTheme="minorEastAsia"/>
                <w:sz w:val="24"/>
              </w:rPr>
              <w:t>0</w:t>
            </w:r>
            <w:r w:rsidR="00126315">
              <w:rPr>
                <w:rFonts w:asciiTheme="minorEastAsia" w:eastAsiaTheme="minorEastAsia" w:hAnsiTheme="minorEastAsia" w:hint="eastAsia"/>
                <w:sz w:val="24"/>
              </w:rPr>
              <w:t>-</w:t>
            </w:r>
            <w:r w:rsidRPr="00A8172A">
              <w:rPr>
                <w:rFonts w:asciiTheme="minorEastAsia" w:eastAsiaTheme="minorEastAsia" w:hAnsiTheme="minorEastAsia"/>
                <w:sz w:val="24"/>
              </w:rPr>
              <w:t>1</w:t>
            </w:r>
            <w:r w:rsidRPr="00A8172A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 w:rsidRPr="00A8172A">
              <w:rPr>
                <w:rFonts w:asciiTheme="minorEastAsia" w:eastAsiaTheme="minorEastAsia" w:hAnsiTheme="minorEastAsia"/>
                <w:sz w:val="24"/>
              </w:rPr>
              <w:t>:</w:t>
            </w:r>
            <w:r w:rsidRPr="00A8172A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A8172A">
              <w:rPr>
                <w:rFonts w:asciiTheme="minorEastAsia" w:eastAsiaTheme="minorEastAsia" w:hAnsiTheme="minorEastAsia"/>
                <w:sz w:val="24"/>
              </w:rPr>
              <w:t>0</w:t>
            </w:r>
          </w:p>
          <w:p w:rsidR="00B228F1" w:rsidRDefault="007167C5" w:rsidP="00126315">
            <w:pPr>
              <w:spacing w:line="460" w:lineRule="exact"/>
              <w:rPr>
                <w:rFonts w:asciiTheme="minorEastAsia" w:eastAsiaTheme="minorEastAsia" w:hAnsiTheme="minorEastAsia"/>
                <w:sz w:val="24"/>
              </w:rPr>
            </w:pPr>
            <w:r w:rsidRPr="00A8172A">
              <w:rPr>
                <w:rFonts w:asciiTheme="minorEastAsia" w:eastAsiaTheme="minorEastAsia" w:hAnsiTheme="minorEastAsia" w:hint="eastAsia"/>
                <w:sz w:val="24"/>
              </w:rPr>
              <w:t>长江证券张宜泊、景顺长城孙静曦、长城财富保险</w:t>
            </w:r>
            <w:proofErr w:type="gramStart"/>
            <w:r w:rsidRPr="00A8172A">
              <w:rPr>
                <w:rFonts w:asciiTheme="minorEastAsia" w:eastAsiaTheme="minorEastAsia" w:hAnsiTheme="minorEastAsia" w:hint="eastAsia"/>
                <w:sz w:val="24"/>
              </w:rPr>
              <w:t>资管药晓</w:t>
            </w:r>
            <w:proofErr w:type="gramEnd"/>
            <w:r w:rsidRPr="00A8172A">
              <w:rPr>
                <w:rFonts w:asciiTheme="minorEastAsia" w:eastAsiaTheme="minorEastAsia" w:hAnsiTheme="minorEastAsia" w:hint="eastAsia"/>
                <w:sz w:val="24"/>
              </w:rPr>
              <w:t>东、中</w:t>
            </w:r>
            <w:proofErr w:type="gramStart"/>
            <w:r w:rsidRPr="00A8172A">
              <w:rPr>
                <w:rFonts w:asciiTheme="minorEastAsia" w:eastAsiaTheme="minorEastAsia" w:hAnsiTheme="minorEastAsia" w:hint="eastAsia"/>
                <w:sz w:val="24"/>
              </w:rPr>
              <w:t>金资管曹野</w:t>
            </w:r>
            <w:proofErr w:type="gramEnd"/>
            <w:r w:rsidRPr="00A8172A">
              <w:rPr>
                <w:rFonts w:asciiTheme="minorEastAsia" w:eastAsiaTheme="minorEastAsia" w:hAnsiTheme="minorEastAsia" w:hint="eastAsia"/>
                <w:sz w:val="24"/>
              </w:rPr>
              <w:t>、中</w:t>
            </w:r>
            <w:proofErr w:type="gramStart"/>
            <w:r w:rsidRPr="00A8172A">
              <w:rPr>
                <w:rFonts w:asciiTheme="minorEastAsia" w:eastAsiaTheme="minorEastAsia" w:hAnsiTheme="minorEastAsia" w:hint="eastAsia"/>
                <w:sz w:val="24"/>
              </w:rPr>
              <w:t>邮基金王</w:t>
            </w:r>
            <w:proofErr w:type="gramEnd"/>
            <w:r w:rsidRPr="00A8172A">
              <w:rPr>
                <w:rFonts w:asciiTheme="minorEastAsia" w:eastAsiaTheme="minorEastAsia" w:hAnsiTheme="minorEastAsia" w:hint="eastAsia"/>
                <w:sz w:val="24"/>
              </w:rPr>
              <w:t>梦雪</w:t>
            </w:r>
          </w:p>
          <w:p w:rsidR="0052077F" w:rsidRDefault="0052077F" w:rsidP="00126315">
            <w:pPr>
              <w:spacing w:line="46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202</w:t>
            </w:r>
            <w:r w:rsidRPr="00A8172A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 w:rsidRPr="00A8172A">
              <w:rPr>
                <w:rFonts w:asciiTheme="minorEastAsia" w:eastAsiaTheme="minorEastAsia" w:hAnsiTheme="minorEastAsia"/>
                <w:sz w:val="24"/>
              </w:rPr>
              <w:t>年</w:t>
            </w:r>
            <w:r w:rsidRPr="00A8172A">
              <w:rPr>
                <w:rFonts w:asciiTheme="minorEastAsia" w:eastAsiaTheme="minorEastAsia" w:hAnsiTheme="minorEastAsia" w:hint="eastAsia"/>
                <w:sz w:val="24"/>
              </w:rPr>
              <w:t>8</w:t>
            </w:r>
            <w:r w:rsidRPr="00A8172A">
              <w:rPr>
                <w:rFonts w:asciiTheme="minorEastAsia" w:eastAsiaTheme="minorEastAsia" w:hAnsiTheme="minorEastAsia"/>
                <w:sz w:val="24"/>
              </w:rPr>
              <w:t>月</w:t>
            </w:r>
            <w:r w:rsidRPr="00A8172A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 w:rsidRPr="00A8172A">
              <w:rPr>
                <w:rFonts w:asciiTheme="minorEastAsia" w:eastAsiaTheme="minorEastAsia" w:hAnsiTheme="minorEastAsia"/>
                <w:sz w:val="24"/>
              </w:rPr>
              <w:t>日 (周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五</w:t>
            </w:r>
            <w:r w:rsidRPr="00A8172A">
              <w:rPr>
                <w:rFonts w:asciiTheme="minorEastAsia" w:eastAsiaTheme="minorEastAsia" w:hAnsiTheme="minorEastAsia"/>
                <w:sz w:val="24"/>
              </w:rPr>
              <w:t>) 1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A8172A">
              <w:rPr>
                <w:rFonts w:asciiTheme="minorEastAsia" w:eastAsiaTheme="minorEastAsia" w:hAnsiTheme="minorEastAsia"/>
                <w:sz w:val="24"/>
              </w:rPr>
              <w:t>:</w:t>
            </w:r>
            <w:r w:rsidRPr="00A8172A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A8172A">
              <w:rPr>
                <w:rFonts w:asciiTheme="minorEastAsia" w:eastAsiaTheme="minorEastAsia" w:hAnsiTheme="minorEastAsia"/>
                <w:sz w:val="24"/>
              </w:rPr>
              <w:t>0</w:t>
            </w:r>
            <w:r w:rsidR="00126315">
              <w:rPr>
                <w:rFonts w:asciiTheme="minorEastAsia" w:eastAsiaTheme="minorEastAsia" w:hAnsiTheme="minorEastAsia" w:hint="eastAsia"/>
                <w:sz w:val="24"/>
              </w:rPr>
              <w:t>-</w:t>
            </w:r>
            <w:r w:rsidRPr="00A8172A">
              <w:rPr>
                <w:rFonts w:asciiTheme="minorEastAsia" w:eastAsiaTheme="minorEastAsia" w:hAnsiTheme="minorEastAsia"/>
                <w:sz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Pr="00A8172A">
              <w:rPr>
                <w:rFonts w:asciiTheme="minorEastAsia" w:eastAsiaTheme="minorEastAsia" w:hAnsiTheme="minorEastAsia"/>
                <w:sz w:val="24"/>
              </w:rPr>
              <w:t>:</w:t>
            </w:r>
            <w:r w:rsidRPr="00A8172A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A8172A">
              <w:rPr>
                <w:rFonts w:asciiTheme="minorEastAsia" w:eastAsiaTheme="minorEastAsia" w:hAnsiTheme="minorEastAsia"/>
                <w:sz w:val="24"/>
              </w:rPr>
              <w:t>0</w:t>
            </w:r>
          </w:p>
          <w:p w:rsidR="0052077F" w:rsidRPr="0052077F" w:rsidRDefault="0052077F" w:rsidP="00126315">
            <w:pPr>
              <w:spacing w:line="46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国投证券杨振华、孙行健</w:t>
            </w:r>
          </w:p>
        </w:tc>
      </w:tr>
      <w:tr w:rsidR="00C17277" w:rsidTr="00EB2E28">
        <w:trPr>
          <w:trHeight w:val="56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77" w:rsidRDefault="00DA433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77" w:rsidRDefault="00B350CC" w:rsidP="00E557B1">
            <w:pPr>
              <w:spacing w:beforeLines="50" w:afterLines="50"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公司</w:t>
            </w:r>
          </w:p>
        </w:tc>
      </w:tr>
      <w:tr w:rsidR="00C17277" w:rsidTr="0000695E">
        <w:trPr>
          <w:trHeight w:val="109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77" w:rsidRDefault="00DA433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77" w:rsidRPr="00A8172A" w:rsidRDefault="00DA433D" w:rsidP="00A8172A">
            <w:pPr>
              <w:spacing w:line="460" w:lineRule="exact"/>
              <w:rPr>
                <w:rFonts w:asciiTheme="minorEastAsia" w:eastAsiaTheme="minorEastAsia" w:hAnsiTheme="minorEastAsia"/>
                <w:sz w:val="24"/>
              </w:rPr>
            </w:pPr>
            <w:r w:rsidRPr="00A8172A">
              <w:rPr>
                <w:rFonts w:asciiTheme="minorEastAsia" w:eastAsiaTheme="minorEastAsia" w:hAnsiTheme="minorEastAsia" w:hint="eastAsia"/>
                <w:sz w:val="24"/>
              </w:rPr>
              <w:t>1、董事会秘书：郭小薇</w:t>
            </w:r>
          </w:p>
          <w:p w:rsidR="00C17277" w:rsidRPr="00A8172A" w:rsidRDefault="00DA433D" w:rsidP="00A8172A">
            <w:pPr>
              <w:spacing w:line="460" w:lineRule="exact"/>
              <w:rPr>
                <w:rFonts w:asciiTheme="minorEastAsia" w:eastAsiaTheme="minorEastAsia" w:hAnsiTheme="minorEastAsia"/>
                <w:sz w:val="24"/>
              </w:rPr>
            </w:pPr>
            <w:r w:rsidRPr="00A8172A">
              <w:rPr>
                <w:rFonts w:asciiTheme="minorEastAsia" w:eastAsiaTheme="minorEastAsia" w:hAnsiTheme="minorEastAsia" w:hint="eastAsia"/>
                <w:sz w:val="24"/>
              </w:rPr>
              <w:t>2、</w:t>
            </w:r>
            <w:r w:rsidR="006B7CE7" w:rsidRPr="00A8172A">
              <w:rPr>
                <w:rFonts w:asciiTheme="minorEastAsia" w:eastAsiaTheme="minorEastAsia" w:hAnsiTheme="minorEastAsia" w:hint="eastAsia"/>
                <w:sz w:val="24"/>
              </w:rPr>
              <w:t>资本运作</w:t>
            </w:r>
            <w:r w:rsidRPr="00A8172A">
              <w:rPr>
                <w:rFonts w:asciiTheme="minorEastAsia" w:eastAsiaTheme="minorEastAsia" w:hAnsiTheme="minorEastAsia" w:hint="eastAsia"/>
                <w:sz w:val="24"/>
              </w:rPr>
              <w:t>管理经理：张</w:t>
            </w:r>
            <w:r w:rsidR="006B7CE7" w:rsidRPr="00A8172A">
              <w:rPr>
                <w:rFonts w:asciiTheme="minorEastAsia" w:eastAsiaTheme="minorEastAsia" w:hAnsiTheme="minorEastAsia" w:hint="eastAsia"/>
                <w:sz w:val="24"/>
              </w:rPr>
              <w:t>伟</w:t>
            </w:r>
          </w:p>
        </w:tc>
      </w:tr>
      <w:tr w:rsidR="00C172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77" w:rsidRDefault="00DA433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:rsidR="00C17277" w:rsidRDefault="00C17277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77" w:rsidRDefault="00ED7F01" w:rsidP="00E557B1">
            <w:pPr>
              <w:spacing w:beforeLines="50" w:line="460" w:lineRule="exact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机构</w:t>
            </w:r>
            <w:r w:rsidR="00DA433D"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:rsidR="00623396" w:rsidRPr="00F72042" w:rsidRDefault="00DA433D" w:rsidP="00870637">
            <w:pPr>
              <w:spacing w:line="46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F72042">
              <w:rPr>
                <w:rFonts w:asciiTheme="minorEastAsia" w:eastAsiaTheme="minorEastAsia" w:hAnsiTheme="minorEastAsia"/>
                <w:sz w:val="24"/>
              </w:rPr>
              <w:t>1</w:t>
            </w:r>
            <w:r w:rsidR="00623396" w:rsidRPr="00F72042">
              <w:rPr>
                <w:rFonts w:asciiTheme="minorEastAsia" w:eastAsiaTheme="minorEastAsia" w:hAnsiTheme="minorEastAsia" w:hint="eastAsia"/>
                <w:sz w:val="24"/>
              </w:rPr>
              <w:t>.公司的主要货类情况</w:t>
            </w:r>
          </w:p>
          <w:p w:rsidR="00623396" w:rsidRDefault="00623396" w:rsidP="00036D9D">
            <w:pPr>
              <w:pStyle w:val="Style6"/>
            </w:pPr>
            <w:r w:rsidRPr="00AD61A3">
              <w:rPr>
                <w:rFonts w:hint="eastAsia"/>
              </w:rPr>
              <w:t>天津港的主要货类</w:t>
            </w:r>
            <w:r w:rsidR="00821D8F" w:rsidRPr="00821D8F">
              <w:rPr>
                <w:rFonts w:hint="eastAsia"/>
              </w:rPr>
              <w:t>包括集装箱、干散货、液体散物、滚装汽车、件杂货等货物。干散货主要有金属矿石、煤、焦炭、非金属矿石、粮食、化肥、饲料、铝矾土等等；液体散货主要有原油、成品油、食用油等等；件杂货主要是钢材、大型机器设备等等。</w:t>
            </w:r>
          </w:p>
          <w:p w:rsidR="0066433C" w:rsidRDefault="00623396" w:rsidP="00623396">
            <w:pPr>
              <w:pStyle w:val="Style6"/>
            </w:pPr>
            <w:bookmarkStart w:id="0" w:name="_GoBack"/>
            <w:bookmarkEnd w:id="0"/>
            <w:r>
              <w:rPr>
                <w:rFonts w:hint="eastAsia"/>
              </w:rPr>
              <w:t>2.</w:t>
            </w:r>
            <w:r w:rsidR="0066433C">
              <w:rPr>
                <w:rFonts w:hint="eastAsia"/>
              </w:rPr>
              <w:t>公司码头泊位情况</w:t>
            </w:r>
          </w:p>
          <w:p w:rsidR="0066433C" w:rsidRDefault="0066433C" w:rsidP="0066433C">
            <w:pPr>
              <w:pStyle w:val="Style6"/>
            </w:pPr>
            <w:r w:rsidRPr="0066433C">
              <w:rPr>
                <w:rFonts w:hint="eastAsia"/>
              </w:rPr>
              <w:t>目前公司共有泊位7</w:t>
            </w:r>
            <w:r>
              <w:rPr>
                <w:rFonts w:hint="eastAsia"/>
              </w:rPr>
              <w:t>0余</w:t>
            </w:r>
            <w:r w:rsidRPr="0066433C">
              <w:rPr>
                <w:rFonts w:hint="eastAsia"/>
              </w:rPr>
              <w:t>个，泊位长度21.97千米，其中集装箱泊位2</w:t>
            </w:r>
            <w:r>
              <w:rPr>
                <w:rFonts w:hint="eastAsia"/>
              </w:rPr>
              <w:t>0余</w:t>
            </w:r>
            <w:r w:rsidRPr="0066433C">
              <w:rPr>
                <w:rFonts w:hint="eastAsia"/>
              </w:rPr>
              <w:t>个、散杂货泊位4</w:t>
            </w:r>
            <w:r>
              <w:rPr>
                <w:rFonts w:hint="eastAsia"/>
              </w:rPr>
              <w:t>0余</w:t>
            </w:r>
            <w:r w:rsidRPr="0066433C">
              <w:rPr>
                <w:rFonts w:hint="eastAsia"/>
              </w:rPr>
              <w:t>个。</w:t>
            </w:r>
          </w:p>
          <w:p w:rsidR="00623396" w:rsidRPr="00287F4F" w:rsidRDefault="000E4C6C" w:rsidP="00623396">
            <w:pPr>
              <w:pStyle w:val="Style6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3.</w:t>
            </w:r>
            <w:r w:rsidR="00623396" w:rsidRPr="00287F4F">
              <w:rPr>
                <w:rFonts w:asciiTheme="minorEastAsia" w:eastAsiaTheme="minorEastAsia" w:hAnsiTheme="minorEastAsia" w:hint="eastAsia"/>
              </w:rPr>
              <w:t>公司费率</w:t>
            </w:r>
            <w:r w:rsidR="000A3707">
              <w:rPr>
                <w:rFonts w:asciiTheme="minorEastAsia" w:eastAsiaTheme="minorEastAsia" w:hAnsiTheme="minorEastAsia" w:hint="eastAsia"/>
              </w:rPr>
              <w:t>情况</w:t>
            </w:r>
          </w:p>
          <w:p w:rsidR="00623396" w:rsidRPr="00287F4F" w:rsidRDefault="00623396" w:rsidP="00623396">
            <w:pPr>
              <w:pStyle w:val="Style6"/>
              <w:rPr>
                <w:rFonts w:asciiTheme="minorEastAsia" w:eastAsiaTheme="minorEastAsia" w:hAnsiTheme="minorEastAsia"/>
              </w:rPr>
            </w:pPr>
            <w:r w:rsidRPr="00287F4F">
              <w:rPr>
                <w:rFonts w:asciiTheme="minorEastAsia" w:eastAsiaTheme="minorEastAsia" w:hAnsiTheme="minorEastAsia" w:hint="eastAsia"/>
              </w:rPr>
              <w:t>一是按照交通运输部下发的《港口计费收费办法》，公司实行清单化模式，对收费价格进行公示，确保收费工作依法透明。</w:t>
            </w:r>
          </w:p>
          <w:p w:rsidR="00623396" w:rsidRPr="00287F4F" w:rsidRDefault="00623396" w:rsidP="00623396">
            <w:pPr>
              <w:pStyle w:val="Style6"/>
              <w:rPr>
                <w:rFonts w:asciiTheme="minorEastAsia" w:eastAsiaTheme="minorEastAsia" w:hAnsiTheme="minorEastAsia"/>
              </w:rPr>
            </w:pPr>
            <w:r w:rsidRPr="00287F4F">
              <w:rPr>
                <w:rFonts w:asciiTheme="minorEastAsia" w:eastAsiaTheme="minorEastAsia" w:hAnsiTheme="minorEastAsia" w:hint="eastAsia"/>
              </w:rPr>
              <w:lastRenderedPageBreak/>
              <w:t>二是公司制定商务价格体系政策，具体价格会根据不同的货类、内外贸、作业工艺、作业环节而有所区别，结合客户对公司航线、吞吐量的贡献度，公司会有不同的优惠政策。</w:t>
            </w:r>
          </w:p>
          <w:p w:rsidR="00C17277" w:rsidRDefault="00623396" w:rsidP="00623396">
            <w:pPr>
              <w:pStyle w:val="Style6"/>
              <w:rPr>
                <w:rFonts w:asciiTheme="minorEastAsia" w:eastAsiaTheme="minorEastAsia" w:hAnsiTheme="minorEastAsia"/>
              </w:rPr>
            </w:pPr>
            <w:r w:rsidRPr="00287F4F">
              <w:rPr>
                <w:rFonts w:asciiTheme="minorEastAsia" w:eastAsiaTheme="minorEastAsia" w:hAnsiTheme="minorEastAsia" w:hint="eastAsia"/>
              </w:rPr>
              <w:t>三是公司综合考虑具体装卸作业方式、硬件投入成本、服务内容差异、腹地经济水平、周边港口费率情况、客户的接受度等方面因素，对价格进行相应调整。</w:t>
            </w:r>
          </w:p>
          <w:p w:rsidR="000D09A0" w:rsidRDefault="000D09A0" w:rsidP="000D09A0">
            <w:pPr>
              <w:pStyle w:val="Style6"/>
            </w:pPr>
            <w:r>
              <w:rPr>
                <w:rFonts w:hint="eastAsia"/>
              </w:rPr>
              <w:t>4</w:t>
            </w:r>
            <w:r w:rsidR="00623396">
              <w:rPr>
                <w:rFonts w:hint="eastAsia"/>
              </w:rPr>
              <w:t>.</w:t>
            </w:r>
            <w:r w:rsidR="00441FD0">
              <w:rPr>
                <w:rFonts w:hint="eastAsia"/>
              </w:rPr>
              <w:t>如何进一步提升吞吐量及未来业绩</w:t>
            </w:r>
          </w:p>
          <w:p w:rsidR="000D09A0" w:rsidRPr="00821D8F" w:rsidRDefault="00821D8F" w:rsidP="00821D8F">
            <w:pPr>
              <w:pStyle w:val="Style6"/>
              <w:rPr>
                <w:rFonts w:asciiTheme="minorEastAsia" w:eastAsiaTheme="minorEastAsia" w:hAnsiTheme="minorEastAsia"/>
              </w:rPr>
            </w:pPr>
            <w:r w:rsidRPr="00821D8F">
              <w:rPr>
                <w:rFonts w:asciiTheme="minorEastAsia" w:eastAsiaTheme="minorEastAsia" w:hAnsiTheme="minorEastAsia" w:hint="eastAsia"/>
              </w:rPr>
              <w:t>一是</w:t>
            </w:r>
            <w:r w:rsidR="00441FD0">
              <w:rPr>
                <w:rFonts w:asciiTheme="minorEastAsia" w:eastAsiaTheme="minorEastAsia" w:hAnsiTheme="minorEastAsia" w:hint="eastAsia"/>
              </w:rPr>
              <w:t>深入推进</w:t>
            </w:r>
            <w:r w:rsidR="00441FD0" w:rsidRPr="00441FD0">
              <w:rPr>
                <w:rFonts w:asciiTheme="minorEastAsia" w:eastAsiaTheme="minorEastAsia" w:hAnsiTheme="minorEastAsia" w:hint="eastAsia"/>
              </w:rPr>
              <w:t>“春雨行动”“四千行动”，</w:t>
            </w:r>
            <w:r w:rsidR="00441FD0">
              <w:rPr>
                <w:rFonts w:asciiTheme="minorEastAsia" w:eastAsiaTheme="minorEastAsia" w:hAnsiTheme="minorEastAsia" w:hint="eastAsia"/>
              </w:rPr>
              <w:t>加大客户服务力度，持续走访对接重点客户；二是对客户进行分类管理，制定“</w:t>
            </w:r>
            <w:proofErr w:type="gramStart"/>
            <w:r w:rsidR="00441FD0">
              <w:rPr>
                <w:rFonts w:asciiTheme="minorEastAsia" w:eastAsiaTheme="minorEastAsia" w:hAnsiTheme="minorEastAsia" w:hint="eastAsia"/>
              </w:rPr>
              <w:t>一</w:t>
            </w:r>
            <w:proofErr w:type="gramEnd"/>
            <w:r w:rsidR="00441FD0">
              <w:rPr>
                <w:rFonts w:asciiTheme="minorEastAsia" w:eastAsiaTheme="minorEastAsia" w:hAnsiTheme="minorEastAsia" w:hint="eastAsia"/>
              </w:rPr>
              <w:t>企</w:t>
            </w:r>
            <w:proofErr w:type="gramStart"/>
            <w:r w:rsidR="00441FD0">
              <w:rPr>
                <w:rFonts w:asciiTheme="minorEastAsia" w:eastAsiaTheme="minorEastAsia" w:hAnsiTheme="minorEastAsia" w:hint="eastAsia"/>
              </w:rPr>
              <w:t>一</w:t>
            </w:r>
            <w:proofErr w:type="gramEnd"/>
            <w:r w:rsidR="00441FD0">
              <w:rPr>
                <w:rFonts w:asciiTheme="minorEastAsia" w:eastAsiaTheme="minorEastAsia" w:hAnsiTheme="minorEastAsia" w:hint="eastAsia"/>
              </w:rPr>
              <w:t>策”，针对大客户提供优惠价格政策，争揽更多货源；三是着力</w:t>
            </w:r>
            <w:r w:rsidR="00441FD0" w:rsidRPr="00821D8F">
              <w:rPr>
                <w:rFonts w:asciiTheme="minorEastAsia" w:eastAsiaTheme="minorEastAsia" w:hAnsiTheme="minorEastAsia" w:hint="eastAsia"/>
              </w:rPr>
              <w:t>发展</w:t>
            </w:r>
            <w:r w:rsidRPr="00821D8F">
              <w:rPr>
                <w:rFonts w:asciiTheme="minorEastAsia" w:eastAsiaTheme="minorEastAsia" w:hAnsiTheme="minorEastAsia" w:hint="eastAsia"/>
              </w:rPr>
              <w:t>重点货类</w:t>
            </w:r>
            <w:r w:rsidR="00FE566B">
              <w:rPr>
                <w:rFonts w:asciiTheme="minorEastAsia" w:eastAsiaTheme="minorEastAsia" w:hAnsiTheme="minorEastAsia" w:hint="eastAsia"/>
              </w:rPr>
              <w:t>，</w:t>
            </w:r>
            <w:r w:rsidRPr="00821D8F">
              <w:rPr>
                <w:rFonts w:asciiTheme="minorEastAsia" w:eastAsiaTheme="minorEastAsia" w:hAnsiTheme="minorEastAsia" w:hint="eastAsia"/>
              </w:rPr>
              <w:t>新增集装箱直航航线，推进</w:t>
            </w:r>
            <w:proofErr w:type="gramStart"/>
            <w:r w:rsidRPr="00821D8F">
              <w:rPr>
                <w:rFonts w:asciiTheme="minorEastAsia" w:eastAsiaTheme="minorEastAsia" w:hAnsiTheme="minorEastAsia" w:hint="eastAsia"/>
              </w:rPr>
              <w:t>危化品</w:t>
            </w:r>
            <w:proofErr w:type="gramEnd"/>
            <w:r w:rsidRPr="00821D8F">
              <w:rPr>
                <w:rFonts w:asciiTheme="minorEastAsia" w:eastAsiaTheme="minorEastAsia" w:hAnsiTheme="minorEastAsia" w:hint="eastAsia"/>
              </w:rPr>
              <w:t>业务量回流，重点发展有色矿、钢材、铝矾土等货类，</w:t>
            </w:r>
            <w:r>
              <w:rPr>
                <w:rFonts w:asciiTheme="minorEastAsia" w:eastAsiaTheme="minorEastAsia" w:hAnsiTheme="minorEastAsia" w:hint="eastAsia"/>
              </w:rPr>
              <w:t>带动</w:t>
            </w:r>
            <w:r w:rsidRPr="00821D8F">
              <w:rPr>
                <w:rFonts w:asciiTheme="minorEastAsia" w:eastAsiaTheme="minorEastAsia" w:hAnsiTheme="minorEastAsia" w:hint="eastAsia"/>
              </w:rPr>
              <w:t>吞吐量</w:t>
            </w:r>
            <w:r>
              <w:rPr>
                <w:rFonts w:asciiTheme="minorEastAsia" w:eastAsiaTheme="minorEastAsia" w:hAnsiTheme="minorEastAsia" w:hint="eastAsia"/>
              </w:rPr>
              <w:t>增长</w:t>
            </w:r>
            <w:r w:rsidRPr="00821D8F">
              <w:rPr>
                <w:rFonts w:asciiTheme="minorEastAsia" w:eastAsiaTheme="minorEastAsia" w:hAnsiTheme="minorEastAsia" w:hint="eastAsia"/>
              </w:rPr>
              <w:t>；</w:t>
            </w:r>
            <w:r w:rsidR="00D525F9">
              <w:rPr>
                <w:rFonts w:asciiTheme="minorEastAsia" w:eastAsiaTheme="minorEastAsia" w:hAnsiTheme="minorEastAsia" w:hint="eastAsia"/>
              </w:rPr>
              <w:t>四</w:t>
            </w:r>
            <w:r w:rsidRPr="00821D8F">
              <w:rPr>
                <w:rFonts w:asciiTheme="minorEastAsia" w:eastAsiaTheme="minorEastAsia" w:hAnsiTheme="minorEastAsia" w:hint="eastAsia"/>
              </w:rPr>
              <w:t>是对原有码头泊位、堆场改造升级，为后续作业量的增长提供支撑作用；</w:t>
            </w:r>
            <w:r w:rsidR="00D525F9">
              <w:rPr>
                <w:rFonts w:asciiTheme="minorEastAsia" w:eastAsiaTheme="minorEastAsia" w:hAnsiTheme="minorEastAsia" w:hint="eastAsia"/>
              </w:rPr>
              <w:t>五</w:t>
            </w:r>
            <w:r w:rsidRPr="00821D8F">
              <w:rPr>
                <w:rFonts w:asciiTheme="minorEastAsia" w:eastAsiaTheme="minorEastAsia" w:hAnsiTheme="minorEastAsia" w:hint="eastAsia"/>
              </w:rPr>
              <w:t>是加强绿色智慧枢纽港口建设，进一步提升作业效率和能力；</w:t>
            </w:r>
            <w:r w:rsidR="00D525F9">
              <w:rPr>
                <w:rFonts w:asciiTheme="minorEastAsia" w:eastAsiaTheme="minorEastAsia" w:hAnsiTheme="minorEastAsia" w:hint="eastAsia"/>
              </w:rPr>
              <w:t>六</w:t>
            </w:r>
            <w:r w:rsidRPr="00821D8F">
              <w:rPr>
                <w:rFonts w:asciiTheme="minorEastAsia" w:eastAsiaTheme="minorEastAsia" w:hAnsiTheme="minorEastAsia" w:hint="eastAsia"/>
              </w:rPr>
              <w:t>是加大成本管控力度，持续压降经营成本费用，加强本部及各所属公司预算执行管控，实现降本增效。</w:t>
            </w:r>
          </w:p>
          <w:p w:rsidR="00623396" w:rsidRPr="00036D9D" w:rsidRDefault="00821D8F" w:rsidP="00623396">
            <w:pPr>
              <w:pStyle w:val="Style6"/>
            </w:pPr>
            <w:r>
              <w:rPr>
                <w:rFonts w:hint="eastAsia"/>
              </w:rPr>
              <w:t>5.</w:t>
            </w:r>
            <w:r w:rsidR="00623396">
              <w:rPr>
                <w:rFonts w:hint="eastAsia"/>
              </w:rPr>
              <w:t>公司</w:t>
            </w:r>
            <w:proofErr w:type="gramStart"/>
            <w:r w:rsidR="00623396">
              <w:rPr>
                <w:rFonts w:hint="eastAsia"/>
              </w:rPr>
              <w:t>危化品</w:t>
            </w:r>
            <w:proofErr w:type="gramEnd"/>
            <w:r w:rsidR="00623396">
              <w:rPr>
                <w:rFonts w:hint="eastAsia"/>
              </w:rPr>
              <w:t>货类情况</w:t>
            </w:r>
          </w:p>
          <w:p w:rsidR="00C17277" w:rsidRDefault="0024470D" w:rsidP="0024470D">
            <w:pPr>
              <w:pStyle w:val="Style6"/>
            </w:pPr>
            <w:r>
              <w:rPr>
                <w:rFonts w:hint="eastAsia"/>
              </w:rPr>
              <w:t>按照</w:t>
            </w:r>
            <w:r w:rsidRPr="0024470D">
              <w:rPr>
                <w:rFonts w:hint="eastAsia"/>
              </w:rPr>
              <w:t>2022年10月天津市交通运输委发布《有序放开天津港第2至6类危险货物集装箱作业工作实施方案》</w:t>
            </w:r>
            <w:r>
              <w:rPr>
                <w:rFonts w:hint="eastAsia"/>
              </w:rPr>
              <w:t>，公司获得</w:t>
            </w:r>
            <w:r w:rsidRPr="0024470D">
              <w:rPr>
                <w:rFonts w:hint="eastAsia"/>
              </w:rPr>
              <w:t>第2至6类危险</w:t>
            </w:r>
            <w:r>
              <w:rPr>
                <w:rFonts w:hint="eastAsia"/>
              </w:rPr>
              <w:t>品的作业和堆存资质。</w:t>
            </w:r>
            <w:r w:rsidR="00623396" w:rsidRPr="00623396">
              <w:rPr>
                <w:rFonts w:hint="eastAsia"/>
              </w:rPr>
              <w:t>目前公司能够进行8、9类危险货物作业</w:t>
            </w:r>
            <w:r w:rsidR="00623396">
              <w:rPr>
                <w:rFonts w:hint="eastAsia"/>
              </w:rPr>
              <w:t>，</w:t>
            </w:r>
            <w:r w:rsidR="00623396" w:rsidRPr="00623396">
              <w:rPr>
                <w:rFonts w:hint="eastAsia"/>
              </w:rPr>
              <w:t>2-6类危险货物中的23个品名作业顺畅。南港新建危险货物集装箱堆场已具备运营条件，主要承担第2至第6类危险货物集装箱，及少量第8至第9类危险货物集装箱装卸任务。</w:t>
            </w:r>
          </w:p>
          <w:p w:rsidR="00455AC4" w:rsidRDefault="00821D8F" w:rsidP="0034372F">
            <w:pPr>
              <w:pStyle w:val="Style6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6</w:t>
            </w:r>
            <w:r w:rsidR="00090C36">
              <w:rPr>
                <w:rFonts w:hint="eastAsia"/>
              </w:rPr>
              <w:t>.</w:t>
            </w:r>
            <w:r w:rsidR="0034372F" w:rsidRPr="00287F4F">
              <w:rPr>
                <w:rFonts w:asciiTheme="minorEastAsia" w:eastAsiaTheme="minorEastAsia" w:hAnsiTheme="minorEastAsia" w:hint="eastAsia"/>
              </w:rPr>
              <w:t>公司</w:t>
            </w:r>
            <w:r w:rsidR="00946BB5">
              <w:rPr>
                <w:rFonts w:asciiTheme="minorEastAsia" w:eastAsiaTheme="minorEastAsia" w:hAnsiTheme="minorEastAsia" w:hint="eastAsia"/>
              </w:rPr>
              <w:t>销售</w:t>
            </w:r>
            <w:r w:rsidR="00E557B1">
              <w:rPr>
                <w:rFonts w:asciiTheme="minorEastAsia" w:eastAsiaTheme="minorEastAsia" w:hAnsiTheme="minorEastAsia" w:hint="eastAsia"/>
              </w:rPr>
              <w:t>、物流、服务</w:t>
            </w:r>
            <w:r w:rsidR="00455AC4">
              <w:rPr>
                <w:rFonts w:asciiTheme="minorEastAsia" w:eastAsiaTheme="minorEastAsia" w:hAnsiTheme="minorEastAsia" w:hint="eastAsia"/>
              </w:rPr>
              <w:t>业务情况</w:t>
            </w:r>
          </w:p>
          <w:p w:rsidR="00455AC4" w:rsidRDefault="00455AC4" w:rsidP="00E557B1">
            <w:pPr>
              <w:pStyle w:val="Style6"/>
              <w:rPr>
                <w:rFonts w:asciiTheme="minorEastAsia" w:eastAsiaTheme="minorEastAsia" w:hAnsiTheme="minorEastAsia"/>
              </w:rPr>
            </w:pPr>
            <w:r w:rsidRPr="00287F4F">
              <w:rPr>
                <w:rFonts w:asciiTheme="minorEastAsia" w:eastAsiaTheme="minorEastAsia" w:hAnsiTheme="minorEastAsia" w:hint="eastAsia"/>
              </w:rPr>
              <w:t>公司目前主要销售商品为煤炭，是由所属物流发展公司下属的中铁公司为主体开展煤炭贸易业务。</w:t>
            </w:r>
            <w:r w:rsidR="00E557B1" w:rsidRPr="00E557B1">
              <w:rPr>
                <w:rFonts w:asciiTheme="minorEastAsia" w:eastAsiaTheme="minorEastAsia" w:hAnsiTheme="minorEastAsia" w:hint="eastAsia"/>
              </w:rPr>
              <w:t>2023年实现销售毛利率0.79%，同比减少0.65个百分点</w:t>
            </w:r>
            <w:r w:rsidR="00E557B1">
              <w:rPr>
                <w:rFonts w:asciiTheme="minorEastAsia" w:eastAsiaTheme="minorEastAsia" w:hAnsiTheme="minorEastAsia" w:hint="eastAsia"/>
              </w:rPr>
              <w:t>。</w:t>
            </w:r>
          </w:p>
          <w:p w:rsidR="00821D8F" w:rsidRDefault="00821D8F" w:rsidP="00821D8F">
            <w:pPr>
              <w:pStyle w:val="Style6"/>
              <w:rPr>
                <w:rFonts w:asciiTheme="minorEastAsia" w:eastAsiaTheme="minorEastAsia" w:hAnsiTheme="minorEastAsia"/>
              </w:rPr>
            </w:pPr>
            <w:r w:rsidRPr="00821D8F">
              <w:rPr>
                <w:rFonts w:asciiTheme="minorEastAsia" w:eastAsiaTheme="minorEastAsia" w:hAnsiTheme="minorEastAsia" w:hint="eastAsia"/>
              </w:rPr>
              <w:t>物流业务主要包括代理、运输、堆存和装卸辅助等业务。2023年物流业务毛利率为40.55%，</w:t>
            </w:r>
            <w:r w:rsidR="00176B4E">
              <w:rPr>
                <w:rFonts w:asciiTheme="minorEastAsia" w:eastAsiaTheme="minorEastAsia" w:hAnsiTheme="minorEastAsia" w:hint="eastAsia"/>
              </w:rPr>
              <w:t>同比增长</w:t>
            </w:r>
            <w:r w:rsidRPr="00821D8F">
              <w:rPr>
                <w:rFonts w:asciiTheme="minorEastAsia" w:eastAsiaTheme="minorEastAsia" w:hAnsiTheme="minorEastAsia" w:hint="eastAsia"/>
              </w:rPr>
              <w:t>5.87个百分点，提升原因主要是堆存业务和装卸辅助业务毛利率上升。</w:t>
            </w:r>
          </w:p>
          <w:p w:rsidR="006E128B" w:rsidRDefault="003E1C22" w:rsidP="003E1C22">
            <w:pPr>
              <w:pStyle w:val="Style6"/>
              <w:rPr>
                <w:rFonts w:asciiTheme="minorEastAsia" w:eastAsiaTheme="minorEastAsia" w:hAnsiTheme="minorEastAsia"/>
              </w:rPr>
            </w:pPr>
            <w:r w:rsidRPr="003E1C22">
              <w:rPr>
                <w:rFonts w:asciiTheme="minorEastAsia" w:eastAsiaTheme="minorEastAsia" w:hAnsiTheme="minorEastAsia" w:hint="eastAsia"/>
              </w:rPr>
              <w:lastRenderedPageBreak/>
              <w:t>服务及其他</w:t>
            </w:r>
            <w:r>
              <w:rPr>
                <w:rFonts w:asciiTheme="minorEastAsia" w:eastAsiaTheme="minorEastAsia" w:hAnsiTheme="minorEastAsia" w:hint="eastAsia"/>
              </w:rPr>
              <w:t>业务</w:t>
            </w:r>
            <w:r w:rsidRPr="003E1C22">
              <w:rPr>
                <w:rFonts w:asciiTheme="minorEastAsia" w:eastAsiaTheme="minorEastAsia" w:hAnsiTheme="minorEastAsia" w:hint="eastAsia"/>
              </w:rPr>
              <w:t>主要是理货业务</w:t>
            </w:r>
            <w:r>
              <w:rPr>
                <w:rFonts w:asciiTheme="minorEastAsia" w:eastAsiaTheme="minorEastAsia" w:hAnsiTheme="minorEastAsia" w:hint="eastAsia"/>
              </w:rPr>
              <w:t>及</w:t>
            </w:r>
            <w:r w:rsidRPr="003E1C22">
              <w:rPr>
                <w:rFonts w:asciiTheme="minorEastAsia" w:eastAsiaTheme="minorEastAsia" w:hAnsiTheme="minorEastAsia" w:hint="eastAsia"/>
              </w:rPr>
              <w:t>其他服务业务。2023年服务业务毛利率55.83%，</w:t>
            </w:r>
            <w:r w:rsidR="00176B4E">
              <w:rPr>
                <w:rFonts w:asciiTheme="minorEastAsia" w:eastAsiaTheme="minorEastAsia" w:hAnsiTheme="minorEastAsia" w:hint="eastAsia"/>
              </w:rPr>
              <w:t>同比</w:t>
            </w:r>
            <w:r w:rsidRPr="003E1C22">
              <w:rPr>
                <w:rFonts w:asciiTheme="minorEastAsia" w:eastAsiaTheme="minorEastAsia" w:hAnsiTheme="minorEastAsia" w:hint="eastAsia"/>
              </w:rPr>
              <w:t>减少8.33个百分点。</w:t>
            </w:r>
          </w:p>
          <w:p w:rsidR="00912D2B" w:rsidRPr="00912D2B" w:rsidRDefault="00E557B1" w:rsidP="00912D2B">
            <w:pPr>
              <w:pStyle w:val="Style6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  <w:r w:rsidR="00441FD0">
              <w:rPr>
                <w:rFonts w:asciiTheme="minorEastAsia" w:eastAsiaTheme="minorEastAsia" w:hAnsiTheme="minorEastAsia" w:hint="eastAsia"/>
              </w:rPr>
              <w:t>.</w:t>
            </w:r>
            <w:r w:rsidR="00912D2B">
              <w:rPr>
                <w:rFonts w:asciiTheme="minorEastAsia" w:eastAsiaTheme="minorEastAsia" w:hAnsiTheme="minorEastAsia" w:hint="eastAsia"/>
              </w:rPr>
              <w:t>公司</w:t>
            </w:r>
            <w:r w:rsidR="00912D2B" w:rsidRPr="00912D2B">
              <w:rPr>
                <w:rFonts w:asciiTheme="minorEastAsia" w:eastAsiaTheme="minorEastAsia" w:hAnsiTheme="minorEastAsia" w:hint="eastAsia"/>
              </w:rPr>
              <w:t>四季度</w:t>
            </w:r>
            <w:r w:rsidR="00912D2B">
              <w:rPr>
                <w:rFonts w:asciiTheme="minorEastAsia" w:eastAsiaTheme="minorEastAsia" w:hAnsiTheme="minorEastAsia" w:hint="eastAsia"/>
              </w:rPr>
              <w:t>利润下降的原因</w:t>
            </w:r>
          </w:p>
          <w:p w:rsidR="00912D2B" w:rsidRDefault="00912D2B" w:rsidP="00912D2B">
            <w:pPr>
              <w:pStyle w:val="Style6"/>
              <w:rPr>
                <w:rFonts w:asciiTheme="minorEastAsia" w:eastAsiaTheme="minorEastAsia" w:hAnsiTheme="minorEastAsia"/>
              </w:rPr>
            </w:pPr>
            <w:r w:rsidRPr="00912D2B">
              <w:rPr>
                <w:rFonts w:asciiTheme="minorEastAsia" w:eastAsiaTheme="minorEastAsia" w:hAnsiTheme="minorEastAsia" w:hint="eastAsia"/>
              </w:rPr>
              <w:t>合并报表范围内，公司及所属公司在第四季度支付的成本费用较前期增加较大，主要包括年末结转的人工成本、合同付费和设施设备的修理费用等。</w:t>
            </w:r>
          </w:p>
          <w:p w:rsidR="00821D8F" w:rsidRPr="00287F4F" w:rsidRDefault="00E557B1" w:rsidP="00821D8F">
            <w:pPr>
              <w:pStyle w:val="Style6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  <w:r w:rsidR="00821D8F">
              <w:rPr>
                <w:rFonts w:asciiTheme="minorEastAsia" w:eastAsiaTheme="minorEastAsia" w:hAnsiTheme="minorEastAsia" w:hint="eastAsia"/>
              </w:rPr>
              <w:t>.未来</w:t>
            </w:r>
            <w:r w:rsidR="00821D8F" w:rsidRPr="00287F4F">
              <w:rPr>
                <w:rFonts w:asciiTheme="minorEastAsia" w:eastAsiaTheme="minorEastAsia" w:hAnsiTheme="minorEastAsia" w:hint="eastAsia"/>
              </w:rPr>
              <w:t>公司资本开支计划</w:t>
            </w:r>
          </w:p>
          <w:p w:rsidR="00821D8F" w:rsidRDefault="00821D8F" w:rsidP="00821D8F">
            <w:pPr>
              <w:pStyle w:val="Style6"/>
              <w:rPr>
                <w:rFonts w:asciiTheme="minorEastAsia" w:eastAsiaTheme="minorEastAsia" w:hAnsiTheme="minorEastAsia"/>
              </w:rPr>
            </w:pPr>
            <w:r w:rsidRPr="00287F4F">
              <w:rPr>
                <w:rFonts w:asciiTheme="minorEastAsia" w:eastAsiaTheme="minorEastAsia" w:hAnsiTheme="minorEastAsia" w:hint="eastAsia"/>
              </w:rPr>
              <w:t>2024年公司预计完成固定资产投资14.54亿元，其中设施类投资4.78亿元，设备类投资9.76亿元，主要围绕码头泊位、堆场的升级改造以及自动化、信息化建设。</w:t>
            </w:r>
          </w:p>
          <w:p w:rsidR="00A408EF" w:rsidRPr="00FE566B" w:rsidRDefault="00E557B1" w:rsidP="00FE566B">
            <w:pPr>
              <w:pStyle w:val="Style6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9</w:t>
            </w:r>
            <w:r w:rsidR="0034372F">
              <w:rPr>
                <w:rFonts w:hint="eastAsia"/>
              </w:rPr>
              <w:t>.</w:t>
            </w:r>
            <w:r w:rsidR="00A408EF">
              <w:rPr>
                <w:rFonts w:hint="eastAsia"/>
              </w:rPr>
              <w:t>公司托管企业情况</w:t>
            </w:r>
          </w:p>
          <w:p w:rsidR="00A408EF" w:rsidRDefault="00A408EF" w:rsidP="00EB2E28">
            <w:pPr>
              <w:pStyle w:val="Style6"/>
            </w:pPr>
            <w:r w:rsidRPr="00A408EF">
              <w:rPr>
                <w:rFonts w:hint="eastAsia"/>
              </w:rPr>
              <w:t>公司与集团公司于今年4月签订</w:t>
            </w:r>
            <w:r w:rsidR="00FE566B">
              <w:rPr>
                <w:rFonts w:hint="eastAsia"/>
              </w:rPr>
              <w:t>了</w:t>
            </w:r>
            <w:r w:rsidRPr="00A408EF">
              <w:rPr>
                <w:rFonts w:hint="eastAsia"/>
              </w:rPr>
              <w:t>股权托管协议</w:t>
            </w:r>
            <w:r w:rsidR="00FE566B">
              <w:rPr>
                <w:rFonts w:hint="eastAsia"/>
              </w:rPr>
              <w:t>，将集团公司下属的</w:t>
            </w:r>
            <w:r w:rsidR="00FE566B" w:rsidRPr="00A408EF">
              <w:rPr>
                <w:rFonts w:hint="eastAsia"/>
              </w:rPr>
              <w:t>天津港汇盛码头有限公司、天津港第二集装箱有限公司、天津国际邮轮母港有限公司、国家管网集团天津液化天然气有限责任公司等四家码头公司的</w:t>
            </w:r>
            <w:r w:rsidR="00FE566B">
              <w:rPr>
                <w:rFonts w:hint="eastAsia"/>
              </w:rPr>
              <w:t>股权托管给上市公司经营管理。</w:t>
            </w:r>
          </w:p>
          <w:p w:rsidR="00FE566B" w:rsidRPr="00287F4F" w:rsidRDefault="007F19CC" w:rsidP="00FE566B">
            <w:pPr>
              <w:pStyle w:val="Style6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1</w:t>
            </w:r>
            <w:r w:rsidR="00E557B1">
              <w:rPr>
                <w:rFonts w:hint="eastAsia"/>
              </w:rPr>
              <w:t>0</w:t>
            </w:r>
            <w:r w:rsidR="00FE566B">
              <w:rPr>
                <w:rFonts w:hint="eastAsia"/>
              </w:rPr>
              <w:t>.</w:t>
            </w:r>
            <w:r w:rsidR="00FE566B" w:rsidRPr="00287F4F">
              <w:rPr>
                <w:rFonts w:asciiTheme="minorEastAsia" w:eastAsiaTheme="minorEastAsia" w:hAnsiTheme="minorEastAsia" w:hint="eastAsia"/>
              </w:rPr>
              <w:t>公司市值管理举措</w:t>
            </w:r>
          </w:p>
          <w:p w:rsidR="00FE566B" w:rsidRDefault="00FE566B" w:rsidP="00FE566B">
            <w:pPr>
              <w:pStyle w:val="Style6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</w:rPr>
              <w:t>按照市国资委、集团公司</w:t>
            </w:r>
            <w:r w:rsidRPr="00287F4F">
              <w:rPr>
                <w:rFonts w:asciiTheme="minorEastAsia" w:eastAsiaTheme="minorEastAsia" w:hAnsiTheme="minorEastAsia" w:hint="eastAsia"/>
                <w:bCs/>
                <w:iCs/>
                <w:color w:val="000000"/>
              </w:rPr>
              <w:t>的相关要求，公司重点从三个方面开展市值管理工作。一是聚焦价值创造，打造装卸领域领军企业，提高股份公司盈利能力；二是开展价值传播，强化信息披露管理，增加投资者交流；三是探索价值挖掘，研究市值提升方案，利用多种手段落实工作安排。</w:t>
            </w:r>
          </w:p>
          <w:p w:rsidR="006B278E" w:rsidRPr="00287F4F" w:rsidRDefault="00FE566B" w:rsidP="006B278E">
            <w:pPr>
              <w:pStyle w:val="Style6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  <w:r w:rsidR="00E557B1"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 w:hint="eastAsia"/>
              </w:rPr>
              <w:t>.</w:t>
            </w:r>
            <w:r w:rsidR="006B278E" w:rsidRPr="00287F4F">
              <w:rPr>
                <w:rFonts w:asciiTheme="minorEastAsia" w:eastAsiaTheme="minorEastAsia" w:hAnsiTheme="minorEastAsia" w:hint="eastAsia"/>
              </w:rPr>
              <w:t>现金分红安排</w:t>
            </w:r>
          </w:p>
          <w:p w:rsidR="006B278E" w:rsidRPr="00287F4F" w:rsidRDefault="006B278E" w:rsidP="006B278E">
            <w:pPr>
              <w:pStyle w:val="Style6"/>
              <w:rPr>
                <w:rFonts w:asciiTheme="minorEastAsia" w:eastAsiaTheme="minorEastAsia" w:hAnsiTheme="minorEastAsia"/>
              </w:rPr>
            </w:pPr>
            <w:r w:rsidRPr="00287F4F">
              <w:rPr>
                <w:rFonts w:asciiTheme="minorEastAsia" w:eastAsiaTheme="minorEastAsia" w:hAnsiTheme="minorEastAsia" w:hint="eastAsia"/>
              </w:rPr>
              <w:t>公司目前严格按照中国证监会《上市公司监管指引第3号——上市公司现金分红》、《上海证券交易所上市公司自律监管指引第1号——规范运作》等相关监管规则及《公司章程》要求，开展公司现金分红的相关工作。《公司章程》作为公司开展利润分配的制度保障，明确了利润分配的基本原则、具体政策、审议程序及实施等内容。公司自1996年上市以来始终坚持回馈投资者，在公司上市的28年里，累计完成现金分红25次，分红金额达到48亿元，近五年通过现金和送股方式分红，实施的分红金</w:t>
            </w:r>
            <w:r w:rsidRPr="00287F4F">
              <w:rPr>
                <w:rFonts w:asciiTheme="minorEastAsia" w:eastAsiaTheme="minorEastAsia" w:hAnsiTheme="minorEastAsia" w:hint="eastAsia"/>
              </w:rPr>
              <w:lastRenderedPageBreak/>
              <w:t>额达到了同期</w:t>
            </w:r>
            <w:proofErr w:type="gramStart"/>
            <w:r w:rsidRPr="00287F4F">
              <w:rPr>
                <w:rFonts w:asciiTheme="minorEastAsia" w:eastAsiaTheme="minorEastAsia" w:hAnsiTheme="minorEastAsia" w:hint="eastAsia"/>
              </w:rPr>
              <w:t>归母净利润</w:t>
            </w:r>
            <w:proofErr w:type="gramEnd"/>
            <w:r w:rsidRPr="00287F4F">
              <w:rPr>
                <w:rFonts w:asciiTheme="minorEastAsia" w:eastAsiaTheme="minorEastAsia" w:hAnsiTheme="minorEastAsia" w:hint="eastAsia"/>
              </w:rPr>
              <w:t>的52%。</w:t>
            </w:r>
          </w:p>
          <w:p w:rsidR="00111E72" w:rsidRDefault="006B278E" w:rsidP="00852842">
            <w:pPr>
              <w:pStyle w:val="Style6"/>
              <w:rPr>
                <w:rFonts w:asciiTheme="minorEastAsia" w:eastAsiaTheme="minorEastAsia" w:hAnsiTheme="minorEastAsia"/>
              </w:rPr>
            </w:pPr>
            <w:r w:rsidRPr="00287F4F">
              <w:rPr>
                <w:rFonts w:asciiTheme="minorEastAsia" w:eastAsiaTheme="minorEastAsia" w:hAnsiTheme="minorEastAsia" w:hint="eastAsia"/>
              </w:rPr>
              <w:t>公司未来将继续按照监管规则及《公司章程》要求，采取现金分红、送转股份等方式开展利润分配相关工作</w:t>
            </w:r>
            <w:r w:rsidR="00852842">
              <w:rPr>
                <w:rFonts w:asciiTheme="minorEastAsia" w:eastAsiaTheme="minorEastAsia" w:hAnsiTheme="minorEastAsia" w:hint="eastAsia"/>
              </w:rPr>
              <w:t>。</w:t>
            </w:r>
          </w:p>
          <w:p w:rsidR="007F19CC" w:rsidRDefault="007F19CC" w:rsidP="00852842">
            <w:pPr>
              <w:pStyle w:val="Style6"/>
              <w:rPr>
                <w:rFonts w:asciiTheme="minorEastAsia" w:eastAsiaTheme="minorEastAsia" w:hAnsiTheme="minorEastAsia"/>
              </w:rPr>
            </w:pPr>
          </w:p>
          <w:p w:rsidR="007F19CC" w:rsidRDefault="007F19CC" w:rsidP="00852842">
            <w:pPr>
              <w:pStyle w:val="Style6"/>
              <w:rPr>
                <w:rFonts w:asciiTheme="minorEastAsia" w:eastAsiaTheme="minorEastAsia" w:hAnsiTheme="minorEastAsia"/>
              </w:rPr>
            </w:pPr>
          </w:p>
          <w:p w:rsidR="007F19CC" w:rsidRDefault="007F19CC" w:rsidP="00852842">
            <w:pPr>
              <w:pStyle w:val="Style6"/>
              <w:rPr>
                <w:rFonts w:asciiTheme="minorEastAsia" w:eastAsiaTheme="minorEastAsia" w:hAnsiTheme="minorEastAsia"/>
              </w:rPr>
            </w:pPr>
          </w:p>
          <w:p w:rsidR="007F19CC" w:rsidRDefault="007F19CC" w:rsidP="00852842">
            <w:pPr>
              <w:pStyle w:val="Style6"/>
              <w:rPr>
                <w:rFonts w:asciiTheme="minorEastAsia" w:eastAsiaTheme="minorEastAsia" w:hAnsiTheme="minorEastAsia"/>
              </w:rPr>
            </w:pPr>
          </w:p>
          <w:p w:rsidR="007F19CC" w:rsidRDefault="007F19CC" w:rsidP="00852842">
            <w:pPr>
              <w:pStyle w:val="Style6"/>
              <w:rPr>
                <w:rFonts w:asciiTheme="minorEastAsia" w:eastAsiaTheme="minorEastAsia" w:hAnsiTheme="minorEastAsia"/>
              </w:rPr>
            </w:pPr>
          </w:p>
          <w:p w:rsidR="007F19CC" w:rsidRDefault="007F19CC" w:rsidP="00852842">
            <w:pPr>
              <w:pStyle w:val="Style6"/>
              <w:rPr>
                <w:rFonts w:asciiTheme="minorEastAsia" w:eastAsiaTheme="minorEastAsia" w:hAnsiTheme="minorEastAsia"/>
              </w:rPr>
            </w:pPr>
          </w:p>
          <w:p w:rsidR="007F19CC" w:rsidRDefault="007F19CC" w:rsidP="00852842">
            <w:pPr>
              <w:pStyle w:val="Style6"/>
              <w:rPr>
                <w:rFonts w:asciiTheme="minorEastAsia" w:eastAsiaTheme="minorEastAsia" w:hAnsiTheme="minorEastAsia" w:hint="eastAsia"/>
              </w:rPr>
            </w:pPr>
          </w:p>
          <w:p w:rsidR="00E557B1" w:rsidRDefault="00E557B1" w:rsidP="00852842">
            <w:pPr>
              <w:pStyle w:val="Style6"/>
              <w:rPr>
                <w:rFonts w:asciiTheme="minorEastAsia" w:eastAsiaTheme="minorEastAsia" w:hAnsiTheme="minorEastAsia" w:hint="eastAsia"/>
              </w:rPr>
            </w:pPr>
          </w:p>
          <w:p w:rsidR="00E557B1" w:rsidRDefault="00E557B1" w:rsidP="00852842">
            <w:pPr>
              <w:pStyle w:val="Style6"/>
              <w:rPr>
                <w:rFonts w:asciiTheme="minorEastAsia" w:eastAsiaTheme="minorEastAsia" w:hAnsiTheme="minorEastAsia" w:hint="eastAsia"/>
              </w:rPr>
            </w:pPr>
          </w:p>
          <w:p w:rsidR="00E557B1" w:rsidRDefault="00E557B1" w:rsidP="00852842">
            <w:pPr>
              <w:pStyle w:val="Style6"/>
              <w:rPr>
                <w:rFonts w:asciiTheme="minorEastAsia" w:eastAsiaTheme="minorEastAsia" w:hAnsiTheme="minorEastAsia" w:hint="eastAsia"/>
              </w:rPr>
            </w:pPr>
          </w:p>
          <w:p w:rsidR="00E557B1" w:rsidRDefault="00E557B1" w:rsidP="00852842">
            <w:pPr>
              <w:pStyle w:val="Style6"/>
              <w:rPr>
                <w:rFonts w:asciiTheme="minorEastAsia" w:eastAsiaTheme="minorEastAsia" w:hAnsiTheme="minorEastAsia" w:hint="eastAsia"/>
              </w:rPr>
            </w:pPr>
          </w:p>
          <w:p w:rsidR="00E557B1" w:rsidRDefault="00E557B1" w:rsidP="00852842">
            <w:pPr>
              <w:pStyle w:val="Style6"/>
              <w:rPr>
                <w:rFonts w:asciiTheme="minorEastAsia" w:eastAsiaTheme="minorEastAsia" w:hAnsiTheme="minorEastAsia" w:hint="eastAsia"/>
              </w:rPr>
            </w:pPr>
          </w:p>
          <w:p w:rsidR="00E557B1" w:rsidRDefault="00E557B1" w:rsidP="00852842">
            <w:pPr>
              <w:pStyle w:val="Style6"/>
              <w:rPr>
                <w:rFonts w:asciiTheme="minorEastAsia" w:eastAsiaTheme="minorEastAsia" w:hAnsiTheme="minorEastAsia" w:hint="eastAsia"/>
              </w:rPr>
            </w:pPr>
          </w:p>
          <w:p w:rsidR="00E557B1" w:rsidRDefault="00E557B1" w:rsidP="00852842">
            <w:pPr>
              <w:pStyle w:val="Style6"/>
              <w:rPr>
                <w:rFonts w:asciiTheme="minorEastAsia" w:eastAsiaTheme="minorEastAsia" w:hAnsiTheme="minorEastAsia" w:hint="eastAsia"/>
              </w:rPr>
            </w:pPr>
          </w:p>
          <w:p w:rsidR="00E557B1" w:rsidRDefault="00E557B1" w:rsidP="00852842">
            <w:pPr>
              <w:pStyle w:val="Style6"/>
              <w:rPr>
                <w:rFonts w:asciiTheme="minorEastAsia" w:eastAsiaTheme="minorEastAsia" w:hAnsiTheme="minorEastAsia" w:hint="eastAsia"/>
              </w:rPr>
            </w:pPr>
          </w:p>
          <w:p w:rsidR="009410F5" w:rsidRDefault="009410F5" w:rsidP="00852842">
            <w:pPr>
              <w:pStyle w:val="Style6"/>
              <w:rPr>
                <w:rFonts w:asciiTheme="minorEastAsia" w:eastAsiaTheme="minorEastAsia" w:hAnsiTheme="minorEastAsia" w:hint="eastAsia"/>
              </w:rPr>
            </w:pPr>
          </w:p>
          <w:p w:rsidR="00E557B1" w:rsidRDefault="00E557B1" w:rsidP="00852842">
            <w:pPr>
              <w:pStyle w:val="Style6"/>
              <w:rPr>
                <w:rFonts w:asciiTheme="minorEastAsia" w:eastAsiaTheme="minorEastAsia" w:hAnsiTheme="minorEastAsia" w:hint="eastAsia"/>
              </w:rPr>
            </w:pPr>
          </w:p>
          <w:p w:rsidR="00E557B1" w:rsidRDefault="00E557B1" w:rsidP="00852842">
            <w:pPr>
              <w:pStyle w:val="Style6"/>
              <w:rPr>
                <w:rFonts w:asciiTheme="minorEastAsia" w:eastAsiaTheme="minorEastAsia" w:hAnsiTheme="minorEastAsia" w:hint="eastAsia"/>
              </w:rPr>
            </w:pPr>
          </w:p>
          <w:p w:rsidR="00E557B1" w:rsidRDefault="00E557B1" w:rsidP="00852842">
            <w:pPr>
              <w:pStyle w:val="Style6"/>
              <w:rPr>
                <w:rFonts w:asciiTheme="minorEastAsia" w:eastAsiaTheme="minorEastAsia" w:hAnsiTheme="minorEastAsia" w:hint="eastAsia"/>
              </w:rPr>
            </w:pPr>
          </w:p>
          <w:p w:rsidR="00E557B1" w:rsidRDefault="00E557B1" w:rsidP="00852842">
            <w:pPr>
              <w:pStyle w:val="Style6"/>
              <w:rPr>
                <w:rFonts w:asciiTheme="minorEastAsia" w:eastAsiaTheme="minorEastAsia" w:hAnsiTheme="minorEastAsia"/>
              </w:rPr>
            </w:pPr>
          </w:p>
          <w:p w:rsidR="007F19CC" w:rsidRDefault="007F19CC" w:rsidP="00852842">
            <w:pPr>
              <w:pStyle w:val="Style6"/>
              <w:rPr>
                <w:rFonts w:asciiTheme="minorEastAsia" w:eastAsiaTheme="minorEastAsia" w:hAnsiTheme="minorEastAsia"/>
              </w:rPr>
            </w:pPr>
          </w:p>
          <w:p w:rsidR="007F19CC" w:rsidRDefault="007F19CC" w:rsidP="00852842">
            <w:pPr>
              <w:pStyle w:val="Style6"/>
              <w:rPr>
                <w:rFonts w:asciiTheme="minorEastAsia" w:eastAsiaTheme="minorEastAsia" w:hAnsiTheme="minorEastAsia"/>
              </w:rPr>
            </w:pPr>
          </w:p>
          <w:p w:rsidR="007F19CC" w:rsidRDefault="007F19CC" w:rsidP="00852842">
            <w:pPr>
              <w:pStyle w:val="Style6"/>
              <w:rPr>
                <w:rFonts w:asciiTheme="minorEastAsia" w:eastAsiaTheme="minorEastAsia" w:hAnsiTheme="minorEastAsia"/>
              </w:rPr>
            </w:pPr>
          </w:p>
          <w:p w:rsidR="007F19CC" w:rsidRDefault="007F19CC" w:rsidP="00852842">
            <w:pPr>
              <w:pStyle w:val="Style6"/>
              <w:rPr>
                <w:rFonts w:asciiTheme="minorEastAsia" w:eastAsiaTheme="minorEastAsia" w:hAnsiTheme="minorEastAsia"/>
              </w:rPr>
            </w:pPr>
          </w:p>
          <w:p w:rsidR="007F19CC" w:rsidRDefault="007F19CC" w:rsidP="00852842">
            <w:pPr>
              <w:pStyle w:val="Style6"/>
              <w:rPr>
                <w:rFonts w:asciiTheme="minorEastAsia" w:eastAsiaTheme="minorEastAsia" w:hAnsiTheme="minorEastAsia"/>
              </w:rPr>
            </w:pPr>
          </w:p>
          <w:p w:rsidR="007F19CC" w:rsidRPr="00852842" w:rsidRDefault="007F19CC" w:rsidP="00852842">
            <w:pPr>
              <w:pStyle w:val="Style6"/>
              <w:rPr>
                <w:rFonts w:asciiTheme="minorEastAsia" w:eastAsiaTheme="minorEastAsia" w:hAnsiTheme="minorEastAsia"/>
              </w:rPr>
            </w:pPr>
          </w:p>
        </w:tc>
      </w:tr>
    </w:tbl>
    <w:p w:rsidR="00C17277" w:rsidRDefault="00C17277"/>
    <w:sectPr w:rsidR="00C17277" w:rsidSect="00C17277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E7A" w:rsidRDefault="004F1E7A" w:rsidP="00C17277">
      <w:r>
        <w:separator/>
      </w:r>
    </w:p>
  </w:endnote>
  <w:endnote w:type="continuationSeparator" w:id="0">
    <w:p w:rsidR="004F1E7A" w:rsidRDefault="004F1E7A" w:rsidP="00C17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E7A" w:rsidRDefault="004F1E7A" w:rsidP="00C17277">
      <w:r>
        <w:separator/>
      </w:r>
    </w:p>
  </w:footnote>
  <w:footnote w:type="continuationSeparator" w:id="0">
    <w:p w:rsidR="004F1E7A" w:rsidRDefault="004F1E7A" w:rsidP="00C17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77" w:rsidRDefault="00C17277">
    <w:pPr>
      <w:pStyle w:val="a4"/>
      <w:pBdr>
        <w:bottom w:val="none" w:sz="0" w:space="0" w:color="auto"/>
      </w:pBdr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Dk1NzQzMzBiM2IyN2YxMjM0NjFkY2UzMzNiZDMzMjEifQ=="/>
  </w:docVars>
  <w:rsids>
    <w:rsidRoot w:val="006861C7"/>
    <w:rsid w:val="B7DDD54D"/>
    <w:rsid w:val="E3FFE6ED"/>
    <w:rsid w:val="F5DB8A63"/>
    <w:rsid w:val="F797912E"/>
    <w:rsid w:val="FE7B4896"/>
    <w:rsid w:val="0000695E"/>
    <w:rsid w:val="000268C0"/>
    <w:rsid w:val="00026A12"/>
    <w:rsid w:val="000363B5"/>
    <w:rsid w:val="00036D9D"/>
    <w:rsid w:val="000375D7"/>
    <w:rsid w:val="00043015"/>
    <w:rsid w:val="00044B01"/>
    <w:rsid w:val="00046DDE"/>
    <w:rsid w:val="000479D0"/>
    <w:rsid w:val="00047EB9"/>
    <w:rsid w:val="00053546"/>
    <w:rsid w:val="00060A74"/>
    <w:rsid w:val="00067110"/>
    <w:rsid w:val="00090C36"/>
    <w:rsid w:val="0009298A"/>
    <w:rsid w:val="000A2808"/>
    <w:rsid w:val="000A3707"/>
    <w:rsid w:val="000A3BAC"/>
    <w:rsid w:val="000C26FD"/>
    <w:rsid w:val="000C2D85"/>
    <w:rsid w:val="000C6E35"/>
    <w:rsid w:val="000D09A0"/>
    <w:rsid w:val="000E4C6C"/>
    <w:rsid w:val="000E5700"/>
    <w:rsid w:val="000F0C4B"/>
    <w:rsid w:val="000F0E22"/>
    <w:rsid w:val="000F179D"/>
    <w:rsid w:val="00105A04"/>
    <w:rsid w:val="00111E72"/>
    <w:rsid w:val="001169A9"/>
    <w:rsid w:val="00125EB2"/>
    <w:rsid w:val="00126315"/>
    <w:rsid w:val="00132DAF"/>
    <w:rsid w:val="00142A4C"/>
    <w:rsid w:val="00144279"/>
    <w:rsid w:val="001452FF"/>
    <w:rsid w:val="001526E8"/>
    <w:rsid w:val="00154EA0"/>
    <w:rsid w:val="00161916"/>
    <w:rsid w:val="0016617A"/>
    <w:rsid w:val="00167E99"/>
    <w:rsid w:val="00176B4E"/>
    <w:rsid w:val="0019658A"/>
    <w:rsid w:val="001975AB"/>
    <w:rsid w:val="001A00F5"/>
    <w:rsid w:val="001A1F65"/>
    <w:rsid w:val="001A5CE9"/>
    <w:rsid w:val="001C33DC"/>
    <w:rsid w:val="001C50AD"/>
    <w:rsid w:val="001D198C"/>
    <w:rsid w:val="001D22EE"/>
    <w:rsid w:val="001D4C89"/>
    <w:rsid w:val="001E1838"/>
    <w:rsid w:val="001E3145"/>
    <w:rsid w:val="001E6509"/>
    <w:rsid w:val="001E71FF"/>
    <w:rsid w:val="001E7968"/>
    <w:rsid w:val="001F60CA"/>
    <w:rsid w:val="00220790"/>
    <w:rsid w:val="0022180A"/>
    <w:rsid w:val="00223ABC"/>
    <w:rsid w:val="002241B9"/>
    <w:rsid w:val="002264E0"/>
    <w:rsid w:val="002274D9"/>
    <w:rsid w:val="0023455A"/>
    <w:rsid w:val="00237994"/>
    <w:rsid w:val="0024470D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2497"/>
    <w:rsid w:val="003030BF"/>
    <w:rsid w:val="00304F89"/>
    <w:rsid w:val="00306023"/>
    <w:rsid w:val="00311823"/>
    <w:rsid w:val="003226FD"/>
    <w:rsid w:val="00327D5D"/>
    <w:rsid w:val="0034372F"/>
    <w:rsid w:val="00344914"/>
    <w:rsid w:val="00345B51"/>
    <w:rsid w:val="00346917"/>
    <w:rsid w:val="0035084D"/>
    <w:rsid w:val="00354A7B"/>
    <w:rsid w:val="00360FDA"/>
    <w:rsid w:val="00363075"/>
    <w:rsid w:val="0036329C"/>
    <w:rsid w:val="00365BD1"/>
    <w:rsid w:val="00367D18"/>
    <w:rsid w:val="00372A1C"/>
    <w:rsid w:val="0037435A"/>
    <w:rsid w:val="00376CE5"/>
    <w:rsid w:val="00377D8F"/>
    <w:rsid w:val="00383679"/>
    <w:rsid w:val="003A1E68"/>
    <w:rsid w:val="003B0122"/>
    <w:rsid w:val="003B0BE5"/>
    <w:rsid w:val="003B4F6E"/>
    <w:rsid w:val="003C2D53"/>
    <w:rsid w:val="003D18F1"/>
    <w:rsid w:val="003E001E"/>
    <w:rsid w:val="003E1C22"/>
    <w:rsid w:val="003F0DEA"/>
    <w:rsid w:val="003F297A"/>
    <w:rsid w:val="003F7C4D"/>
    <w:rsid w:val="0040075F"/>
    <w:rsid w:val="00403300"/>
    <w:rsid w:val="0041012E"/>
    <w:rsid w:val="004118C0"/>
    <w:rsid w:val="00417A31"/>
    <w:rsid w:val="0042004B"/>
    <w:rsid w:val="00433384"/>
    <w:rsid w:val="0043777D"/>
    <w:rsid w:val="00441F3B"/>
    <w:rsid w:val="00441FD0"/>
    <w:rsid w:val="00444828"/>
    <w:rsid w:val="00455AC4"/>
    <w:rsid w:val="0045767F"/>
    <w:rsid w:val="00463E9B"/>
    <w:rsid w:val="00464924"/>
    <w:rsid w:val="00467414"/>
    <w:rsid w:val="00473F30"/>
    <w:rsid w:val="0048591A"/>
    <w:rsid w:val="00486D86"/>
    <w:rsid w:val="0048721A"/>
    <w:rsid w:val="004A0BD5"/>
    <w:rsid w:val="004A1BBF"/>
    <w:rsid w:val="004A73E5"/>
    <w:rsid w:val="004A7EAE"/>
    <w:rsid w:val="004C19BF"/>
    <w:rsid w:val="004D1001"/>
    <w:rsid w:val="004D7640"/>
    <w:rsid w:val="004E1A9B"/>
    <w:rsid w:val="004E1BB3"/>
    <w:rsid w:val="004F0E07"/>
    <w:rsid w:val="004F1E7A"/>
    <w:rsid w:val="00500AB6"/>
    <w:rsid w:val="005155FB"/>
    <w:rsid w:val="0052077F"/>
    <w:rsid w:val="00522763"/>
    <w:rsid w:val="005228A2"/>
    <w:rsid w:val="00523907"/>
    <w:rsid w:val="00535D86"/>
    <w:rsid w:val="00537C53"/>
    <w:rsid w:val="00540787"/>
    <w:rsid w:val="005438F5"/>
    <w:rsid w:val="00544901"/>
    <w:rsid w:val="005474D3"/>
    <w:rsid w:val="00550737"/>
    <w:rsid w:val="00555DD2"/>
    <w:rsid w:val="00565ED9"/>
    <w:rsid w:val="005760C6"/>
    <w:rsid w:val="00585A1B"/>
    <w:rsid w:val="00587AC2"/>
    <w:rsid w:val="00591260"/>
    <w:rsid w:val="00591314"/>
    <w:rsid w:val="00593727"/>
    <w:rsid w:val="00593D40"/>
    <w:rsid w:val="00595187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5F344E"/>
    <w:rsid w:val="005F6CCF"/>
    <w:rsid w:val="006039E2"/>
    <w:rsid w:val="0060779A"/>
    <w:rsid w:val="00610534"/>
    <w:rsid w:val="00622F13"/>
    <w:rsid w:val="00623396"/>
    <w:rsid w:val="00625503"/>
    <w:rsid w:val="0062662D"/>
    <w:rsid w:val="00632E78"/>
    <w:rsid w:val="006344F1"/>
    <w:rsid w:val="00637186"/>
    <w:rsid w:val="0064616F"/>
    <w:rsid w:val="00646DF4"/>
    <w:rsid w:val="00651DE6"/>
    <w:rsid w:val="006523BB"/>
    <w:rsid w:val="0065347E"/>
    <w:rsid w:val="00654B49"/>
    <w:rsid w:val="00662505"/>
    <w:rsid w:val="0066433C"/>
    <w:rsid w:val="0066674C"/>
    <w:rsid w:val="00674B14"/>
    <w:rsid w:val="006760F7"/>
    <w:rsid w:val="006861C7"/>
    <w:rsid w:val="00686DDF"/>
    <w:rsid w:val="00697B12"/>
    <w:rsid w:val="006A55BB"/>
    <w:rsid w:val="006A7613"/>
    <w:rsid w:val="006B0CC1"/>
    <w:rsid w:val="006B278E"/>
    <w:rsid w:val="006B661A"/>
    <w:rsid w:val="006B7CE7"/>
    <w:rsid w:val="006B7D00"/>
    <w:rsid w:val="006C6BC5"/>
    <w:rsid w:val="006D0C68"/>
    <w:rsid w:val="006D61A2"/>
    <w:rsid w:val="006E128B"/>
    <w:rsid w:val="006E1DB4"/>
    <w:rsid w:val="00712CE1"/>
    <w:rsid w:val="007167C5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7F19CC"/>
    <w:rsid w:val="0080525B"/>
    <w:rsid w:val="00805F53"/>
    <w:rsid w:val="008062C5"/>
    <w:rsid w:val="00806B50"/>
    <w:rsid w:val="0080741A"/>
    <w:rsid w:val="00812E79"/>
    <w:rsid w:val="00814B5B"/>
    <w:rsid w:val="00821D8F"/>
    <w:rsid w:val="00836F34"/>
    <w:rsid w:val="00843E73"/>
    <w:rsid w:val="00844EBF"/>
    <w:rsid w:val="00852842"/>
    <w:rsid w:val="00854F61"/>
    <w:rsid w:val="00864202"/>
    <w:rsid w:val="00870637"/>
    <w:rsid w:val="00873B59"/>
    <w:rsid w:val="00876DC1"/>
    <w:rsid w:val="0087701F"/>
    <w:rsid w:val="0089283D"/>
    <w:rsid w:val="008949D9"/>
    <w:rsid w:val="0089627C"/>
    <w:rsid w:val="008A0ADC"/>
    <w:rsid w:val="008A1BAB"/>
    <w:rsid w:val="008A255F"/>
    <w:rsid w:val="008A30E1"/>
    <w:rsid w:val="008B38B7"/>
    <w:rsid w:val="008B458E"/>
    <w:rsid w:val="008C4D4A"/>
    <w:rsid w:val="008E0A0F"/>
    <w:rsid w:val="008E11AE"/>
    <w:rsid w:val="008E1708"/>
    <w:rsid w:val="008E4844"/>
    <w:rsid w:val="008F427C"/>
    <w:rsid w:val="00904492"/>
    <w:rsid w:val="00904DFB"/>
    <w:rsid w:val="00910774"/>
    <w:rsid w:val="00912D2B"/>
    <w:rsid w:val="0091457B"/>
    <w:rsid w:val="00923763"/>
    <w:rsid w:val="00930ED6"/>
    <w:rsid w:val="0093293F"/>
    <w:rsid w:val="00933105"/>
    <w:rsid w:val="00936C19"/>
    <w:rsid w:val="009410F5"/>
    <w:rsid w:val="00946BB5"/>
    <w:rsid w:val="009474EF"/>
    <w:rsid w:val="00951C24"/>
    <w:rsid w:val="00962626"/>
    <w:rsid w:val="00975A2C"/>
    <w:rsid w:val="009767DD"/>
    <w:rsid w:val="00977AF2"/>
    <w:rsid w:val="00981759"/>
    <w:rsid w:val="00985FC5"/>
    <w:rsid w:val="00993BDD"/>
    <w:rsid w:val="00993D05"/>
    <w:rsid w:val="009A6DFB"/>
    <w:rsid w:val="009B3036"/>
    <w:rsid w:val="009B6EC0"/>
    <w:rsid w:val="009C7FAF"/>
    <w:rsid w:val="009D4199"/>
    <w:rsid w:val="009E5E6A"/>
    <w:rsid w:val="009F01A2"/>
    <w:rsid w:val="009F0DD5"/>
    <w:rsid w:val="009F1B95"/>
    <w:rsid w:val="009F6C05"/>
    <w:rsid w:val="00A13CB6"/>
    <w:rsid w:val="00A14A1A"/>
    <w:rsid w:val="00A22CDD"/>
    <w:rsid w:val="00A253AB"/>
    <w:rsid w:val="00A25AEE"/>
    <w:rsid w:val="00A31EB1"/>
    <w:rsid w:val="00A33AEA"/>
    <w:rsid w:val="00A408EF"/>
    <w:rsid w:val="00A461CD"/>
    <w:rsid w:val="00A469C5"/>
    <w:rsid w:val="00A5317D"/>
    <w:rsid w:val="00A6284E"/>
    <w:rsid w:val="00A63E81"/>
    <w:rsid w:val="00A6692E"/>
    <w:rsid w:val="00A8172A"/>
    <w:rsid w:val="00A8775A"/>
    <w:rsid w:val="00A9184E"/>
    <w:rsid w:val="00A92D96"/>
    <w:rsid w:val="00AA5998"/>
    <w:rsid w:val="00AB07E7"/>
    <w:rsid w:val="00AD1BA8"/>
    <w:rsid w:val="00AD61A3"/>
    <w:rsid w:val="00AF7C89"/>
    <w:rsid w:val="00B02A29"/>
    <w:rsid w:val="00B03522"/>
    <w:rsid w:val="00B04AD6"/>
    <w:rsid w:val="00B14CAA"/>
    <w:rsid w:val="00B228F1"/>
    <w:rsid w:val="00B257CE"/>
    <w:rsid w:val="00B350AD"/>
    <w:rsid w:val="00B350CC"/>
    <w:rsid w:val="00B4746C"/>
    <w:rsid w:val="00B54527"/>
    <w:rsid w:val="00B6265E"/>
    <w:rsid w:val="00B65354"/>
    <w:rsid w:val="00B71A0E"/>
    <w:rsid w:val="00B76D61"/>
    <w:rsid w:val="00B81765"/>
    <w:rsid w:val="00B832F5"/>
    <w:rsid w:val="00B91A0A"/>
    <w:rsid w:val="00BA1895"/>
    <w:rsid w:val="00BA2FAB"/>
    <w:rsid w:val="00BB5E28"/>
    <w:rsid w:val="00BD15F3"/>
    <w:rsid w:val="00BD53EF"/>
    <w:rsid w:val="00BD7986"/>
    <w:rsid w:val="00BD79D3"/>
    <w:rsid w:val="00BF5884"/>
    <w:rsid w:val="00C04F82"/>
    <w:rsid w:val="00C15AC0"/>
    <w:rsid w:val="00C17277"/>
    <w:rsid w:val="00C23847"/>
    <w:rsid w:val="00C26030"/>
    <w:rsid w:val="00C40681"/>
    <w:rsid w:val="00C41091"/>
    <w:rsid w:val="00C4401B"/>
    <w:rsid w:val="00C51D58"/>
    <w:rsid w:val="00C63056"/>
    <w:rsid w:val="00C661D1"/>
    <w:rsid w:val="00C71D51"/>
    <w:rsid w:val="00C7553C"/>
    <w:rsid w:val="00C775BA"/>
    <w:rsid w:val="00C85331"/>
    <w:rsid w:val="00C85500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E61BF"/>
    <w:rsid w:val="00CF565C"/>
    <w:rsid w:val="00D016A3"/>
    <w:rsid w:val="00D14E74"/>
    <w:rsid w:val="00D251AA"/>
    <w:rsid w:val="00D512E3"/>
    <w:rsid w:val="00D525F9"/>
    <w:rsid w:val="00D573C1"/>
    <w:rsid w:val="00D602C9"/>
    <w:rsid w:val="00D807DA"/>
    <w:rsid w:val="00DA26A9"/>
    <w:rsid w:val="00DA433D"/>
    <w:rsid w:val="00DB01FF"/>
    <w:rsid w:val="00DB5AA6"/>
    <w:rsid w:val="00DC261A"/>
    <w:rsid w:val="00DC7778"/>
    <w:rsid w:val="00DD366B"/>
    <w:rsid w:val="00DE7391"/>
    <w:rsid w:val="00DF2DB5"/>
    <w:rsid w:val="00DF6560"/>
    <w:rsid w:val="00E04CC0"/>
    <w:rsid w:val="00E136FF"/>
    <w:rsid w:val="00E32528"/>
    <w:rsid w:val="00E35F26"/>
    <w:rsid w:val="00E53165"/>
    <w:rsid w:val="00E557B1"/>
    <w:rsid w:val="00E61EF7"/>
    <w:rsid w:val="00E663B4"/>
    <w:rsid w:val="00E71759"/>
    <w:rsid w:val="00E73C19"/>
    <w:rsid w:val="00E80CEB"/>
    <w:rsid w:val="00E816ED"/>
    <w:rsid w:val="00EA5103"/>
    <w:rsid w:val="00EA6FB9"/>
    <w:rsid w:val="00EB2E28"/>
    <w:rsid w:val="00EB5E6A"/>
    <w:rsid w:val="00EC2AD7"/>
    <w:rsid w:val="00ED7DE0"/>
    <w:rsid w:val="00ED7F01"/>
    <w:rsid w:val="00EE171D"/>
    <w:rsid w:val="00EE7891"/>
    <w:rsid w:val="00EF49FE"/>
    <w:rsid w:val="00EF5341"/>
    <w:rsid w:val="00EF5E71"/>
    <w:rsid w:val="00F01D38"/>
    <w:rsid w:val="00F022C1"/>
    <w:rsid w:val="00F04908"/>
    <w:rsid w:val="00F07C21"/>
    <w:rsid w:val="00F12EF6"/>
    <w:rsid w:val="00F21065"/>
    <w:rsid w:val="00F225A5"/>
    <w:rsid w:val="00F24CB4"/>
    <w:rsid w:val="00F31E44"/>
    <w:rsid w:val="00F43465"/>
    <w:rsid w:val="00F45475"/>
    <w:rsid w:val="00F64E72"/>
    <w:rsid w:val="00F65424"/>
    <w:rsid w:val="00F70C7D"/>
    <w:rsid w:val="00F72042"/>
    <w:rsid w:val="00F9272E"/>
    <w:rsid w:val="00F97743"/>
    <w:rsid w:val="00FA6DAF"/>
    <w:rsid w:val="00FC6884"/>
    <w:rsid w:val="00FE566B"/>
    <w:rsid w:val="00FE62F3"/>
    <w:rsid w:val="00FF71D2"/>
    <w:rsid w:val="05C14C3D"/>
    <w:rsid w:val="06D870D9"/>
    <w:rsid w:val="09293304"/>
    <w:rsid w:val="0DB43078"/>
    <w:rsid w:val="13877630"/>
    <w:rsid w:val="140C1569"/>
    <w:rsid w:val="19040FC4"/>
    <w:rsid w:val="1B2418A5"/>
    <w:rsid w:val="1DB63878"/>
    <w:rsid w:val="1FBFC074"/>
    <w:rsid w:val="20243BCC"/>
    <w:rsid w:val="21283172"/>
    <w:rsid w:val="255F2A47"/>
    <w:rsid w:val="25652EDE"/>
    <w:rsid w:val="31014425"/>
    <w:rsid w:val="33645A78"/>
    <w:rsid w:val="33B14BC3"/>
    <w:rsid w:val="35902FA2"/>
    <w:rsid w:val="36C720A4"/>
    <w:rsid w:val="36FB9E1F"/>
    <w:rsid w:val="381946E1"/>
    <w:rsid w:val="39B003B6"/>
    <w:rsid w:val="3A50345B"/>
    <w:rsid w:val="3B9D79CE"/>
    <w:rsid w:val="3BFA3B96"/>
    <w:rsid w:val="3CEF3472"/>
    <w:rsid w:val="3E120292"/>
    <w:rsid w:val="3EFF16E9"/>
    <w:rsid w:val="420E5181"/>
    <w:rsid w:val="434A043B"/>
    <w:rsid w:val="47FA75D9"/>
    <w:rsid w:val="4A8232F8"/>
    <w:rsid w:val="519A07DF"/>
    <w:rsid w:val="567D5022"/>
    <w:rsid w:val="5A0C5FF2"/>
    <w:rsid w:val="5B7F07AB"/>
    <w:rsid w:val="5DA14CA4"/>
    <w:rsid w:val="63100A20"/>
    <w:rsid w:val="644A563F"/>
    <w:rsid w:val="64AA4AE5"/>
    <w:rsid w:val="71954707"/>
    <w:rsid w:val="7206621D"/>
    <w:rsid w:val="73AF2A42"/>
    <w:rsid w:val="76676633"/>
    <w:rsid w:val="77CF73AC"/>
    <w:rsid w:val="78FF0116"/>
    <w:rsid w:val="7B915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72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C172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172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qFormat/>
    <w:rsid w:val="00C172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autoRedefine/>
    <w:uiPriority w:val="34"/>
    <w:qFormat/>
    <w:rsid w:val="00036D9D"/>
    <w:pPr>
      <w:spacing w:line="460" w:lineRule="exact"/>
      <w:ind w:firstLineChars="200" w:firstLine="480"/>
    </w:pPr>
    <w:rPr>
      <w:rFonts w:ascii="宋体" w:hAnsi="宋体"/>
      <w:sz w:val="24"/>
    </w:rPr>
  </w:style>
  <w:style w:type="paragraph" w:customStyle="1" w:styleId="CharCharChar">
    <w:name w:val="Char Char Char"/>
    <w:basedOn w:val="a"/>
    <w:autoRedefine/>
    <w:qFormat/>
    <w:rsid w:val="00C17277"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autoRedefine/>
    <w:qFormat/>
    <w:rsid w:val="00C17277"/>
  </w:style>
  <w:style w:type="paragraph" w:customStyle="1" w:styleId="CharCharChar1">
    <w:name w:val="Char Char Char1"/>
    <w:basedOn w:val="a"/>
    <w:autoRedefine/>
    <w:qFormat/>
    <w:rsid w:val="00C17277"/>
  </w:style>
  <w:style w:type="character" w:customStyle="1" w:styleId="Char">
    <w:name w:val="页脚 Char"/>
    <w:basedOn w:val="a0"/>
    <w:link w:val="a3"/>
    <w:autoRedefine/>
    <w:qFormat/>
    <w:rsid w:val="00C17277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sid w:val="00C17277"/>
    <w:rPr>
      <w:kern w:val="2"/>
      <w:sz w:val="18"/>
      <w:szCs w:val="18"/>
    </w:rPr>
  </w:style>
  <w:style w:type="paragraph" w:styleId="a5">
    <w:name w:val="List Paragraph"/>
    <w:basedOn w:val="a"/>
    <w:autoRedefine/>
    <w:uiPriority w:val="99"/>
    <w:qFormat/>
    <w:rsid w:val="00C17277"/>
    <w:pPr>
      <w:ind w:firstLineChars="200" w:firstLine="420"/>
    </w:pPr>
  </w:style>
  <w:style w:type="character" w:customStyle="1" w:styleId="HTMLChar">
    <w:name w:val="HTML 预设格式 Char"/>
    <w:basedOn w:val="a0"/>
    <w:link w:val="HTML"/>
    <w:autoRedefine/>
    <w:uiPriority w:val="99"/>
    <w:qFormat/>
    <w:rsid w:val="00C17277"/>
    <w:rPr>
      <w:rFonts w:ascii="宋体" w:hAnsi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984093-38BE-478A-801D-767772D80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337</Words>
  <Characters>1926</Characters>
  <Application>Microsoft Office Word</Application>
  <DocSecurity>0</DocSecurity>
  <Lines>16</Lines>
  <Paragraphs>4</Paragraphs>
  <ScaleCrop>false</ScaleCrop>
  <Company>微软中国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gyb1</cp:lastModifiedBy>
  <cp:revision>49</cp:revision>
  <cp:lastPrinted>2024-07-26T07:14:00Z</cp:lastPrinted>
  <dcterms:created xsi:type="dcterms:W3CDTF">2024-08-14T05:30:00Z</dcterms:created>
  <dcterms:modified xsi:type="dcterms:W3CDTF">2024-08-20T06:22:00Z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0E976B954EC54E30B9BB8A1672504CA1_13</vt:lpwstr>
  </property>
</Properties>
</file>