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A51C77">
      <w:pPr>
        <w:pStyle w:val="15"/>
        <w:spacing w:before="156" w:beforeLines="50" w:after="156" w:afterLines="50" w:line="400" w:lineRule="exact"/>
        <w:rPr>
          <w:rFonts w:hint="eastAsia" w:eastAsia="宋体"/>
          <w:bCs/>
          <w:iCs/>
          <w:color w:val="000000"/>
          <w:sz w:val="24"/>
          <w:lang w:eastAsia="zh-CN"/>
        </w:rPr>
      </w:pPr>
      <w:r>
        <w:rPr>
          <w:bCs/>
          <w:iCs/>
          <w:color w:val="000000"/>
          <w:sz w:val="24"/>
        </w:rPr>
        <w:t>证券代码：603551                                          证券简称：奥普</w:t>
      </w:r>
      <w:r>
        <w:rPr>
          <w:rFonts w:hint="eastAsia"/>
          <w:bCs/>
          <w:iCs/>
          <w:color w:val="000000"/>
          <w:sz w:val="24"/>
          <w:lang w:val="en-US" w:eastAsia="zh-CN"/>
        </w:rPr>
        <w:t>科技</w:t>
      </w:r>
    </w:p>
    <w:p w14:paraId="5FE1DA54">
      <w:pPr>
        <w:pStyle w:val="15"/>
        <w:spacing w:before="156" w:beforeLines="50" w:after="156" w:afterLines="50" w:line="400" w:lineRule="exact"/>
        <w:ind w:firstLine="720" w:firstLineChars="300"/>
        <w:rPr>
          <w:bCs/>
          <w:iCs/>
          <w:color w:val="000000"/>
          <w:sz w:val="24"/>
        </w:rPr>
      </w:pPr>
    </w:p>
    <w:p w14:paraId="1D06333E">
      <w:pPr>
        <w:pStyle w:val="15"/>
        <w:spacing w:before="156" w:beforeLines="50" w:after="156" w:afterLines="50" w:line="400" w:lineRule="exact"/>
        <w:jc w:val="center"/>
        <w:rPr>
          <w:b/>
          <w:bCs/>
          <w:iCs/>
          <w:color w:val="000000"/>
          <w:sz w:val="32"/>
          <w:szCs w:val="32"/>
        </w:rPr>
      </w:pPr>
      <w:r>
        <w:rPr>
          <w:b/>
          <w:bCs/>
          <w:iCs/>
          <w:color w:val="000000"/>
          <w:sz w:val="32"/>
          <w:szCs w:val="32"/>
        </w:rPr>
        <w:t>奥普</w:t>
      </w:r>
      <w:r>
        <w:rPr>
          <w:rFonts w:hint="eastAsia"/>
          <w:b/>
          <w:bCs/>
          <w:iCs/>
          <w:color w:val="000000"/>
          <w:sz w:val="32"/>
          <w:szCs w:val="32"/>
          <w:lang w:val="en-US" w:eastAsia="zh-CN"/>
        </w:rPr>
        <w:t>智能科技</w:t>
      </w:r>
      <w:r>
        <w:rPr>
          <w:b/>
          <w:bCs/>
          <w:iCs/>
          <w:color w:val="000000"/>
          <w:sz w:val="32"/>
          <w:szCs w:val="32"/>
        </w:rPr>
        <w:t>股份有限公司</w:t>
      </w:r>
    </w:p>
    <w:p w14:paraId="702E2E51">
      <w:pPr>
        <w:pStyle w:val="15"/>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14:paraId="53576B26">
      <w:pPr>
        <w:pStyle w:val="15"/>
        <w:spacing w:line="400" w:lineRule="exact"/>
        <w:rPr>
          <w:rFonts w:hint="eastAsia" w:eastAsia="宋体"/>
          <w:bCs/>
          <w:iCs/>
          <w:sz w:val="24"/>
          <w:lang w:eastAsia="zh-CN"/>
        </w:rPr>
      </w:pPr>
      <w:r>
        <w:rPr>
          <w:bCs/>
          <w:iCs/>
          <w:color w:val="000000"/>
          <w:sz w:val="24"/>
        </w:rPr>
        <w:t xml:space="preserve">                                                    </w:t>
      </w:r>
      <w:r>
        <w:rPr>
          <w:rFonts w:hint="eastAsia"/>
          <w:bCs/>
          <w:iCs/>
          <w:color w:val="000000"/>
          <w:sz w:val="24"/>
        </w:rPr>
        <w:t xml:space="preserve">    </w:t>
      </w:r>
      <w:r>
        <w:rPr>
          <w:bCs/>
          <w:iCs/>
          <w:color w:val="000000"/>
          <w:sz w:val="24"/>
        </w:rPr>
        <w:t xml:space="preserve">  编号：202</w:t>
      </w:r>
      <w:r>
        <w:rPr>
          <w:rFonts w:hint="eastAsia"/>
          <w:bCs/>
          <w:iCs/>
          <w:sz w:val="24"/>
        </w:rPr>
        <w:t>4</w:t>
      </w:r>
      <w:r>
        <w:rPr>
          <w:bCs/>
          <w:iCs/>
          <w:sz w:val="24"/>
        </w:rPr>
        <w:t>-00</w:t>
      </w:r>
      <w:r>
        <w:rPr>
          <w:rFonts w:hint="eastAsia"/>
          <w:bCs/>
          <w:iCs/>
          <w:sz w:val="24"/>
          <w:lang w:val="en-US" w:eastAsia="zh-CN"/>
        </w:rPr>
        <w:t>2</w:t>
      </w:r>
    </w:p>
    <w:tbl>
      <w:tblPr>
        <w:tblStyle w:val="9"/>
        <w:tblW w:w="90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80"/>
      </w:tblGrid>
      <w:tr w14:paraId="3A38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6E976CE">
            <w:pPr>
              <w:pStyle w:val="15"/>
              <w:spacing w:line="360" w:lineRule="auto"/>
              <w:rPr>
                <w:b/>
                <w:bCs/>
                <w:iCs/>
                <w:color w:val="000000"/>
                <w:sz w:val="24"/>
              </w:rPr>
            </w:pPr>
            <w:r>
              <w:rPr>
                <w:b/>
                <w:bCs/>
                <w:iCs/>
                <w:color w:val="000000"/>
                <w:sz w:val="24"/>
              </w:rPr>
              <w:t>投资者关系活动类别</w:t>
            </w:r>
          </w:p>
        </w:tc>
        <w:tc>
          <w:tcPr>
            <w:tcW w:w="7080" w:type="dxa"/>
          </w:tcPr>
          <w:p w14:paraId="1353EA56">
            <w:pPr>
              <w:pStyle w:val="15"/>
              <w:snapToGrid w:val="0"/>
              <w:spacing w:line="480" w:lineRule="atLeast"/>
              <w:rPr>
                <w:bCs/>
                <w:iCs/>
                <w:color w:val="000000"/>
                <w:sz w:val="24"/>
              </w:rPr>
            </w:pPr>
            <w:r>
              <w:rPr>
                <w:bCs/>
                <w:iCs/>
                <w:color w:val="000000"/>
                <w:sz w:val="24"/>
              </w:rPr>
              <w:sym w:font="Wingdings 2" w:char="00A3"/>
            </w:r>
            <w:r>
              <w:rPr>
                <w:sz w:val="24"/>
              </w:rPr>
              <w:t xml:space="preserve">特定对象调研        </w:t>
            </w:r>
            <w:r>
              <w:rPr>
                <w:bCs/>
                <w:iCs/>
                <w:color w:val="000000"/>
                <w:sz w:val="24"/>
              </w:rPr>
              <w:sym w:font="Wingdings 2" w:char="00A3"/>
            </w:r>
            <w:r>
              <w:rPr>
                <w:sz w:val="24"/>
              </w:rPr>
              <w:t>分析师会议</w:t>
            </w:r>
          </w:p>
          <w:p w14:paraId="6A79B2DC">
            <w:pPr>
              <w:pStyle w:val="15"/>
              <w:snapToGrid w:val="0"/>
              <w:spacing w:line="480" w:lineRule="atLeast"/>
              <w:rPr>
                <w:bCs/>
                <w:iCs/>
                <w:color w:val="000000"/>
                <w:sz w:val="24"/>
              </w:rPr>
            </w:pPr>
            <w:r>
              <w:rPr>
                <w:bCs/>
                <w:iCs/>
                <w:color w:val="000000"/>
                <w:sz w:val="24"/>
              </w:rPr>
              <w:sym w:font="Wingdings 2" w:char="00A3"/>
            </w:r>
            <w:r>
              <w:rPr>
                <w:sz w:val="24"/>
              </w:rPr>
              <w:t xml:space="preserve">媒体采访            </w:t>
            </w:r>
            <w:r>
              <w:rPr>
                <w:bCs/>
                <w:iCs/>
                <w:color w:val="000000"/>
                <w:sz w:val="24"/>
              </w:rPr>
              <w:sym w:font="Wingdings 2" w:char="0052"/>
            </w:r>
            <w:r>
              <w:rPr>
                <w:sz w:val="24"/>
              </w:rPr>
              <w:t>业绩说明会</w:t>
            </w:r>
          </w:p>
          <w:p w14:paraId="130F50E5">
            <w:pPr>
              <w:pStyle w:val="15"/>
              <w:snapToGrid w:val="0"/>
              <w:spacing w:line="480" w:lineRule="atLeast"/>
              <w:rPr>
                <w:bCs/>
                <w:iCs/>
                <w:color w:val="000000"/>
                <w:sz w:val="24"/>
              </w:rPr>
            </w:pPr>
            <w:r>
              <w:rPr>
                <w:bCs/>
                <w:iCs/>
                <w:color w:val="000000"/>
                <w:sz w:val="24"/>
              </w:rPr>
              <w:sym w:font="Wingdings 2" w:char="00A3"/>
            </w:r>
            <w:r>
              <w:rPr>
                <w:sz w:val="24"/>
              </w:rPr>
              <w:t xml:space="preserve">新闻发布会          </w:t>
            </w:r>
            <w:r>
              <w:rPr>
                <w:bCs/>
                <w:iCs/>
                <w:color w:val="000000"/>
                <w:sz w:val="24"/>
              </w:rPr>
              <w:sym w:font="Wingdings 2" w:char="00A3"/>
            </w:r>
            <w:r>
              <w:rPr>
                <w:sz w:val="24"/>
              </w:rPr>
              <w:t>路演活动</w:t>
            </w:r>
          </w:p>
          <w:p w14:paraId="625DBB8D">
            <w:pPr>
              <w:pStyle w:val="15"/>
              <w:tabs>
                <w:tab w:val="left" w:pos="3045"/>
                <w:tab w:val="center" w:pos="3199"/>
              </w:tabs>
              <w:snapToGrid w:val="0"/>
              <w:spacing w:line="480" w:lineRule="atLeast"/>
              <w:rPr>
                <w:bCs/>
                <w:iCs/>
                <w:color w:val="000000"/>
                <w:sz w:val="24"/>
              </w:rPr>
            </w:pPr>
            <w:r>
              <w:rPr>
                <w:bCs/>
                <w:iCs/>
                <w:color w:val="000000"/>
                <w:sz w:val="24"/>
              </w:rPr>
              <w:sym w:font="Wingdings 2" w:char="00A3"/>
            </w:r>
            <w:r>
              <w:rPr>
                <w:sz w:val="24"/>
              </w:rPr>
              <w:t>现场参观</w:t>
            </w:r>
          </w:p>
          <w:p w14:paraId="0596ADEB">
            <w:pPr>
              <w:pStyle w:val="15"/>
              <w:tabs>
                <w:tab w:val="center" w:pos="3199"/>
              </w:tabs>
              <w:snapToGrid w:val="0"/>
              <w:spacing w:line="480" w:lineRule="atLeast"/>
              <w:rPr>
                <w:bCs/>
                <w:iCs/>
                <w:color w:val="000000"/>
                <w:sz w:val="24"/>
              </w:rPr>
            </w:pPr>
            <w:r>
              <w:rPr>
                <w:bCs/>
                <w:iCs/>
                <w:color w:val="000000"/>
                <w:sz w:val="24"/>
              </w:rPr>
              <w:sym w:font="Wingdings 2" w:char="00A3"/>
            </w:r>
            <w:r>
              <w:rPr>
                <w:sz w:val="24"/>
              </w:rPr>
              <w:t>其他 （</w:t>
            </w:r>
            <w:r>
              <w:rPr>
                <w:sz w:val="24"/>
                <w:u w:val="single"/>
              </w:rPr>
              <w:t>请文字说明其他活动内容）</w:t>
            </w:r>
          </w:p>
        </w:tc>
      </w:tr>
      <w:tr w14:paraId="5A7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4992951">
            <w:pPr>
              <w:pStyle w:val="15"/>
              <w:spacing w:line="360" w:lineRule="auto"/>
              <w:rPr>
                <w:b/>
                <w:bCs/>
                <w:iCs/>
                <w:color w:val="000000"/>
                <w:sz w:val="24"/>
              </w:rPr>
            </w:pPr>
            <w:r>
              <w:rPr>
                <w:b/>
                <w:bCs/>
                <w:iCs/>
                <w:color w:val="000000"/>
                <w:sz w:val="24"/>
              </w:rPr>
              <w:t>时间</w:t>
            </w:r>
          </w:p>
        </w:tc>
        <w:tc>
          <w:tcPr>
            <w:tcW w:w="7080" w:type="dxa"/>
            <w:vAlign w:val="center"/>
          </w:tcPr>
          <w:p w14:paraId="5084B2BE">
            <w:pPr>
              <w:pStyle w:val="15"/>
              <w:spacing w:line="360" w:lineRule="auto"/>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lang w:val="en-US" w:eastAsia="zh-CN"/>
              </w:rPr>
              <w:t>8</w:t>
            </w:r>
            <w:r>
              <w:rPr>
                <w:bCs/>
                <w:iCs/>
                <w:color w:val="000000"/>
                <w:sz w:val="24"/>
              </w:rPr>
              <w:t>月</w:t>
            </w:r>
            <w:r>
              <w:rPr>
                <w:rFonts w:hint="eastAsia"/>
                <w:bCs/>
                <w:iCs/>
                <w:color w:val="000000"/>
                <w:sz w:val="24"/>
                <w:lang w:val="en-US" w:eastAsia="zh-CN"/>
              </w:rPr>
              <w:t>26</w:t>
            </w:r>
            <w:r>
              <w:rPr>
                <w:bCs/>
                <w:iCs/>
                <w:color w:val="000000"/>
                <w:sz w:val="24"/>
              </w:rPr>
              <w:t>日</w:t>
            </w:r>
          </w:p>
        </w:tc>
      </w:tr>
      <w:tr w14:paraId="6F57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004E73E">
            <w:pPr>
              <w:pStyle w:val="15"/>
              <w:spacing w:line="360" w:lineRule="auto"/>
              <w:rPr>
                <w:b/>
                <w:bCs/>
                <w:iCs/>
                <w:color w:val="000000"/>
                <w:sz w:val="24"/>
              </w:rPr>
            </w:pPr>
            <w:r>
              <w:rPr>
                <w:b/>
                <w:bCs/>
                <w:iCs/>
                <w:color w:val="000000"/>
                <w:sz w:val="24"/>
              </w:rPr>
              <w:t>方式</w:t>
            </w:r>
          </w:p>
        </w:tc>
        <w:tc>
          <w:tcPr>
            <w:tcW w:w="7080" w:type="dxa"/>
            <w:vAlign w:val="center"/>
          </w:tcPr>
          <w:p w14:paraId="213394F8">
            <w:pPr>
              <w:pStyle w:val="15"/>
              <w:spacing w:line="360" w:lineRule="auto"/>
              <w:rPr>
                <w:bCs/>
                <w:iCs/>
                <w:color w:val="000000"/>
                <w:sz w:val="24"/>
              </w:rPr>
            </w:pPr>
            <w:r>
              <w:rPr>
                <w:rFonts w:hint="eastAsia"/>
                <w:bCs/>
                <w:iCs/>
                <w:color w:val="000000"/>
                <w:sz w:val="24"/>
              </w:rPr>
              <w:t>网络</w:t>
            </w:r>
            <w:r>
              <w:rPr>
                <w:bCs/>
                <w:iCs/>
                <w:color w:val="000000"/>
                <w:sz w:val="24"/>
              </w:rPr>
              <w:t>互动</w:t>
            </w:r>
          </w:p>
        </w:tc>
      </w:tr>
      <w:tr w14:paraId="3A0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5153727">
            <w:pPr>
              <w:pStyle w:val="15"/>
              <w:spacing w:line="360" w:lineRule="auto"/>
              <w:rPr>
                <w:b/>
                <w:bCs/>
                <w:iCs/>
                <w:color w:val="000000"/>
                <w:sz w:val="24"/>
              </w:rPr>
            </w:pPr>
            <w:r>
              <w:rPr>
                <w:b/>
                <w:bCs/>
                <w:iCs/>
                <w:color w:val="000000"/>
                <w:sz w:val="24"/>
              </w:rPr>
              <w:t>上市公司接待人员姓名</w:t>
            </w:r>
          </w:p>
        </w:tc>
        <w:tc>
          <w:tcPr>
            <w:tcW w:w="7080" w:type="dxa"/>
            <w:vAlign w:val="center"/>
          </w:tcPr>
          <w:p w14:paraId="21C4E766">
            <w:pPr>
              <w:pStyle w:val="15"/>
              <w:spacing w:line="360" w:lineRule="auto"/>
              <w:jc w:val="left"/>
              <w:rPr>
                <w:bCs/>
                <w:iCs/>
                <w:color w:val="000000"/>
                <w:sz w:val="24"/>
              </w:rPr>
            </w:pPr>
            <w:r>
              <w:rPr>
                <w:bCs/>
                <w:iCs/>
                <w:color w:val="000000"/>
                <w:sz w:val="24"/>
              </w:rPr>
              <w:t>公司董事长Fang James先生、</w:t>
            </w:r>
            <w:r>
              <w:rPr>
                <w:rFonts w:hint="eastAsia"/>
                <w:bCs/>
                <w:iCs/>
                <w:color w:val="000000"/>
                <w:sz w:val="24"/>
              </w:rPr>
              <w:t>总经理方胜康先生、</w:t>
            </w:r>
            <w:r>
              <w:rPr>
                <w:bCs/>
                <w:iCs/>
                <w:color w:val="000000"/>
                <w:sz w:val="24"/>
              </w:rPr>
              <w:t>独立董事</w:t>
            </w:r>
            <w:r>
              <w:rPr>
                <w:rFonts w:hint="eastAsia"/>
                <w:bCs/>
                <w:iCs/>
                <w:color w:val="000000"/>
                <w:sz w:val="24"/>
                <w:lang w:val="en-US" w:eastAsia="zh-CN"/>
              </w:rPr>
              <w:t>李井奎</w:t>
            </w:r>
            <w:r>
              <w:rPr>
                <w:bCs/>
                <w:iCs/>
                <w:color w:val="000000"/>
                <w:sz w:val="24"/>
              </w:rPr>
              <w:t>先生、财务总监刘文龙先生、董事会秘书李洁女士</w:t>
            </w:r>
          </w:p>
        </w:tc>
      </w:tr>
      <w:tr w14:paraId="6665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980" w:type="dxa"/>
            <w:vAlign w:val="center"/>
          </w:tcPr>
          <w:p w14:paraId="3146E2FD">
            <w:pPr>
              <w:pStyle w:val="15"/>
              <w:spacing w:line="360" w:lineRule="auto"/>
              <w:rPr>
                <w:b/>
                <w:bCs/>
                <w:iCs/>
                <w:color w:val="000000"/>
                <w:sz w:val="24"/>
              </w:rPr>
            </w:pPr>
            <w:r>
              <w:rPr>
                <w:b/>
                <w:bCs/>
                <w:iCs/>
                <w:color w:val="000000"/>
                <w:sz w:val="24"/>
              </w:rPr>
              <w:t>投资者关系活动主要内容介绍</w:t>
            </w:r>
          </w:p>
        </w:tc>
        <w:tc>
          <w:tcPr>
            <w:tcW w:w="7080" w:type="dxa"/>
          </w:tcPr>
          <w:p w14:paraId="60B6B6C6">
            <w:pPr>
              <w:pStyle w:val="7"/>
              <w:numPr>
                <w:ilvl w:val="0"/>
                <w:numId w:val="1"/>
              </w:numPr>
              <w:snapToGrid w:val="0"/>
              <w:spacing w:line="360" w:lineRule="auto"/>
              <w:rPr>
                <w:rFonts w:hint="default"/>
                <w:b/>
                <w:sz w:val="24"/>
                <w:szCs w:val="24"/>
              </w:rPr>
            </w:pPr>
            <w:r>
              <w:rPr>
                <w:b/>
                <w:sz w:val="24"/>
                <w:szCs w:val="24"/>
              </w:rPr>
              <w:t>公司简介</w:t>
            </w:r>
          </w:p>
          <w:p w14:paraId="7E82D34E">
            <w:pPr>
              <w:spacing w:line="360" w:lineRule="auto"/>
              <w:ind w:firstLine="480" w:firstLineChars="200"/>
              <w:rPr>
                <w:rFonts w:hint="eastAsia"/>
                <w:sz w:val="24"/>
                <w:szCs w:val="24"/>
              </w:rPr>
            </w:pPr>
            <w:r>
              <w:rPr>
                <w:rFonts w:hint="eastAsia"/>
                <w:sz w:val="24"/>
                <w:szCs w:val="24"/>
              </w:rPr>
              <w:t>各位投资者朋友们大家好，欢迎参加奥普智能科技股份有限公司2024年半年度业绩说明会！我是奥普科技董事长FANG JAMES，很高兴通过上证路演中心平台向各位汇报公司报告期内的业绩经营及分红情况，今天一起参加本场会议的还有独立董事李井奎先生、总经理方胜康先生、财务总监刘文龙先生、董事会秘书李洁女士。</w:t>
            </w:r>
          </w:p>
          <w:p w14:paraId="508EE29A">
            <w:pPr>
              <w:spacing w:line="360" w:lineRule="auto"/>
              <w:ind w:firstLine="480" w:firstLineChars="200"/>
              <w:rPr>
                <w:rFonts w:hint="eastAsia"/>
                <w:sz w:val="24"/>
                <w:szCs w:val="24"/>
              </w:rPr>
            </w:pPr>
            <w:r>
              <w:rPr>
                <w:rFonts w:hint="eastAsia"/>
                <w:sz w:val="24"/>
                <w:szCs w:val="24"/>
              </w:rPr>
              <w:t>2024年半年度，公司持续践行“奥普不只是浴霸”、“浴霸不只是取暖”、“一站式空间解决方案”的经营战略，秉持“电器+家居”双基因的发展路径，围绕浴室、厨房和阳台这三个顶部空间布局产品矩阵。电器类产品立足于浴霸核心科技，将产品延伸至美容舱浴霸、空气管家双氧浴霸、晾衣机、厨房空调、光源照明、通风扇等产品，朝着功能化、智能化的方向发展；家居类产品以集成吊顶、集成墙面等材料为依托，充分结合电器产品在性能和成本端的优势，通过不断设计优化和组合方案融合，构建了浴室、厨房、阳台的一站式空间解决方案。</w:t>
            </w:r>
          </w:p>
          <w:p w14:paraId="0E6667A2">
            <w:pPr>
              <w:spacing w:line="360" w:lineRule="auto"/>
              <w:ind w:firstLine="480" w:firstLineChars="200"/>
              <w:rPr>
                <w:rFonts w:hint="eastAsia"/>
                <w:sz w:val="24"/>
                <w:szCs w:val="24"/>
              </w:rPr>
            </w:pPr>
            <w:r>
              <w:rPr>
                <w:rFonts w:hint="eastAsia"/>
                <w:sz w:val="24"/>
                <w:szCs w:val="24"/>
              </w:rPr>
              <w:t>公司通过完善营销网络精细化渠道建设、持续技术研发投入多元化产品创新、精进供应链管理体系规范化成本管理等举措实现公司业绩稳定，2024年上半年营业收入8.62亿元，同比增长0.03%，归母净利润1.23亿元，同比减少4.43%。</w:t>
            </w:r>
          </w:p>
          <w:p w14:paraId="701F1816">
            <w:pPr>
              <w:pStyle w:val="7"/>
              <w:numPr>
                <w:ilvl w:val="0"/>
                <w:numId w:val="1"/>
              </w:numPr>
              <w:snapToGrid w:val="0"/>
              <w:spacing w:line="360" w:lineRule="auto"/>
              <w:rPr>
                <w:rFonts w:hint="default"/>
                <w:b/>
                <w:sz w:val="24"/>
                <w:szCs w:val="24"/>
              </w:rPr>
            </w:pPr>
            <w:r>
              <w:rPr>
                <w:rFonts w:hint="default"/>
                <w:b/>
                <w:sz w:val="24"/>
                <w:szCs w:val="24"/>
              </w:rPr>
              <w:t>互动问答</w:t>
            </w:r>
          </w:p>
          <w:p w14:paraId="3C854817">
            <w:pPr>
              <w:spacing w:line="360" w:lineRule="auto"/>
              <w:ind w:firstLine="482" w:firstLineChars="200"/>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Q1</w:t>
            </w:r>
            <w:r>
              <w:rPr>
                <w:rFonts w:hint="eastAsia" w:cs="Times New Roman"/>
                <w:b/>
                <w:bCs/>
                <w:sz w:val="24"/>
                <w:szCs w:val="24"/>
                <w:lang w:val="en-US" w:eastAsia="zh-CN"/>
              </w:rPr>
              <w:t>：请问公司改名字为奥普科技的原因是什么？经历了怎样的决策历程？科技服务于产品，是手段而不是目标，更名是否本末倒置？</w:t>
            </w:r>
          </w:p>
          <w:p w14:paraId="51B60E2C">
            <w:pPr>
              <w:spacing w:line="360" w:lineRule="auto"/>
              <w:ind w:firstLine="480" w:firstLineChars="200"/>
              <w:rPr>
                <w:sz w:val="24"/>
                <w:szCs w:val="24"/>
              </w:rPr>
            </w:pPr>
            <w:r>
              <w:rPr>
                <w:rFonts w:hint="eastAsia" w:ascii="Times New Roman" w:hAnsi="Times New Roman" w:cs="Times New Roman"/>
                <w:b w:val="0"/>
                <w:bCs w:val="0"/>
                <w:sz w:val="24"/>
                <w:szCs w:val="24"/>
                <w:lang w:val="en-US" w:eastAsia="zh-CN"/>
              </w:rPr>
              <w:t>A1：</w:t>
            </w:r>
            <w:r>
              <w:rPr>
                <w:rFonts w:hint="eastAsia"/>
                <w:sz w:val="24"/>
                <w:szCs w:val="24"/>
              </w:rPr>
              <w:t>尊敬的投资人，您好！近年来公司紧随市场变动、消费升级、智能科技等家电家居行业发展趋势，坚持以科技创新推动核心产品朝着功能化、智能化的方向发展，持续加大产品研发力度，不断推出系列科技新品，公司的“智能科技”行业属性已超越原有的“家具家居”行业属性。为更加客观、准确的展现公司经营现状及战略发展规划，公司分别于2024年5月6日、2024年5月23日召开第三届董事会第十次会议、2024年第二次临时股东大会审议通过</w:t>
            </w:r>
            <w:r>
              <w:rPr>
                <w:rFonts w:hint="default" w:ascii="Times New Roman" w:hAnsi="Times New Roman" w:cs="Times New Roman"/>
                <w:sz w:val="24"/>
                <w:szCs w:val="24"/>
              </w:rPr>
              <w:t>《关于拟变更公司全称及证券简称的议案》《关于变更经营范围的议案》《关于</w:t>
            </w:r>
            <w:r>
              <w:rPr>
                <w:rFonts w:hint="eastAsia" w:cs="Times New Roman"/>
                <w:sz w:val="24"/>
                <w:szCs w:val="24"/>
                <w:lang w:val="en-US" w:eastAsia="zh-CN"/>
              </w:rPr>
              <w:t>&lt;</w:t>
            </w:r>
            <w:r>
              <w:rPr>
                <w:rFonts w:hint="default" w:ascii="Times New Roman" w:hAnsi="Times New Roman" w:cs="Times New Roman"/>
                <w:sz w:val="24"/>
                <w:szCs w:val="24"/>
              </w:rPr>
              <w:t>修订公司章程</w:t>
            </w:r>
            <w:r>
              <w:rPr>
                <w:rFonts w:hint="eastAsia" w:cs="Times New Roman"/>
                <w:sz w:val="24"/>
                <w:szCs w:val="24"/>
                <w:lang w:val="en-US" w:eastAsia="zh-CN"/>
              </w:rPr>
              <w:t>&gt;</w:t>
            </w:r>
            <w:r>
              <w:rPr>
                <w:rFonts w:hint="default" w:ascii="Times New Roman" w:hAnsi="Times New Roman" w:cs="Times New Roman"/>
                <w:sz w:val="24"/>
                <w:szCs w:val="24"/>
              </w:rPr>
              <w:t>的议案》</w:t>
            </w:r>
            <w:r>
              <w:rPr>
                <w:rFonts w:hint="eastAsia"/>
                <w:sz w:val="24"/>
                <w:szCs w:val="24"/>
              </w:rPr>
              <w:t>，公司全称由“奥普家居股份有限公司”变更为“奥普智能科技股份有限公司”，公司A股证券简称由“奥普家居”变更为“奥普科技”。感谢您的关注！</w:t>
            </w:r>
          </w:p>
          <w:p w14:paraId="6FB9764A">
            <w:pPr>
              <w:spacing w:line="360" w:lineRule="auto"/>
              <w:ind w:firstLine="482" w:firstLineChars="200"/>
              <w:rPr>
                <w:rFonts w:hint="eastAsia" w:ascii="Times New Roman" w:hAnsi="Times New Roman" w:cs="Times New Roman"/>
                <w:b/>
                <w:bCs/>
                <w:sz w:val="24"/>
                <w:szCs w:val="24"/>
                <w:lang w:val="en-US" w:eastAsia="zh-CN"/>
              </w:rPr>
            </w:pPr>
          </w:p>
          <w:p w14:paraId="1B1E7709">
            <w:pPr>
              <w:spacing w:line="360" w:lineRule="auto"/>
              <w:ind w:firstLine="482" w:firstLineChars="200"/>
              <w:rPr>
                <w:rFonts w:hint="eastAsia" w:cs="Times New Roman"/>
                <w:b/>
                <w:bCs/>
                <w:sz w:val="24"/>
                <w:szCs w:val="24"/>
                <w:lang w:val="en-US" w:eastAsia="zh-CN"/>
              </w:rPr>
            </w:pPr>
            <w:r>
              <w:rPr>
                <w:rFonts w:hint="eastAsia" w:ascii="Times New Roman" w:hAnsi="Times New Roman" w:cs="Times New Roman"/>
                <w:b/>
                <w:bCs/>
                <w:sz w:val="24"/>
                <w:szCs w:val="24"/>
                <w:lang w:val="en-US" w:eastAsia="zh-CN"/>
              </w:rPr>
              <w:t>Q</w:t>
            </w:r>
            <w:r>
              <w:rPr>
                <w:rFonts w:hint="eastAsia" w:cs="Times New Roman"/>
                <w:b/>
                <w:bCs/>
                <w:sz w:val="24"/>
                <w:szCs w:val="24"/>
                <w:lang w:val="en-US" w:eastAsia="zh-CN"/>
              </w:rPr>
              <w:t>2：公司半年度收入与去年差不多，但利润下降了，能解释一下原因吗</w:t>
            </w:r>
          </w:p>
          <w:p w14:paraId="62E3D85C">
            <w:pPr>
              <w:spacing w:line="360" w:lineRule="auto"/>
              <w:ind w:firstLine="480" w:firstLineChars="200"/>
              <w:rPr>
                <w:rFonts w:hint="eastAsia"/>
                <w:sz w:val="24"/>
                <w:szCs w:val="24"/>
              </w:rPr>
            </w:pPr>
            <w:r>
              <w:rPr>
                <w:rFonts w:hint="eastAsia" w:ascii="Times New Roman" w:hAnsi="Times New Roman" w:cs="Times New Roman"/>
                <w:b w:val="0"/>
                <w:bCs w:val="0"/>
                <w:sz w:val="24"/>
                <w:szCs w:val="24"/>
                <w:lang w:val="en-US" w:eastAsia="zh-CN"/>
              </w:rPr>
              <w:t>A</w:t>
            </w:r>
            <w:r>
              <w:rPr>
                <w:rFonts w:hint="eastAsia" w:cs="Times New Roman"/>
                <w:b w:val="0"/>
                <w:bCs w:val="0"/>
                <w:sz w:val="24"/>
                <w:szCs w:val="24"/>
                <w:lang w:val="en-US" w:eastAsia="zh-CN"/>
              </w:rPr>
              <w:t>2</w:t>
            </w:r>
            <w:r>
              <w:rPr>
                <w:rFonts w:hint="eastAsia" w:ascii="Times New Roman" w:hAnsi="Times New Roman" w:cs="Times New Roman"/>
                <w:b w:val="0"/>
                <w:bCs w:val="0"/>
                <w:sz w:val="24"/>
                <w:szCs w:val="24"/>
                <w:lang w:val="en-US" w:eastAsia="zh-CN"/>
              </w:rPr>
              <w:t>：</w:t>
            </w:r>
            <w:r>
              <w:rPr>
                <w:rFonts w:hint="eastAsia"/>
                <w:sz w:val="24"/>
                <w:szCs w:val="24"/>
              </w:rPr>
              <w:t>尊敬的投资人，您好！上半年国内新房市场成交持续下行，公司积极应对市场压力，强化渠道拓展和下沉深耕，加大产品研发的创新力度，推出美容舱浴霸、空气管家双氧浴霸等创新产品，经营费用亦同比有所增加。2024年上半年公司实现营业收入8.62亿元，同比增长0.03%，归母净利润1.23亿元，同比减少4.43%。感谢您的关注！</w:t>
            </w:r>
          </w:p>
          <w:p w14:paraId="47D4BC0B">
            <w:pPr>
              <w:spacing w:line="360" w:lineRule="auto"/>
              <w:ind w:firstLine="482" w:firstLineChars="200"/>
              <w:rPr>
                <w:rFonts w:hint="eastAsia" w:ascii="Times New Roman" w:hAnsi="Times New Roman" w:cs="Times New Roman"/>
                <w:b/>
                <w:bCs/>
                <w:sz w:val="24"/>
                <w:szCs w:val="24"/>
                <w:lang w:val="en-US" w:eastAsia="zh-CN"/>
              </w:rPr>
            </w:pPr>
          </w:p>
          <w:p w14:paraId="628BA9E3">
            <w:pPr>
              <w:spacing w:line="360" w:lineRule="auto"/>
              <w:ind w:firstLine="482" w:firstLineChars="200"/>
              <w:rPr>
                <w:rFonts w:hint="eastAsia" w:cs="Times New Roman"/>
                <w:b/>
                <w:bCs/>
                <w:sz w:val="24"/>
                <w:szCs w:val="24"/>
                <w:lang w:val="en-US" w:eastAsia="zh-CN"/>
              </w:rPr>
            </w:pPr>
            <w:r>
              <w:rPr>
                <w:rFonts w:hint="eastAsia" w:ascii="Times New Roman" w:hAnsi="Times New Roman" w:cs="Times New Roman"/>
                <w:b/>
                <w:bCs/>
                <w:sz w:val="24"/>
                <w:szCs w:val="24"/>
                <w:lang w:val="en-US" w:eastAsia="zh-CN"/>
              </w:rPr>
              <w:t>Q</w:t>
            </w:r>
            <w:r>
              <w:rPr>
                <w:rFonts w:hint="eastAsia" w:cs="Times New Roman"/>
                <w:b/>
                <w:bCs/>
                <w:sz w:val="24"/>
                <w:szCs w:val="24"/>
                <w:lang w:val="en-US" w:eastAsia="zh-CN"/>
              </w:rPr>
              <w:t>3：关注到公司要进行半年度分红，那后续的分红计划是什么样的？</w:t>
            </w:r>
          </w:p>
          <w:p w14:paraId="401FE30E">
            <w:pPr>
              <w:spacing w:line="360" w:lineRule="auto"/>
              <w:ind w:firstLine="480" w:firstLineChars="200"/>
              <w:rPr>
                <w:rFonts w:hint="eastAsia"/>
                <w:sz w:val="24"/>
                <w:szCs w:val="24"/>
              </w:rPr>
            </w:pPr>
            <w:r>
              <w:rPr>
                <w:rFonts w:hint="eastAsia" w:ascii="Times New Roman" w:hAnsi="Times New Roman" w:cs="Times New Roman"/>
                <w:b w:val="0"/>
                <w:bCs w:val="0"/>
                <w:sz w:val="24"/>
                <w:szCs w:val="24"/>
                <w:lang w:val="en-US" w:eastAsia="zh-CN"/>
              </w:rPr>
              <w:t>A</w:t>
            </w:r>
            <w:r>
              <w:rPr>
                <w:rFonts w:hint="eastAsia" w:cs="Times New Roman"/>
                <w:b w:val="0"/>
                <w:bCs w:val="0"/>
                <w:sz w:val="24"/>
                <w:szCs w:val="24"/>
                <w:lang w:val="en-US" w:eastAsia="zh-CN"/>
              </w:rPr>
              <w:t>3</w:t>
            </w:r>
            <w:r>
              <w:rPr>
                <w:rFonts w:hint="eastAsia" w:ascii="Times New Roman" w:hAnsi="Times New Roman" w:cs="Times New Roman"/>
                <w:b w:val="0"/>
                <w:bCs w:val="0"/>
                <w:sz w:val="24"/>
                <w:szCs w:val="24"/>
                <w:lang w:val="en-US" w:eastAsia="zh-CN"/>
              </w:rPr>
              <w:t>：</w:t>
            </w:r>
            <w:r>
              <w:rPr>
                <w:rFonts w:hint="eastAsia"/>
                <w:sz w:val="24"/>
                <w:szCs w:val="24"/>
              </w:rPr>
              <w:t>尊敬的投资人，您好！公司第三届董事会第十一次会议审议通过的2024年半年度利润分配预案为：拟以实施权益分派股权登记日的总股本扣除公司回购专户的股份的余额为基数，每10股派发现金红利3.0元（含税），不实施送股和资本公积转增股本。本次利润分配方案尚需经过股东大会审议通过后实施。</w:t>
            </w:r>
          </w:p>
          <w:p w14:paraId="0D8BF95F">
            <w:pPr>
              <w:spacing w:line="360" w:lineRule="auto"/>
              <w:ind w:firstLine="480" w:firstLineChars="200"/>
              <w:rPr>
                <w:rFonts w:hint="eastAsia"/>
                <w:sz w:val="24"/>
                <w:szCs w:val="24"/>
              </w:rPr>
            </w:pPr>
            <w:r>
              <w:rPr>
                <w:rFonts w:hint="eastAsia"/>
                <w:sz w:val="24"/>
                <w:szCs w:val="24"/>
              </w:rPr>
              <w:t>公司在立足长效经营和高质量发展的同时，一贯重视股东回报的稳定性和持续性，在综合考虑了公司稳定发展、盈利能力和财务状况的因素，制定并披露了《未来三年分红回报规划（2024年-2026年）》，公司目前运营资金充足，在满足公司日常经营资金需求之外，仍将坚持分红措施，回报广大投资者。感谢您的关注！</w:t>
            </w:r>
          </w:p>
          <w:p w14:paraId="66163663">
            <w:pPr>
              <w:spacing w:line="360" w:lineRule="auto"/>
              <w:ind w:firstLine="482" w:firstLineChars="200"/>
              <w:rPr>
                <w:rFonts w:hint="eastAsia" w:ascii="Times New Roman" w:hAnsi="Times New Roman" w:cs="Times New Roman"/>
                <w:b/>
                <w:bCs/>
                <w:sz w:val="24"/>
                <w:szCs w:val="24"/>
                <w:lang w:val="en-US" w:eastAsia="zh-CN"/>
              </w:rPr>
            </w:pPr>
            <w:bookmarkStart w:id="0" w:name="_GoBack"/>
            <w:bookmarkEnd w:id="0"/>
          </w:p>
          <w:p w14:paraId="14A90AED">
            <w:pPr>
              <w:spacing w:line="360" w:lineRule="auto"/>
              <w:ind w:firstLine="482" w:firstLineChars="200"/>
              <w:rPr>
                <w:rFonts w:hint="eastAsia" w:cs="Times New Roman"/>
                <w:b/>
                <w:bCs/>
                <w:sz w:val="24"/>
                <w:szCs w:val="24"/>
                <w:lang w:val="en-US" w:eastAsia="zh-CN"/>
              </w:rPr>
            </w:pPr>
            <w:r>
              <w:rPr>
                <w:rFonts w:hint="eastAsia" w:ascii="Times New Roman" w:hAnsi="Times New Roman" w:cs="Times New Roman"/>
                <w:b/>
                <w:bCs/>
                <w:sz w:val="24"/>
                <w:szCs w:val="24"/>
                <w:lang w:val="en-US" w:eastAsia="zh-CN"/>
              </w:rPr>
              <w:t>Q</w:t>
            </w:r>
            <w:r>
              <w:rPr>
                <w:rFonts w:hint="eastAsia" w:cs="Times New Roman"/>
                <w:b/>
                <w:bCs/>
                <w:sz w:val="24"/>
                <w:szCs w:val="24"/>
                <w:lang w:val="en-US" w:eastAsia="zh-CN"/>
              </w:rPr>
              <w:t>4：公司与潘展乐的代言合作是否对近期销售有积极影响？能否提供近期的销售数据</w:t>
            </w:r>
          </w:p>
          <w:p w14:paraId="77F269C0">
            <w:pPr>
              <w:spacing w:line="360" w:lineRule="auto"/>
              <w:ind w:firstLine="480" w:firstLineChars="200"/>
              <w:rPr>
                <w:rFonts w:hint="eastAsia"/>
                <w:sz w:val="24"/>
                <w:szCs w:val="24"/>
              </w:rPr>
            </w:pPr>
            <w:r>
              <w:rPr>
                <w:rFonts w:hint="eastAsia" w:ascii="Times New Roman" w:hAnsi="Times New Roman" w:cs="Times New Roman"/>
                <w:b w:val="0"/>
                <w:bCs w:val="0"/>
                <w:sz w:val="24"/>
                <w:szCs w:val="24"/>
                <w:lang w:val="en-US" w:eastAsia="zh-CN"/>
              </w:rPr>
              <w:t>A</w:t>
            </w:r>
            <w:r>
              <w:rPr>
                <w:rFonts w:hint="eastAsia" w:cs="Times New Roman"/>
                <w:b w:val="0"/>
                <w:bCs w:val="0"/>
                <w:sz w:val="24"/>
                <w:szCs w:val="24"/>
                <w:lang w:val="en-US" w:eastAsia="zh-CN"/>
              </w:rPr>
              <w:t>4</w:t>
            </w:r>
            <w:r>
              <w:rPr>
                <w:rFonts w:hint="eastAsia" w:ascii="Times New Roman" w:hAnsi="Times New Roman" w:cs="Times New Roman"/>
                <w:b w:val="0"/>
                <w:bCs w:val="0"/>
                <w:sz w:val="24"/>
                <w:szCs w:val="24"/>
                <w:lang w:val="en-US" w:eastAsia="zh-CN"/>
              </w:rPr>
              <w:t>：</w:t>
            </w:r>
            <w:r>
              <w:rPr>
                <w:rFonts w:hint="eastAsia"/>
                <w:sz w:val="24"/>
                <w:szCs w:val="24"/>
              </w:rPr>
              <w:t>尊敬的投资人，您好！公司于2023年6月正式成为浙江省游泳队官方合作伙伴同时签约游泳运动员潘展乐、余依婷、费立纬，教练汪海波、郑坤良为奥普形象代言人，此次的代言对进一步提升品牌形象、传递企业正向价值观</w:t>
            </w:r>
            <w:r>
              <w:rPr>
                <w:rFonts w:hint="eastAsia"/>
                <w:sz w:val="24"/>
                <w:szCs w:val="24"/>
                <w:lang w:val="en-US" w:eastAsia="zh-CN"/>
              </w:rPr>
              <w:t>将</w:t>
            </w:r>
            <w:r>
              <w:rPr>
                <w:rFonts w:hint="eastAsia"/>
                <w:sz w:val="24"/>
                <w:szCs w:val="24"/>
              </w:rPr>
              <w:t>产生积极的影响。公司近期业绩情况</w:t>
            </w:r>
            <w:r>
              <w:rPr>
                <w:rFonts w:hint="eastAsia"/>
                <w:sz w:val="24"/>
                <w:szCs w:val="24"/>
                <w:lang w:eastAsia="zh-CN"/>
              </w:rPr>
              <w:t>，</w:t>
            </w:r>
            <w:r>
              <w:rPr>
                <w:rFonts w:hint="eastAsia"/>
                <w:sz w:val="24"/>
                <w:szCs w:val="24"/>
              </w:rPr>
              <w:t>请您查阅公司于8月22日在上海证券交易所网站披露的《2024年半年度报告》，感谢您的关注！</w:t>
            </w:r>
          </w:p>
        </w:tc>
      </w:tr>
      <w:tr w14:paraId="25F9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4466713">
            <w:pPr>
              <w:pStyle w:val="15"/>
              <w:spacing w:line="360" w:lineRule="auto"/>
              <w:rPr>
                <w:b/>
                <w:bCs/>
                <w:iCs/>
                <w:color w:val="000000"/>
                <w:sz w:val="24"/>
              </w:rPr>
            </w:pPr>
            <w:r>
              <w:rPr>
                <w:b/>
                <w:bCs/>
                <w:iCs/>
                <w:color w:val="000000"/>
                <w:sz w:val="24"/>
              </w:rPr>
              <w:t>附件清单（如有）</w:t>
            </w:r>
          </w:p>
        </w:tc>
        <w:tc>
          <w:tcPr>
            <w:tcW w:w="7080" w:type="dxa"/>
            <w:vAlign w:val="center"/>
          </w:tcPr>
          <w:p w14:paraId="5343C634">
            <w:pPr>
              <w:pStyle w:val="15"/>
              <w:spacing w:line="360" w:lineRule="auto"/>
              <w:rPr>
                <w:bCs/>
                <w:iCs/>
                <w:color w:val="000000"/>
                <w:sz w:val="24"/>
              </w:rPr>
            </w:pPr>
            <w:r>
              <w:rPr>
                <w:bCs/>
                <w:iCs/>
                <w:color w:val="000000"/>
                <w:sz w:val="24"/>
              </w:rPr>
              <w:t>无。</w:t>
            </w:r>
          </w:p>
        </w:tc>
      </w:tr>
      <w:tr w14:paraId="08D1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E935E3C">
            <w:pPr>
              <w:pStyle w:val="15"/>
              <w:spacing w:line="360" w:lineRule="auto"/>
              <w:rPr>
                <w:b/>
                <w:bCs/>
                <w:iCs/>
                <w:color w:val="000000"/>
                <w:sz w:val="24"/>
              </w:rPr>
            </w:pPr>
            <w:r>
              <w:rPr>
                <w:b/>
                <w:bCs/>
                <w:iCs/>
                <w:color w:val="000000"/>
                <w:sz w:val="24"/>
              </w:rPr>
              <w:t>日期</w:t>
            </w:r>
          </w:p>
        </w:tc>
        <w:tc>
          <w:tcPr>
            <w:tcW w:w="7080" w:type="dxa"/>
            <w:vAlign w:val="center"/>
          </w:tcPr>
          <w:p w14:paraId="14F21BF5">
            <w:pPr>
              <w:pStyle w:val="15"/>
              <w:spacing w:line="360" w:lineRule="auto"/>
              <w:rPr>
                <w:bCs/>
                <w:iCs/>
                <w:color w:val="000000"/>
                <w:sz w:val="24"/>
              </w:rPr>
            </w:pPr>
            <w:r>
              <w:rPr>
                <w:bCs/>
                <w:iCs/>
                <w:color w:val="000000"/>
                <w:sz w:val="24"/>
              </w:rPr>
              <w:t>2024年</w:t>
            </w:r>
            <w:r>
              <w:rPr>
                <w:rFonts w:hint="eastAsia"/>
                <w:bCs/>
                <w:iCs/>
                <w:color w:val="000000"/>
                <w:sz w:val="24"/>
                <w:lang w:val="en-US" w:eastAsia="zh-CN"/>
              </w:rPr>
              <w:t>8</w:t>
            </w:r>
            <w:r>
              <w:rPr>
                <w:bCs/>
                <w:iCs/>
                <w:color w:val="000000"/>
                <w:sz w:val="24"/>
              </w:rPr>
              <w:t>月</w:t>
            </w:r>
            <w:r>
              <w:rPr>
                <w:rFonts w:hint="eastAsia"/>
                <w:bCs/>
                <w:iCs/>
                <w:color w:val="000000"/>
                <w:sz w:val="24"/>
                <w:lang w:val="en-US" w:eastAsia="zh-CN"/>
              </w:rPr>
              <w:t>26</w:t>
            </w:r>
            <w:r>
              <w:rPr>
                <w:bCs/>
                <w:iCs/>
                <w:color w:val="000000"/>
                <w:sz w:val="24"/>
              </w:rPr>
              <w:t>日</w:t>
            </w:r>
          </w:p>
        </w:tc>
      </w:tr>
    </w:tbl>
    <w:p w14:paraId="70E4D87F"/>
    <w:sectPr>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83D4E"/>
    <w:multiLevelType w:val="multilevel"/>
    <w:tmpl w:val="0D983D4E"/>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ODM5ZmYyMGY5M2E4ZTVlZmM5MDliYzBlZmQzMGEifQ=="/>
  </w:docVars>
  <w:rsids>
    <w:rsidRoot w:val="00B06BC9"/>
    <w:rsid w:val="00004558"/>
    <w:rsid w:val="00011CF8"/>
    <w:rsid w:val="000218E7"/>
    <w:rsid w:val="00024003"/>
    <w:rsid w:val="00036E92"/>
    <w:rsid w:val="00040CA4"/>
    <w:rsid w:val="000414DF"/>
    <w:rsid w:val="000657AB"/>
    <w:rsid w:val="00076E33"/>
    <w:rsid w:val="0008423C"/>
    <w:rsid w:val="00095209"/>
    <w:rsid w:val="00095BC7"/>
    <w:rsid w:val="000971F7"/>
    <w:rsid w:val="000B4119"/>
    <w:rsid w:val="000C5C5B"/>
    <w:rsid w:val="000E4052"/>
    <w:rsid w:val="000E7498"/>
    <w:rsid w:val="00106A85"/>
    <w:rsid w:val="001168BC"/>
    <w:rsid w:val="001222ED"/>
    <w:rsid w:val="00123CD4"/>
    <w:rsid w:val="00141AC9"/>
    <w:rsid w:val="00143700"/>
    <w:rsid w:val="00145B3E"/>
    <w:rsid w:val="00147422"/>
    <w:rsid w:val="001600B6"/>
    <w:rsid w:val="001628E0"/>
    <w:rsid w:val="00167D5E"/>
    <w:rsid w:val="00172567"/>
    <w:rsid w:val="001830C1"/>
    <w:rsid w:val="001954BC"/>
    <w:rsid w:val="001A2A1F"/>
    <w:rsid w:val="001C5E50"/>
    <w:rsid w:val="001D23FC"/>
    <w:rsid w:val="001D4F14"/>
    <w:rsid w:val="00220C3D"/>
    <w:rsid w:val="002232DD"/>
    <w:rsid w:val="00243BE1"/>
    <w:rsid w:val="00245342"/>
    <w:rsid w:val="0024660B"/>
    <w:rsid w:val="00256652"/>
    <w:rsid w:val="002629D4"/>
    <w:rsid w:val="00262E8D"/>
    <w:rsid w:val="00267193"/>
    <w:rsid w:val="00271D3B"/>
    <w:rsid w:val="00286B74"/>
    <w:rsid w:val="00295438"/>
    <w:rsid w:val="0029760D"/>
    <w:rsid w:val="002B0727"/>
    <w:rsid w:val="002E288E"/>
    <w:rsid w:val="002E334F"/>
    <w:rsid w:val="002F55CE"/>
    <w:rsid w:val="003038E1"/>
    <w:rsid w:val="0030501E"/>
    <w:rsid w:val="00306D5B"/>
    <w:rsid w:val="003119A9"/>
    <w:rsid w:val="00317EF8"/>
    <w:rsid w:val="00326C02"/>
    <w:rsid w:val="003317B7"/>
    <w:rsid w:val="00333643"/>
    <w:rsid w:val="003508BC"/>
    <w:rsid w:val="00363342"/>
    <w:rsid w:val="003727E6"/>
    <w:rsid w:val="003760E3"/>
    <w:rsid w:val="00382FA8"/>
    <w:rsid w:val="003916C9"/>
    <w:rsid w:val="003942AA"/>
    <w:rsid w:val="003C4761"/>
    <w:rsid w:val="003F2035"/>
    <w:rsid w:val="00405BE6"/>
    <w:rsid w:val="00405CA4"/>
    <w:rsid w:val="00412CFE"/>
    <w:rsid w:val="00414C4D"/>
    <w:rsid w:val="0041711A"/>
    <w:rsid w:val="0043398E"/>
    <w:rsid w:val="00471D1C"/>
    <w:rsid w:val="00497A6F"/>
    <w:rsid w:val="004A140D"/>
    <w:rsid w:val="004B070A"/>
    <w:rsid w:val="004C056A"/>
    <w:rsid w:val="004E53AC"/>
    <w:rsid w:val="004F5A81"/>
    <w:rsid w:val="00513753"/>
    <w:rsid w:val="005209BF"/>
    <w:rsid w:val="00526523"/>
    <w:rsid w:val="00527BFE"/>
    <w:rsid w:val="00532352"/>
    <w:rsid w:val="0054793F"/>
    <w:rsid w:val="0055138D"/>
    <w:rsid w:val="00554F20"/>
    <w:rsid w:val="005759D5"/>
    <w:rsid w:val="0058166D"/>
    <w:rsid w:val="005906A3"/>
    <w:rsid w:val="005A3896"/>
    <w:rsid w:val="005D2F39"/>
    <w:rsid w:val="005E0C85"/>
    <w:rsid w:val="005E6A49"/>
    <w:rsid w:val="005E6B86"/>
    <w:rsid w:val="005F450E"/>
    <w:rsid w:val="00602738"/>
    <w:rsid w:val="00616C35"/>
    <w:rsid w:val="00617F86"/>
    <w:rsid w:val="00626B6F"/>
    <w:rsid w:val="006426C6"/>
    <w:rsid w:val="006524DB"/>
    <w:rsid w:val="00674E89"/>
    <w:rsid w:val="0067726D"/>
    <w:rsid w:val="006779E9"/>
    <w:rsid w:val="00681CC6"/>
    <w:rsid w:val="006B6790"/>
    <w:rsid w:val="006C4495"/>
    <w:rsid w:val="006D5E7A"/>
    <w:rsid w:val="006D7929"/>
    <w:rsid w:val="00700220"/>
    <w:rsid w:val="00704017"/>
    <w:rsid w:val="00713489"/>
    <w:rsid w:val="00714D34"/>
    <w:rsid w:val="00730219"/>
    <w:rsid w:val="00737898"/>
    <w:rsid w:val="007459E6"/>
    <w:rsid w:val="007476E2"/>
    <w:rsid w:val="007504E4"/>
    <w:rsid w:val="00751407"/>
    <w:rsid w:val="00761E84"/>
    <w:rsid w:val="00772209"/>
    <w:rsid w:val="007722A0"/>
    <w:rsid w:val="0077695D"/>
    <w:rsid w:val="00776AEF"/>
    <w:rsid w:val="00786843"/>
    <w:rsid w:val="00795242"/>
    <w:rsid w:val="007A1B16"/>
    <w:rsid w:val="007A49CA"/>
    <w:rsid w:val="007C1DB5"/>
    <w:rsid w:val="007F3D78"/>
    <w:rsid w:val="00816F50"/>
    <w:rsid w:val="00822B4F"/>
    <w:rsid w:val="00824CF6"/>
    <w:rsid w:val="00834FF1"/>
    <w:rsid w:val="00836B1C"/>
    <w:rsid w:val="00837D69"/>
    <w:rsid w:val="00847605"/>
    <w:rsid w:val="00850F17"/>
    <w:rsid w:val="008618C9"/>
    <w:rsid w:val="00881AE9"/>
    <w:rsid w:val="00882FF3"/>
    <w:rsid w:val="0088330B"/>
    <w:rsid w:val="008842CA"/>
    <w:rsid w:val="008A2ED8"/>
    <w:rsid w:val="008A4CC2"/>
    <w:rsid w:val="008A541B"/>
    <w:rsid w:val="008A732A"/>
    <w:rsid w:val="008E150C"/>
    <w:rsid w:val="0090080C"/>
    <w:rsid w:val="00900CBB"/>
    <w:rsid w:val="009021F6"/>
    <w:rsid w:val="00910B0B"/>
    <w:rsid w:val="009156FB"/>
    <w:rsid w:val="0094347C"/>
    <w:rsid w:val="00954906"/>
    <w:rsid w:val="00954B1B"/>
    <w:rsid w:val="0097147F"/>
    <w:rsid w:val="00974148"/>
    <w:rsid w:val="00987A23"/>
    <w:rsid w:val="0099354C"/>
    <w:rsid w:val="009A3918"/>
    <w:rsid w:val="009B2D4C"/>
    <w:rsid w:val="009B4E47"/>
    <w:rsid w:val="009E00B1"/>
    <w:rsid w:val="009E2A30"/>
    <w:rsid w:val="009E770D"/>
    <w:rsid w:val="009F31C9"/>
    <w:rsid w:val="00A079D3"/>
    <w:rsid w:val="00A07EBD"/>
    <w:rsid w:val="00A20305"/>
    <w:rsid w:val="00A472DF"/>
    <w:rsid w:val="00A6184F"/>
    <w:rsid w:val="00A72CF4"/>
    <w:rsid w:val="00AB29A4"/>
    <w:rsid w:val="00AB6FB3"/>
    <w:rsid w:val="00AE0424"/>
    <w:rsid w:val="00AE17EF"/>
    <w:rsid w:val="00AE3392"/>
    <w:rsid w:val="00AE5DE7"/>
    <w:rsid w:val="00AF0500"/>
    <w:rsid w:val="00AF05DB"/>
    <w:rsid w:val="00AF13EF"/>
    <w:rsid w:val="00AF45AF"/>
    <w:rsid w:val="00AF6F0C"/>
    <w:rsid w:val="00B00FDE"/>
    <w:rsid w:val="00B06BC9"/>
    <w:rsid w:val="00B3734F"/>
    <w:rsid w:val="00B53D8E"/>
    <w:rsid w:val="00B7720D"/>
    <w:rsid w:val="00B77C86"/>
    <w:rsid w:val="00B82984"/>
    <w:rsid w:val="00B86000"/>
    <w:rsid w:val="00B92848"/>
    <w:rsid w:val="00B93A33"/>
    <w:rsid w:val="00B968EB"/>
    <w:rsid w:val="00BD18E3"/>
    <w:rsid w:val="00C2486C"/>
    <w:rsid w:val="00C337A6"/>
    <w:rsid w:val="00C33F93"/>
    <w:rsid w:val="00C365D2"/>
    <w:rsid w:val="00C449CC"/>
    <w:rsid w:val="00C57307"/>
    <w:rsid w:val="00C6491E"/>
    <w:rsid w:val="00C7149D"/>
    <w:rsid w:val="00C72002"/>
    <w:rsid w:val="00C829D9"/>
    <w:rsid w:val="00C96AC0"/>
    <w:rsid w:val="00CB0C41"/>
    <w:rsid w:val="00CC325A"/>
    <w:rsid w:val="00CC423B"/>
    <w:rsid w:val="00CC4992"/>
    <w:rsid w:val="00CC6381"/>
    <w:rsid w:val="00CE4D7E"/>
    <w:rsid w:val="00D03E36"/>
    <w:rsid w:val="00D0428C"/>
    <w:rsid w:val="00D06C49"/>
    <w:rsid w:val="00D1335F"/>
    <w:rsid w:val="00D26B38"/>
    <w:rsid w:val="00D270AF"/>
    <w:rsid w:val="00D30069"/>
    <w:rsid w:val="00D32271"/>
    <w:rsid w:val="00D35028"/>
    <w:rsid w:val="00D47A4C"/>
    <w:rsid w:val="00D51FA2"/>
    <w:rsid w:val="00D5302F"/>
    <w:rsid w:val="00D60297"/>
    <w:rsid w:val="00D6763E"/>
    <w:rsid w:val="00D82FED"/>
    <w:rsid w:val="00D840BE"/>
    <w:rsid w:val="00D8717B"/>
    <w:rsid w:val="00D95D4D"/>
    <w:rsid w:val="00DB0E13"/>
    <w:rsid w:val="00DB4AF7"/>
    <w:rsid w:val="00DB4E8F"/>
    <w:rsid w:val="00DC1D9D"/>
    <w:rsid w:val="00DC1E4C"/>
    <w:rsid w:val="00DC525B"/>
    <w:rsid w:val="00DD774C"/>
    <w:rsid w:val="00DF44C1"/>
    <w:rsid w:val="00E24C0E"/>
    <w:rsid w:val="00E24CF7"/>
    <w:rsid w:val="00E27BBA"/>
    <w:rsid w:val="00E30E65"/>
    <w:rsid w:val="00E338E8"/>
    <w:rsid w:val="00E346C8"/>
    <w:rsid w:val="00E44115"/>
    <w:rsid w:val="00E56D93"/>
    <w:rsid w:val="00E6561A"/>
    <w:rsid w:val="00E702F4"/>
    <w:rsid w:val="00EA30FF"/>
    <w:rsid w:val="00EB0F38"/>
    <w:rsid w:val="00EB2F03"/>
    <w:rsid w:val="00EB3076"/>
    <w:rsid w:val="00EB37D6"/>
    <w:rsid w:val="00ED14F1"/>
    <w:rsid w:val="00ED1AC6"/>
    <w:rsid w:val="00EE210D"/>
    <w:rsid w:val="00EE3336"/>
    <w:rsid w:val="00EF67A0"/>
    <w:rsid w:val="00F00FA8"/>
    <w:rsid w:val="00F01059"/>
    <w:rsid w:val="00F024CD"/>
    <w:rsid w:val="00F04DFE"/>
    <w:rsid w:val="00F06B7F"/>
    <w:rsid w:val="00F1613B"/>
    <w:rsid w:val="00F3095A"/>
    <w:rsid w:val="00F32535"/>
    <w:rsid w:val="00F3728D"/>
    <w:rsid w:val="00F476D7"/>
    <w:rsid w:val="00F72532"/>
    <w:rsid w:val="00F74FB0"/>
    <w:rsid w:val="00F85062"/>
    <w:rsid w:val="00F874BA"/>
    <w:rsid w:val="00F92141"/>
    <w:rsid w:val="00FA18CB"/>
    <w:rsid w:val="00FA23B9"/>
    <w:rsid w:val="00FA3D44"/>
    <w:rsid w:val="00FB31C4"/>
    <w:rsid w:val="00FC321E"/>
    <w:rsid w:val="00FC3E3A"/>
    <w:rsid w:val="00FF1EBD"/>
    <w:rsid w:val="00FF3A93"/>
    <w:rsid w:val="00FF4A73"/>
    <w:rsid w:val="00FF4F3F"/>
    <w:rsid w:val="0BD43CC8"/>
    <w:rsid w:val="0E877076"/>
    <w:rsid w:val="0F847DFE"/>
    <w:rsid w:val="14A448DD"/>
    <w:rsid w:val="14F11A91"/>
    <w:rsid w:val="14FC0436"/>
    <w:rsid w:val="15FF517B"/>
    <w:rsid w:val="18925339"/>
    <w:rsid w:val="18B222D0"/>
    <w:rsid w:val="18E056F1"/>
    <w:rsid w:val="1B1C505B"/>
    <w:rsid w:val="1F264B89"/>
    <w:rsid w:val="228A6D24"/>
    <w:rsid w:val="2537503B"/>
    <w:rsid w:val="25716F0D"/>
    <w:rsid w:val="28B456DA"/>
    <w:rsid w:val="2919115F"/>
    <w:rsid w:val="2DA95545"/>
    <w:rsid w:val="30717AD3"/>
    <w:rsid w:val="30876BE3"/>
    <w:rsid w:val="320F75A3"/>
    <w:rsid w:val="351849C1"/>
    <w:rsid w:val="3696710D"/>
    <w:rsid w:val="3D0B275A"/>
    <w:rsid w:val="3D2008B6"/>
    <w:rsid w:val="40B87627"/>
    <w:rsid w:val="411F069F"/>
    <w:rsid w:val="41DB360B"/>
    <w:rsid w:val="46B02CAB"/>
    <w:rsid w:val="48205DE1"/>
    <w:rsid w:val="48E07B1F"/>
    <w:rsid w:val="48FE11C0"/>
    <w:rsid w:val="51C23892"/>
    <w:rsid w:val="55FF3307"/>
    <w:rsid w:val="59DF26F8"/>
    <w:rsid w:val="5AFB1380"/>
    <w:rsid w:val="5D753EAF"/>
    <w:rsid w:val="5F08322C"/>
    <w:rsid w:val="60597D21"/>
    <w:rsid w:val="6A343164"/>
    <w:rsid w:val="6A6809C9"/>
    <w:rsid w:val="6BC50FA5"/>
    <w:rsid w:val="6E233F5E"/>
    <w:rsid w:val="7F5066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7">
    <w:name w:val="Normal (Web)"/>
    <w:basedOn w:val="1"/>
    <w:qFormat/>
    <w:uiPriority w:val="99"/>
    <w:pPr>
      <w:widowControl/>
    </w:pPr>
    <w:rPr>
      <w:rFonts w:hint="eastAsia"/>
      <w:kern w:val="0"/>
      <w:sz w:val="24"/>
      <w:szCs w:val="24"/>
    </w:rPr>
  </w:style>
  <w:style w:type="paragraph" w:styleId="8">
    <w:name w:val="annotation subject"/>
    <w:basedOn w:val="2"/>
    <w:next w:val="2"/>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页码 New"/>
    <w:basedOn w:val="10"/>
    <w:autoRedefine/>
    <w:qFormat/>
    <w:uiPriority w:val="0"/>
  </w:style>
  <w:style w:type="character" w:customStyle="1" w:styleId="13">
    <w:name w:val="批注框文本 字符"/>
    <w:link w:val="3"/>
    <w:qFormat/>
    <w:uiPriority w:val="0"/>
    <w:rPr>
      <w:kern w:val="2"/>
      <w:sz w:val="18"/>
      <w:szCs w:val="18"/>
    </w:rPr>
  </w:style>
  <w:style w:type="paragraph" w:customStyle="1" w:styleId="14">
    <w:name w:val="页脚 New"/>
    <w:basedOn w:val="15"/>
    <w:qFormat/>
    <w:uiPriority w:val="0"/>
    <w:pPr>
      <w:tabs>
        <w:tab w:val="center" w:pos="4153"/>
        <w:tab w:val="right" w:pos="8306"/>
      </w:tabs>
      <w:snapToGrid w:val="0"/>
      <w:jc w:val="left"/>
    </w:pPr>
    <w:rPr>
      <w:sz w:val="18"/>
      <w:szCs w:val="18"/>
    </w:rPr>
  </w:style>
  <w:style w:type="paragraph" w:customStyle="1" w:styleId="1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文本缩进 New"/>
    <w:qFormat/>
    <w:uiPriority w:val="0"/>
    <w:pPr>
      <w:spacing w:line="360" w:lineRule="auto"/>
      <w:ind w:firstLine="482" w:firstLineChars="200"/>
    </w:pPr>
    <w:rPr>
      <w:rFonts w:ascii="宋体" w:hAnsi="宋体" w:eastAsia="宋体" w:cs="Times New Roman"/>
      <w:b/>
      <w:bCs/>
      <w:sz w:val="24"/>
      <w:lang w:val="en-US" w:eastAsia="zh-CN" w:bidi="ar-SA"/>
    </w:rPr>
  </w:style>
  <w:style w:type="character" w:customStyle="1" w:styleId="17">
    <w:name w:val="批注文字 字符"/>
    <w:basedOn w:val="10"/>
    <w:link w:val="2"/>
    <w:qFormat/>
    <w:uiPriority w:val="0"/>
    <w:rPr>
      <w:kern w:val="2"/>
      <w:sz w:val="21"/>
    </w:rPr>
  </w:style>
  <w:style w:type="character" w:customStyle="1" w:styleId="18">
    <w:name w:val="批注主题 字符"/>
    <w:basedOn w:val="17"/>
    <w:link w:val="8"/>
    <w:semiHidden/>
    <w:qFormat/>
    <w:uiPriority w:val="0"/>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AC1B-CB4F-4556-ACDE-016DE326969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1733</Words>
  <Characters>1845</Characters>
  <Lines>14</Lines>
  <Paragraphs>4</Paragraphs>
  <TotalTime>4</TotalTime>
  <ScaleCrop>false</ScaleCrop>
  <LinksUpToDate>false</LinksUpToDate>
  <CharactersWithSpaces>1978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2024-05-15T02:44:00Z</dcterms:created>
  <dc:creator>Administrator</dc:creator>
  <cp:lastModifiedBy>煎鸡蛋蛋蛋蛋</cp:lastModifiedBy>
  <cp:lastPrinted>2014-10-30T00:58:00Z</cp:lastPrinted>
  <dcterms:modified xsi:type="dcterms:W3CDTF">2024-08-26T07:51:42Z</dcterms:modified>
  <dc:title>证券代码：002055                          证券简称：得润电子</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5DE86389B29745E383578BB42365523B_13</vt:lpwstr>
  </property>
</Properties>
</file>