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2E8DD" w14:textId="77777777" w:rsidR="00474570" w:rsidRDefault="00680BBF">
      <w:pPr>
        <w:kinsoku/>
        <w:autoSpaceDE/>
        <w:autoSpaceDN/>
        <w:spacing w:beforeLines="50" w:before="156" w:afterLines="50" w:after="156"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证券代码：</w:t>
      </w:r>
      <w:r>
        <w:rPr>
          <w:rFonts w:ascii="Times New Roman" w:eastAsia="宋体" w:hAnsi="Times New Roman" w:cs="Times New Roman"/>
          <w:sz w:val="24"/>
          <w:szCs w:val="24"/>
        </w:rPr>
        <w:t xml:space="preserve">603661          </w:t>
      </w:r>
      <w:r>
        <w:rPr>
          <w:rFonts w:ascii="Times New Roman" w:eastAsia="宋体" w:hAnsi="Times New Roman" w:cs="Times New Roman"/>
          <w:sz w:val="24"/>
          <w:szCs w:val="24"/>
        </w:rPr>
        <w:t>证券简称：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恒林股份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宋体" w:hAnsi="Times New Roman" w:cs="Times New Roman"/>
          <w:sz w:val="24"/>
          <w:szCs w:val="24"/>
        </w:rPr>
        <w:t>编号：</w:t>
      </w:r>
      <w:r>
        <w:rPr>
          <w:rFonts w:ascii="Times New Roman" w:eastAsia="宋体" w:hAnsi="Times New Roman" w:cs="Times New Roman"/>
          <w:sz w:val="24"/>
          <w:szCs w:val="24"/>
        </w:rPr>
        <w:t>2024-00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</w:p>
    <w:p w14:paraId="4BCC4A50" w14:textId="77777777" w:rsidR="00474570" w:rsidRDefault="00680BBF">
      <w:pPr>
        <w:kinsoku/>
        <w:autoSpaceDE/>
        <w:autoSpaceDN/>
        <w:spacing w:line="360" w:lineRule="auto"/>
        <w:jc w:val="center"/>
        <w:rPr>
          <w:rFonts w:ascii="Times New Roman" w:eastAsia="宋体" w:hAnsi="Times New Roman" w:cs="Times New Roman"/>
          <w:b/>
          <w:bCs/>
          <w:spacing w:val="12"/>
          <w:sz w:val="30"/>
          <w:szCs w:val="30"/>
        </w:rPr>
      </w:pPr>
      <w:proofErr w:type="gramStart"/>
      <w:r>
        <w:rPr>
          <w:rFonts w:ascii="Times New Roman" w:eastAsia="宋体" w:hAnsi="Times New Roman" w:cs="Times New Roman"/>
          <w:b/>
          <w:bCs/>
          <w:spacing w:val="12"/>
          <w:sz w:val="30"/>
          <w:szCs w:val="30"/>
        </w:rPr>
        <w:t>恒林家居</w:t>
      </w:r>
      <w:proofErr w:type="gramEnd"/>
      <w:r>
        <w:rPr>
          <w:rFonts w:ascii="Times New Roman" w:eastAsia="宋体" w:hAnsi="Times New Roman" w:cs="Times New Roman"/>
          <w:b/>
          <w:bCs/>
          <w:spacing w:val="12"/>
          <w:sz w:val="30"/>
          <w:szCs w:val="30"/>
        </w:rPr>
        <w:t>股份有限公司</w:t>
      </w:r>
    </w:p>
    <w:p w14:paraId="774BCBC8" w14:textId="77777777" w:rsidR="00474570" w:rsidRDefault="00680BBF">
      <w:pPr>
        <w:kinsoku/>
        <w:autoSpaceDE/>
        <w:autoSpaceDN/>
        <w:spacing w:line="360" w:lineRule="auto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spacing w:val="12"/>
          <w:sz w:val="30"/>
          <w:szCs w:val="30"/>
        </w:rPr>
        <w:t>投资者关系活动记录表</w:t>
      </w:r>
    </w:p>
    <w:tbl>
      <w:tblPr>
        <w:tblStyle w:val="TableNormal"/>
        <w:tblW w:w="4998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54"/>
        <w:gridCol w:w="2763"/>
        <w:gridCol w:w="4000"/>
      </w:tblGrid>
      <w:tr w:rsidR="00474570" w14:paraId="716DAA60" w14:textId="77777777">
        <w:trPr>
          <w:trHeight w:val="1600"/>
        </w:trPr>
        <w:tc>
          <w:tcPr>
            <w:tcW w:w="1029" w:type="pct"/>
            <w:tcBorders>
              <w:tl2br w:val="nil"/>
              <w:tr2bl w:val="nil"/>
            </w:tcBorders>
            <w:vAlign w:val="center"/>
          </w:tcPr>
          <w:p w14:paraId="31D5A700" w14:textId="77777777" w:rsidR="00474570" w:rsidRDefault="00680BBF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8"/>
              </w:rPr>
              <w:t>投资者关系</w:t>
            </w:r>
          </w:p>
          <w:p w14:paraId="6C7481D7" w14:textId="77777777" w:rsidR="00474570" w:rsidRDefault="00680BBF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8"/>
              </w:rPr>
              <w:t>活动类别</w:t>
            </w:r>
          </w:p>
        </w:tc>
        <w:tc>
          <w:tcPr>
            <w:tcW w:w="1622" w:type="pct"/>
            <w:tcBorders>
              <w:right w:val="nil"/>
            </w:tcBorders>
          </w:tcPr>
          <w:p w14:paraId="4CA602F3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□</w:t>
            </w:r>
            <w:r>
              <w:rPr>
                <w:rFonts w:ascii="Times New Roman" w:eastAsia="宋体" w:hAnsi="Times New Roman" w:cs="Times New Roman"/>
                <w:spacing w:val="8"/>
              </w:rPr>
              <w:t>特定对象调研</w:t>
            </w:r>
          </w:p>
          <w:p w14:paraId="17CC0935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□</w:t>
            </w:r>
            <w:r>
              <w:rPr>
                <w:rFonts w:ascii="Times New Roman" w:eastAsia="宋体" w:hAnsi="Times New Roman" w:cs="Times New Roman"/>
                <w:spacing w:val="8"/>
              </w:rPr>
              <w:t>媒体采访</w:t>
            </w:r>
          </w:p>
          <w:p w14:paraId="098A036F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□</w:t>
            </w:r>
            <w:r>
              <w:rPr>
                <w:rFonts w:ascii="Times New Roman" w:eastAsia="宋体" w:hAnsi="Times New Roman" w:cs="Times New Roman"/>
                <w:spacing w:val="8"/>
              </w:rPr>
              <w:t>新闻发布会</w:t>
            </w:r>
          </w:p>
          <w:p w14:paraId="0EB27040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□</w:t>
            </w:r>
            <w:r>
              <w:rPr>
                <w:rFonts w:ascii="Times New Roman" w:eastAsia="宋体" w:hAnsi="Times New Roman" w:cs="Times New Roman"/>
                <w:spacing w:val="8"/>
              </w:rPr>
              <w:t>现场参观</w:t>
            </w:r>
          </w:p>
        </w:tc>
        <w:tc>
          <w:tcPr>
            <w:tcW w:w="2348" w:type="pct"/>
            <w:tcBorders>
              <w:left w:val="nil"/>
            </w:tcBorders>
          </w:tcPr>
          <w:p w14:paraId="6E890031" w14:textId="5331E490" w:rsidR="00474570" w:rsidRDefault="00E62336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☑</w:t>
            </w:r>
            <w:r w:rsidR="00680BBF">
              <w:rPr>
                <w:rFonts w:ascii="Times New Roman" w:eastAsia="宋体" w:hAnsi="Times New Roman" w:cs="Times New Roman"/>
                <w:spacing w:val="8"/>
              </w:rPr>
              <w:t>分析师会议</w:t>
            </w:r>
          </w:p>
          <w:p w14:paraId="18D959CE" w14:textId="3C1A5868" w:rsidR="00474570" w:rsidRDefault="00E62336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□</w:t>
            </w:r>
            <w:r w:rsidR="00680BBF">
              <w:rPr>
                <w:rFonts w:ascii="Times New Roman" w:eastAsia="宋体" w:hAnsi="Times New Roman" w:cs="Times New Roman"/>
                <w:spacing w:val="8"/>
              </w:rPr>
              <w:t>业绩说明会</w:t>
            </w:r>
          </w:p>
          <w:p w14:paraId="6556ED01" w14:textId="0F481C24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☑</w:t>
            </w:r>
            <w:r>
              <w:rPr>
                <w:rFonts w:ascii="Times New Roman" w:eastAsia="宋体" w:hAnsi="Times New Roman" w:cs="Times New Roman"/>
                <w:spacing w:val="8"/>
              </w:rPr>
              <w:t>路演活动</w:t>
            </w:r>
          </w:p>
          <w:p w14:paraId="52CF2FE8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□</w:t>
            </w:r>
            <w:r>
              <w:rPr>
                <w:rFonts w:ascii="Times New Roman" w:eastAsia="宋体" w:hAnsi="Times New Roman" w:cs="Times New Roman"/>
                <w:spacing w:val="8"/>
              </w:rPr>
              <w:t>其他：</w:t>
            </w:r>
            <w:r>
              <w:rPr>
                <w:rFonts w:ascii="Times New Roman" w:eastAsia="宋体" w:hAnsi="Times New Roman" w:cs="Times New Roman"/>
                <w:spacing w:val="8"/>
                <w:u w:val="single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spacing w:val="8"/>
                <w:u w:val="single"/>
              </w:rPr>
              <w:t xml:space="preserve">  </w:t>
            </w:r>
          </w:p>
        </w:tc>
      </w:tr>
      <w:tr w:rsidR="00474570" w14:paraId="076AB6F6" w14:textId="77777777">
        <w:trPr>
          <w:trHeight w:val="1600"/>
        </w:trPr>
        <w:tc>
          <w:tcPr>
            <w:tcW w:w="1029" w:type="pct"/>
            <w:tcBorders>
              <w:tl2br w:val="nil"/>
              <w:tr2bl w:val="nil"/>
            </w:tcBorders>
            <w:vAlign w:val="center"/>
          </w:tcPr>
          <w:p w14:paraId="172E0F93" w14:textId="77777777" w:rsidR="00474570" w:rsidRDefault="00680BBF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8"/>
              </w:rPr>
              <w:t>参与单位名称</w:t>
            </w:r>
          </w:p>
        </w:tc>
        <w:tc>
          <w:tcPr>
            <w:tcW w:w="3970" w:type="pct"/>
            <w:gridSpan w:val="2"/>
            <w:tcBorders>
              <w:tl2br w:val="nil"/>
              <w:tr2bl w:val="nil"/>
            </w:tcBorders>
          </w:tcPr>
          <w:p w14:paraId="5529EFC2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永赢基金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、鹏华基金、冲积资管、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沣京资管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、承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珞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投资、季胜投资、同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犇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投资、中信证券、国盛证券、长江证券、安信证券、华创证券、东吴证券、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 xml:space="preserve">HOVER4PI 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CAPITAL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、摩根基金、宁银理财、国融自营、万方资本、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磐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厚资管、国海证券、中信证券、海通证券、国联证券、招商证券、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浙商证券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、东北证券、国信证券、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Pinpoint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、国泰基金、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浙商证券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、方正证券、长江证券、方正富邦、招商自营、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西部利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得、国信证券、开源证券、招商银行、华杉投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研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慧理基金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、天风证券、华福证券、申万宏源、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恒越基金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、中意资管、民生证券、中国人寿、兴华基金、东海基金、金鹰基金、华安基金、东海基金、玄元私募、中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金资管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、富国基金、利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檀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投资、国华兴益、工银安盛、国金证券、中海基金、阿杏投资、宝盈基金、东海证券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、汇华理财、平安养老、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贵源投资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、长信基金、东方证券、华泰资管、博道基金、融通基金、东证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融汇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、国金证券、青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骊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投资、中金公司；</w:t>
            </w:r>
          </w:p>
          <w:p w14:paraId="63AEF2B1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博时基金、太平资产、广发基金、申万凌信基金。</w:t>
            </w:r>
          </w:p>
          <w:p w14:paraId="3C555B46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合计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79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家机构，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110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人次。</w:t>
            </w:r>
          </w:p>
        </w:tc>
      </w:tr>
      <w:tr w:rsidR="00474570" w14:paraId="5341F65F" w14:textId="77777777">
        <w:trPr>
          <w:trHeight w:val="567"/>
        </w:trPr>
        <w:tc>
          <w:tcPr>
            <w:tcW w:w="1029" w:type="pct"/>
            <w:tcBorders>
              <w:tl2br w:val="nil"/>
              <w:tr2bl w:val="nil"/>
            </w:tcBorders>
            <w:vAlign w:val="center"/>
          </w:tcPr>
          <w:p w14:paraId="23F9AACD" w14:textId="77777777" w:rsidR="00474570" w:rsidRDefault="00680BBF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8"/>
              </w:rPr>
              <w:t>时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bCs/>
                <w:spacing w:val="8"/>
              </w:rPr>
              <w:t>间</w:t>
            </w:r>
          </w:p>
        </w:tc>
        <w:tc>
          <w:tcPr>
            <w:tcW w:w="3970" w:type="pct"/>
            <w:gridSpan w:val="2"/>
            <w:tcBorders>
              <w:tl2br w:val="nil"/>
              <w:tr2bl w:val="nil"/>
            </w:tcBorders>
            <w:vAlign w:val="center"/>
          </w:tcPr>
          <w:p w14:paraId="3C1A2D20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/>
                <w:spacing w:val="8"/>
              </w:rPr>
              <w:t>2024</w:t>
            </w:r>
            <w:r>
              <w:rPr>
                <w:rFonts w:ascii="Times New Roman" w:eastAsia="宋体" w:hAnsi="Times New Roman" w:cs="Times New Roman"/>
                <w:spacing w:val="8"/>
              </w:rPr>
              <w:t>年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8</w:t>
            </w:r>
            <w:r>
              <w:rPr>
                <w:rFonts w:ascii="Times New Roman" w:eastAsia="宋体" w:hAnsi="Times New Roman" w:cs="Times New Roman"/>
                <w:spacing w:val="8"/>
              </w:rPr>
              <w:t>月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23</w:t>
            </w:r>
            <w:r>
              <w:rPr>
                <w:rFonts w:ascii="Times New Roman" w:eastAsia="宋体" w:hAnsi="Times New Roman" w:cs="Times New Roman"/>
                <w:spacing w:val="8"/>
              </w:rPr>
              <w:t>日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，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2024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年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8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月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26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日</w:t>
            </w:r>
          </w:p>
        </w:tc>
      </w:tr>
      <w:tr w:rsidR="00474570" w14:paraId="71275606" w14:textId="77777777">
        <w:trPr>
          <w:trHeight w:val="567"/>
        </w:trPr>
        <w:tc>
          <w:tcPr>
            <w:tcW w:w="1029" w:type="pct"/>
            <w:tcBorders>
              <w:tl2br w:val="nil"/>
              <w:tr2bl w:val="nil"/>
            </w:tcBorders>
            <w:vAlign w:val="center"/>
          </w:tcPr>
          <w:p w14:paraId="24957ADF" w14:textId="77777777" w:rsidR="00474570" w:rsidRDefault="00680BBF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8"/>
              </w:rPr>
              <w:t>地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bCs/>
                <w:spacing w:val="8"/>
              </w:rPr>
              <w:t>点</w:t>
            </w:r>
          </w:p>
        </w:tc>
        <w:tc>
          <w:tcPr>
            <w:tcW w:w="3970" w:type="pct"/>
            <w:gridSpan w:val="2"/>
            <w:tcBorders>
              <w:tl2br w:val="nil"/>
              <w:tr2bl w:val="nil"/>
            </w:tcBorders>
            <w:vAlign w:val="center"/>
          </w:tcPr>
          <w:p w14:paraId="1597871E" w14:textId="160A82F5" w:rsidR="00474570" w:rsidRDefault="00951F92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线上会议</w:t>
            </w:r>
          </w:p>
        </w:tc>
      </w:tr>
      <w:tr w:rsidR="00474570" w14:paraId="15BA934E" w14:textId="77777777">
        <w:trPr>
          <w:trHeight w:val="501"/>
        </w:trPr>
        <w:tc>
          <w:tcPr>
            <w:tcW w:w="1029" w:type="pct"/>
            <w:tcBorders>
              <w:tl2br w:val="nil"/>
              <w:tr2bl w:val="nil"/>
            </w:tcBorders>
            <w:vAlign w:val="center"/>
          </w:tcPr>
          <w:p w14:paraId="0D1C1301" w14:textId="77777777" w:rsidR="00474570" w:rsidRDefault="00680BBF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1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10"/>
              </w:rPr>
              <w:t>上市公司</w:t>
            </w:r>
          </w:p>
          <w:p w14:paraId="0911B35B" w14:textId="77777777" w:rsidR="00474570" w:rsidRDefault="00680BBF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10"/>
              </w:rPr>
              <w:t>参加</w:t>
            </w:r>
            <w:r>
              <w:rPr>
                <w:rFonts w:ascii="Times New Roman" w:eastAsia="宋体" w:hAnsi="Times New Roman" w:cs="Times New Roman"/>
                <w:b/>
                <w:bCs/>
                <w:spacing w:val="10"/>
              </w:rPr>
              <w:t>人</w:t>
            </w:r>
            <w:r>
              <w:rPr>
                <w:rFonts w:ascii="Times New Roman" w:eastAsia="宋体" w:hAnsi="Times New Roman" w:cs="Times New Roman"/>
                <w:b/>
                <w:bCs/>
                <w:spacing w:val="5"/>
              </w:rPr>
              <w:t>员</w:t>
            </w:r>
            <w:r>
              <w:rPr>
                <w:rFonts w:ascii="Times New Roman" w:eastAsia="宋体" w:hAnsi="Times New Roman" w:cs="Times New Roman"/>
                <w:b/>
                <w:bCs/>
                <w:spacing w:val="3"/>
              </w:rPr>
              <w:t>姓名</w:t>
            </w:r>
          </w:p>
        </w:tc>
        <w:tc>
          <w:tcPr>
            <w:tcW w:w="3970" w:type="pct"/>
            <w:gridSpan w:val="2"/>
            <w:tcBorders>
              <w:tl2br w:val="nil"/>
              <w:tr2bl w:val="nil"/>
            </w:tcBorders>
            <w:vAlign w:val="center"/>
          </w:tcPr>
          <w:p w14:paraId="1A0A3C5E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董事会秘书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汤鸿雁女士</w:t>
            </w:r>
          </w:p>
        </w:tc>
      </w:tr>
      <w:tr w:rsidR="00474570" w14:paraId="5DE84506" w14:textId="77777777">
        <w:trPr>
          <w:trHeight w:val="90"/>
        </w:trPr>
        <w:tc>
          <w:tcPr>
            <w:tcW w:w="1029" w:type="pct"/>
            <w:tcBorders>
              <w:tl2br w:val="nil"/>
              <w:tr2bl w:val="nil"/>
            </w:tcBorders>
            <w:vAlign w:val="center"/>
          </w:tcPr>
          <w:p w14:paraId="31B1D0CF" w14:textId="77777777" w:rsidR="00474570" w:rsidRDefault="00680BBF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8"/>
              </w:rPr>
              <w:t>投资者关系活动</w:t>
            </w:r>
          </w:p>
          <w:p w14:paraId="0DA454E4" w14:textId="77777777" w:rsidR="00474570" w:rsidRDefault="00680BBF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8"/>
              </w:rPr>
              <w:t>主要内容介绍</w:t>
            </w:r>
          </w:p>
        </w:tc>
        <w:tc>
          <w:tcPr>
            <w:tcW w:w="3970" w:type="pct"/>
            <w:gridSpan w:val="2"/>
            <w:tcBorders>
              <w:tl2br w:val="nil"/>
              <w:tr2bl w:val="nil"/>
            </w:tcBorders>
          </w:tcPr>
          <w:p w14:paraId="3027BCFD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业绩交流会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主要问题及回复如下：</w:t>
            </w:r>
          </w:p>
          <w:p w14:paraId="70F11AC3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、介绍公司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2024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年上半年经营情况。</w:t>
            </w:r>
          </w:p>
          <w:p w14:paraId="0934DB7C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答：公司坚持“大家居”战略，积极向“制造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+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服务”企业转型，持续推动全球化战略布局，搭建全球供应链管理体系，加速自主品牌出海步伐。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2024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年上半年实现营业收入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48.04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亿元，较上年同期增长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31.86%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；实现归属于上市公司股东的净利润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2.20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亿元，较上年同期减少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16.17%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，原因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主要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系报告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期内公司加大对销售业务费用等的投入，而当期汇兑收益较上期下降所导致。</w:t>
            </w:r>
          </w:p>
          <w:p w14:paraId="518CDFA3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lastRenderedPageBreak/>
              <w:t>公司制造业务在稳步增长的同时，不断加强自主品牌创收能力。报告期内公司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OEM/ODM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业务实现营业收入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24.61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亿元，同比增长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10.62%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；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OBM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业务实现营业收入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23.35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亿元，同比增长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70.56%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。</w:t>
            </w:r>
          </w:p>
          <w:p w14:paraId="1624EBF4" w14:textId="77777777" w:rsidR="00474570" w:rsidRDefault="00474570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</w:p>
          <w:p w14:paraId="6DE73574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、公司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OEM/ODM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业务收入同比增长的原因是什么？</w:t>
            </w:r>
          </w:p>
          <w:p w14:paraId="513C5046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公司积极参加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全球性的家居展会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，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且成立了北美等区域的本土销售团队，通过增加拜访客户频次，并邀请客户参加相关展会，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广泛而有效地与潜在客户进行接触、交流，进而建立商业合作关系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。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叠加公司具备海外产能的同时，一直保持良好的交货期限和产品品质。</w:t>
            </w:r>
          </w:p>
          <w:p w14:paraId="43332476" w14:textId="77777777" w:rsidR="00474570" w:rsidRDefault="00474570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</w:p>
          <w:p w14:paraId="2DED120D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公司的海外仓是自用为主还是对外出租作为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三方仓为主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？公司租赁海外仓的主要目的是什么？</w:t>
            </w:r>
          </w:p>
          <w:p w14:paraId="31EA5870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公司的海外仓以自用为主。主要是为了降低运输成本，提高配送时效。</w:t>
            </w:r>
          </w:p>
          <w:p w14:paraId="5FE9EFD1" w14:textId="77777777" w:rsidR="00474570" w:rsidRDefault="00474570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</w:p>
          <w:p w14:paraId="503E7333" w14:textId="77777777" w:rsidR="00474570" w:rsidRDefault="00680BBF">
            <w:pPr>
              <w:numPr>
                <w:ilvl w:val="0"/>
                <w:numId w:val="1"/>
              </w:num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公司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跨境电商增速比较快的原因？</w:t>
            </w:r>
          </w:p>
          <w:p w14:paraId="4B9D03BA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公司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2024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年上半年跨境电商实现营收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16.86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亿，营收已超过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2023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年全年，主要是公司在拓展品类的同时积极拥抱各大电商平台。产品方面：前期公司跨境电商产品以自产的办公桌椅为主，目前产品覆盖人体工学椅、升降桌、收纳柜、功能沙发等；平台方面：前期以亚马逊平台为主，目前平台覆盖亚马逊、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TEMU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、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TIKTOK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等主流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第三方线上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电商平台。</w:t>
            </w:r>
          </w:p>
          <w:p w14:paraId="0CB9B8A4" w14:textId="77777777" w:rsidR="00474570" w:rsidRDefault="00474570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</w:p>
          <w:p w14:paraId="2FD35990" w14:textId="77777777" w:rsidR="00474570" w:rsidRDefault="00680BBF">
            <w:pPr>
              <w:numPr>
                <w:ilvl w:val="0"/>
                <w:numId w:val="1"/>
              </w:num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跨境电商在品类拓展上有哪些策略？哪些平台的产品是自有仓发货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。</w:t>
            </w:r>
          </w:p>
          <w:p w14:paraId="362D9A5D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公司在品类拓展上持谨慎计划，目前集中在大家居范围内的桌椅、收纳、软体等品类上，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SKU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较少，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实行大单品策略。</w:t>
            </w:r>
          </w:p>
          <w:p w14:paraId="671A92D8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目前跨境电商各平台销售基本都是自有仓发货。</w:t>
            </w:r>
          </w:p>
          <w:p w14:paraId="27AF123A" w14:textId="77777777" w:rsidR="00474570" w:rsidRDefault="00474570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</w:p>
          <w:p w14:paraId="51C1E019" w14:textId="77777777" w:rsidR="00474570" w:rsidRDefault="00680BBF">
            <w:pPr>
              <w:numPr>
                <w:ilvl w:val="0"/>
                <w:numId w:val="1"/>
              </w:num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考虑关税原因，跨境电商产品是否考虑在越南生产和采购？</w:t>
            </w:r>
          </w:p>
          <w:p w14:paraId="017A09A3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目前已有部分产品在越南生产和采购。</w:t>
            </w:r>
          </w:p>
          <w:p w14:paraId="69D6EE5A" w14:textId="77777777" w:rsidR="00474570" w:rsidRDefault="00474570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</w:p>
          <w:p w14:paraId="680BB4CD" w14:textId="4C02571F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7</w:t>
            </w:r>
            <w:r w:rsidR="0080326F"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、目前全球家具市场的行业发展空间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？</w:t>
            </w:r>
          </w:p>
          <w:p w14:paraId="747F4F21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根据</w:t>
            </w:r>
            <w:proofErr w:type="spellStart"/>
            <w:r>
              <w:rPr>
                <w:rFonts w:ascii="Times New Roman" w:eastAsia="宋体" w:hAnsi="Times New Roman" w:cs="Times New Roman" w:hint="eastAsia"/>
                <w:spacing w:val="8"/>
              </w:rPr>
              <w:t>Csil</w:t>
            </w:r>
            <w:proofErr w:type="spellEnd"/>
            <w:r>
              <w:rPr>
                <w:rFonts w:ascii="Times New Roman" w:eastAsia="宋体" w:hAnsi="Times New Roman" w:cs="Times New Roman" w:hint="eastAsia"/>
                <w:spacing w:val="8"/>
              </w:rPr>
              <w:t>全球家具市场研究报告的数据显示，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2023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年全球家具产值约为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5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,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180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亿美元。而中国作为全球家具生产的主要出口国之一，在过去的几年中，满足了全球家具市场约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20%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的需求，领先于其他家具出口国家。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公司在中国、越南、瑞士等国家持有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研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产销一体的生产基地，可以满足客户的订单需求。</w:t>
            </w:r>
          </w:p>
          <w:p w14:paraId="25FE95C7" w14:textId="77777777" w:rsidR="00474570" w:rsidRDefault="00474570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</w:p>
          <w:p w14:paraId="2F21B7D6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8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、跨境电商家具市场发展现状如何？公司有什么发展计划？</w:t>
            </w:r>
          </w:p>
          <w:p w14:paraId="7C2BFF2E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根据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Statista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的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数据显示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，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2023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年全球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家具电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商市场规模达到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2,360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亿美元。预计到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2027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年，美国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家具电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商市场将达到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1,186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亿美元，中国将达到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852.8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亿美元，而欧洲将达到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834.7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亿美元，市场规模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整体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呈稳步上升态势。政策方面，国家支持鼓励跨境电商，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九大部门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出台《关于拓展跨境电商出口推进海外仓建设的意见》，指导加强相关基础设施和物流体系建设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，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并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优化监管与服务，旨在加大对跨境电商经营主体发展的支持力度。报告期内，公司坚持贯彻全球化战略布局，全方位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发展跨境电商，搭建全球供应链管理体系，加速自主品牌出海，贴近消费端布局海外仓，为出口持续增长注入新动能。在助推自主品牌建设的同时，打造公司第二增长曲线。</w:t>
            </w:r>
          </w:p>
          <w:p w14:paraId="0F8703C3" w14:textId="77777777" w:rsidR="00474570" w:rsidRDefault="00474570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</w:p>
          <w:p w14:paraId="4B501CFE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9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、上半年同期汇兑收益的金额变化出发，公司对下半年的汇率波动采取哪些措施？</w:t>
            </w:r>
          </w:p>
          <w:p w14:paraId="654B9580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公司以外销为主，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2023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年全年汇兑收益是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6,902.85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万元，为了有效规避和防范外汇市场风险，平滑汇率波动对公司经营业绩造成的影响，公司在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8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月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22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日第七届董事会第三次会议审议通过《关于开展外汇衍生品业务的议案》，公司会密切关注汇率波动，在适当的时候谨慎开展远期结售汇等操作，固定成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本，从而有效规避市场汇率波动的风险。</w:t>
            </w:r>
          </w:p>
          <w:p w14:paraId="3FA29170" w14:textId="77777777" w:rsidR="00474570" w:rsidRDefault="00474570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</w:p>
          <w:p w14:paraId="6C7C964C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10</w:t>
            </w:r>
            <w:r>
              <w:rPr>
                <w:rFonts w:ascii="Times New Roman" w:eastAsia="宋体" w:hAnsi="Times New Roman" w:cs="Times New Roman" w:hint="eastAsia"/>
                <w:b/>
                <w:bCs/>
                <w:spacing w:val="8"/>
              </w:rPr>
              <w:t>、存货增加的原因？以及如何进行存货管理？</w:t>
            </w:r>
          </w:p>
          <w:p w14:paraId="3C7E535C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 w:hint="eastAsia"/>
                <w:spacing w:val="8"/>
              </w:rPr>
              <w:t>开展跨境电商业</w:t>
            </w:r>
            <w:proofErr w:type="gramStart"/>
            <w:r>
              <w:rPr>
                <w:rFonts w:ascii="Times New Roman" w:eastAsia="宋体" w:hAnsi="Times New Roman" w:cs="Times New Roman" w:hint="eastAsia"/>
                <w:spacing w:val="8"/>
              </w:rPr>
              <w:t>务需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8"/>
              </w:rPr>
              <w:t>准备一定比例的存货以保证销售额和客户到货体验，根据上半年的销量看目前处于安全库存。公司将持续依托自主研发的电商管理系统，结合每个产品销量增长趋势、产品竞争程度、季节性特点、当前库存量、预计到货时间等因素，预测产品在未来的需求量，有效控制库存，降低存货滞销风险。</w:t>
            </w:r>
          </w:p>
        </w:tc>
      </w:tr>
      <w:tr w:rsidR="00474570" w14:paraId="08195BEC" w14:textId="77777777">
        <w:trPr>
          <w:trHeight w:val="567"/>
        </w:trPr>
        <w:tc>
          <w:tcPr>
            <w:tcW w:w="1029" w:type="pct"/>
            <w:tcBorders>
              <w:tl2br w:val="nil"/>
              <w:tr2bl w:val="nil"/>
            </w:tcBorders>
          </w:tcPr>
          <w:p w14:paraId="32ACDF55" w14:textId="77777777" w:rsidR="00474570" w:rsidRDefault="00680BBF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8"/>
              </w:rPr>
              <w:lastRenderedPageBreak/>
              <w:t>附</w:t>
            </w:r>
            <w:r>
              <w:rPr>
                <w:rFonts w:ascii="Times New Roman" w:eastAsia="宋体" w:hAnsi="Times New Roman" w:cs="Times New Roman"/>
                <w:b/>
                <w:bCs/>
                <w:spacing w:val="6"/>
              </w:rPr>
              <w:t>件</w:t>
            </w:r>
            <w:r>
              <w:rPr>
                <w:rFonts w:ascii="Times New Roman" w:eastAsia="宋体" w:hAnsi="Times New Roman" w:cs="Times New Roman"/>
                <w:b/>
                <w:bCs/>
                <w:spacing w:val="4"/>
              </w:rPr>
              <w:t>清单</w:t>
            </w:r>
          </w:p>
        </w:tc>
        <w:tc>
          <w:tcPr>
            <w:tcW w:w="3970" w:type="pct"/>
            <w:gridSpan w:val="2"/>
            <w:tcBorders>
              <w:tl2br w:val="nil"/>
              <w:tr2bl w:val="nil"/>
            </w:tcBorders>
          </w:tcPr>
          <w:p w14:paraId="2D0085CA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无</w:t>
            </w:r>
          </w:p>
        </w:tc>
      </w:tr>
      <w:tr w:rsidR="00474570" w14:paraId="0B8B0DC4" w14:textId="77777777">
        <w:trPr>
          <w:trHeight w:val="567"/>
        </w:trPr>
        <w:tc>
          <w:tcPr>
            <w:tcW w:w="1029" w:type="pct"/>
            <w:tcBorders>
              <w:tl2br w:val="nil"/>
              <w:tr2bl w:val="nil"/>
            </w:tcBorders>
          </w:tcPr>
          <w:p w14:paraId="4FE80F6D" w14:textId="77777777" w:rsidR="00474570" w:rsidRDefault="00680BBF">
            <w:pPr>
              <w:kinsoku/>
              <w:autoSpaceDE/>
              <w:autoSpaceDN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pacing w:val="8"/>
              </w:rPr>
              <w:t>记录日期</w:t>
            </w:r>
          </w:p>
        </w:tc>
        <w:tc>
          <w:tcPr>
            <w:tcW w:w="3970" w:type="pct"/>
            <w:gridSpan w:val="2"/>
            <w:tcBorders>
              <w:tl2br w:val="nil"/>
              <w:tr2bl w:val="nil"/>
            </w:tcBorders>
          </w:tcPr>
          <w:p w14:paraId="14A4A643" w14:textId="77777777" w:rsidR="00474570" w:rsidRDefault="00680BBF">
            <w:pPr>
              <w:kinsoku/>
              <w:autoSpaceDE/>
              <w:autoSpaceDN/>
              <w:spacing w:line="400" w:lineRule="exact"/>
              <w:jc w:val="both"/>
              <w:rPr>
                <w:rFonts w:ascii="Times New Roman" w:eastAsia="宋体" w:hAnsi="Times New Roman" w:cs="Times New Roman"/>
                <w:spacing w:val="8"/>
              </w:rPr>
            </w:pPr>
            <w:r>
              <w:rPr>
                <w:rFonts w:ascii="Times New Roman" w:eastAsia="宋体" w:hAnsi="Times New Roman" w:cs="Times New Roman"/>
                <w:spacing w:val="8"/>
              </w:rPr>
              <w:t>2024</w:t>
            </w:r>
            <w:r>
              <w:rPr>
                <w:rFonts w:ascii="Times New Roman" w:eastAsia="宋体" w:hAnsi="Times New Roman" w:cs="Times New Roman"/>
                <w:spacing w:val="8"/>
              </w:rPr>
              <w:t>年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8</w:t>
            </w:r>
            <w:r>
              <w:rPr>
                <w:rFonts w:ascii="Times New Roman" w:eastAsia="宋体" w:hAnsi="Times New Roman" w:cs="Times New Roman"/>
                <w:spacing w:val="8"/>
              </w:rPr>
              <w:t>月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2</w:t>
            </w:r>
            <w:r>
              <w:rPr>
                <w:rFonts w:ascii="Times New Roman" w:eastAsia="宋体" w:hAnsi="Times New Roman" w:cs="Times New Roman" w:hint="eastAsia"/>
                <w:spacing w:val="8"/>
              </w:rPr>
              <w:t>6</w:t>
            </w:r>
            <w:r>
              <w:rPr>
                <w:rFonts w:ascii="Times New Roman" w:eastAsia="宋体" w:hAnsi="Times New Roman" w:cs="Times New Roman"/>
                <w:spacing w:val="8"/>
              </w:rPr>
              <w:t>日</w:t>
            </w:r>
          </w:p>
        </w:tc>
      </w:tr>
    </w:tbl>
    <w:p w14:paraId="709BDF3C" w14:textId="77777777" w:rsidR="00474570" w:rsidRDefault="00474570"/>
    <w:sectPr w:rsidR="00474570">
      <w:pgSz w:w="11906" w:h="16838"/>
      <w:pgMar w:top="1134" w:right="1701" w:bottom="567" w:left="1701" w:header="567" w:footer="283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F23937"/>
    <w:multiLevelType w:val="singleLevel"/>
    <w:tmpl w:val="94B2EC90"/>
    <w:lvl w:ilvl="0">
      <w:start w:val="4"/>
      <w:numFmt w:val="decimal"/>
      <w:suff w:val="nothing"/>
      <w:lvlText w:val="%1、"/>
      <w:lvlJc w:val="left"/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jRiOGVjNGQ4OGM0YzEzYzQ1MWZkNTM4MWNiNmEifQ=="/>
  </w:docVars>
  <w:rsids>
    <w:rsidRoot w:val="69C3779E"/>
    <w:rsid w:val="00026D3A"/>
    <w:rsid w:val="00031733"/>
    <w:rsid w:val="00035B8E"/>
    <w:rsid w:val="00142CF9"/>
    <w:rsid w:val="00146BFC"/>
    <w:rsid w:val="002732F1"/>
    <w:rsid w:val="00381443"/>
    <w:rsid w:val="0038565B"/>
    <w:rsid w:val="003B63CA"/>
    <w:rsid w:val="00420ED3"/>
    <w:rsid w:val="00474570"/>
    <w:rsid w:val="004964BB"/>
    <w:rsid w:val="004B4949"/>
    <w:rsid w:val="00572AF0"/>
    <w:rsid w:val="005A5883"/>
    <w:rsid w:val="005E7CAB"/>
    <w:rsid w:val="00610558"/>
    <w:rsid w:val="00611353"/>
    <w:rsid w:val="00680BBF"/>
    <w:rsid w:val="006D26BF"/>
    <w:rsid w:val="00731E8B"/>
    <w:rsid w:val="0080326F"/>
    <w:rsid w:val="00833EA1"/>
    <w:rsid w:val="00846688"/>
    <w:rsid w:val="00865041"/>
    <w:rsid w:val="00872DFA"/>
    <w:rsid w:val="0094581C"/>
    <w:rsid w:val="00951F92"/>
    <w:rsid w:val="009A3303"/>
    <w:rsid w:val="00A16405"/>
    <w:rsid w:val="00A22E8C"/>
    <w:rsid w:val="00A3743D"/>
    <w:rsid w:val="00A52537"/>
    <w:rsid w:val="00A81D39"/>
    <w:rsid w:val="00AD4137"/>
    <w:rsid w:val="00B21219"/>
    <w:rsid w:val="00B329C2"/>
    <w:rsid w:val="00B46918"/>
    <w:rsid w:val="00C04B3E"/>
    <w:rsid w:val="00CC6B49"/>
    <w:rsid w:val="00CD79DA"/>
    <w:rsid w:val="00D53F82"/>
    <w:rsid w:val="00DC065B"/>
    <w:rsid w:val="00DD5B4D"/>
    <w:rsid w:val="00DF14BB"/>
    <w:rsid w:val="00DF2E2A"/>
    <w:rsid w:val="00E05707"/>
    <w:rsid w:val="00E612FC"/>
    <w:rsid w:val="00E62336"/>
    <w:rsid w:val="00E6625A"/>
    <w:rsid w:val="00EB0ABE"/>
    <w:rsid w:val="00ED29C1"/>
    <w:rsid w:val="00EE1963"/>
    <w:rsid w:val="00F23B9F"/>
    <w:rsid w:val="00F6245C"/>
    <w:rsid w:val="00F83845"/>
    <w:rsid w:val="00FB37F3"/>
    <w:rsid w:val="00FE5A83"/>
    <w:rsid w:val="01541EA9"/>
    <w:rsid w:val="01730582"/>
    <w:rsid w:val="01830099"/>
    <w:rsid w:val="0196601E"/>
    <w:rsid w:val="01F042F5"/>
    <w:rsid w:val="021653B1"/>
    <w:rsid w:val="02511F45"/>
    <w:rsid w:val="026B1259"/>
    <w:rsid w:val="0342075F"/>
    <w:rsid w:val="0361440A"/>
    <w:rsid w:val="03710AF1"/>
    <w:rsid w:val="03F60FF6"/>
    <w:rsid w:val="04071455"/>
    <w:rsid w:val="04323A1D"/>
    <w:rsid w:val="04455AD9"/>
    <w:rsid w:val="04784101"/>
    <w:rsid w:val="0543026B"/>
    <w:rsid w:val="056D7096"/>
    <w:rsid w:val="05CD66B1"/>
    <w:rsid w:val="05EE314E"/>
    <w:rsid w:val="06652810"/>
    <w:rsid w:val="06D118A6"/>
    <w:rsid w:val="070659F4"/>
    <w:rsid w:val="07837045"/>
    <w:rsid w:val="08283748"/>
    <w:rsid w:val="0837398B"/>
    <w:rsid w:val="08387E2F"/>
    <w:rsid w:val="0869623A"/>
    <w:rsid w:val="09067F2D"/>
    <w:rsid w:val="09270947"/>
    <w:rsid w:val="092F4ED6"/>
    <w:rsid w:val="096864F2"/>
    <w:rsid w:val="09A84B40"/>
    <w:rsid w:val="09AF2373"/>
    <w:rsid w:val="09CD0A4B"/>
    <w:rsid w:val="0A01439A"/>
    <w:rsid w:val="0A740EC6"/>
    <w:rsid w:val="0A8530D4"/>
    <w:rsid w:val="0A981059"/>
    <w:rsid w:val="0AEC4F01"/>
    <w:rsid w:val="0B2576EE"/>
    <w:rsid w:val="0B3F7726"/>
    <w:rsid w:val="0B732F2C"/>
    <w:rsid w:val="0B835865"/>
    <w:rsid w:val="0B9C09A6"/>
    <w:rsid w:val="0BA23811"/>
    <w:rsid w:val="0BB05F2E"/>
    <w:rsid w:val="0BD460C1"/>
    <w:rsid w:val="0BDE0CED"/>
    <w:rsid w:val="0C290AFB"/>
    <w:rsid w:val="0C4F3999"/>
    <w:rsid w:val="0C5F2F92"/>
    <w:rsid w:val="0C654F6B"/>
    <w:rsid w:val="0C9C64B3"/>
    <w:rsid w:val="0CEF2A86"/>
    <w:rsid w:val="0D49663A"/>
    <w:rsid w:val="0D4E3C51"/>
    <w:rsid w:val="0D6B65B1"/>
    <w:rsid w:val="0D9B50DD"/>
    <w:rsid w:val="0DF5231E"/>
    <w:rsid w:val="0E1409F6"/>
    <w:rsid w:val="0E653000"/>
    <w:rsid w:val="0E665F9C"/>
    <w:rsid w:val="0E99714E"/>
    <w:rsid w:val="0EB67D00"/>
    <w:rsid w:val="0F087E2F"/>
    <w:rsid w:val="0F135152"/>
    <w:rsid w:val="0F2E7896"/>
    <w:rsid w:val="0F314D26"/>
    <w:rsid w:val="0F842AF5"/>
    <w:rsid w:val="0FB3423F"/>
    <w:rsid w:val="0FFB4026"/>
    <w:rsid w:val="102931AF"/>
    <w:rsid w:val="102E415D"/>
    <w:rsid w:val="107C2883"/>
    <w:rsid w:val="10C14B1F"/>
    <w:rsid w:val="10EA5A3E"/>
    <w:rsid w:val="10EA6BB2"/>
    <w:rsid w:val="11102465"/>
    <w:rsid w:val="111B6540"/>
    <w:rsid w:val="11274EE5"/>
    <w:rsid w:val="11540863"/>
    <w:rsid w:val="11B524F0"/>
    <w:rsid w:val="11F272A1"/>
    <w:rsid w:val="11FA43A7"/>
    <w:rsid w:val="121511E1"/>
    <w:rsid w:val="121C6D01"/>
    <w:rsid w:val="12802811"/>
    <w:rsid w:val="12971BF6"/>
    <w:rsid w:val="12B74046"/>
    <w:rsid w:val="12F86B39"/>
    <w:rsid w:val="13270B8B"/>
    <w:rsid w:val="134D0507"/>
    <w:rsid w:val="13567656"/>
    <w:rsid w:val="13BA2040"/>
    <w:rsid w:val="13C407C9"/>
    <w:rsid w:val="13C7650B"/>
    <w:rsid w:val="142676D5"/>
    <w:rsid w:val="143D6A32"/>
    <w:rsid w:val="143F0797"/>
    <w:rsid w:val="14667AD2"/>
    <w:rsid w:val="14ED01F3"/>
    <w:rsid w:val="14FE6C50"/>
    <w:rsid w:val="151A266A"/>
    <w:rsid w:val="154A2F50"/>
    <w:rsid w:val="155142DE"/>
    <w:rsid w:val="157E709D"/>
    <w:rsid w:val="158226E9"/>
    <w:rsid w:val="15AB60E4"/>
    <w:rsid w:val="15B562E9"/>
    <w:rsid w:val="15DB004C"/>
    <w:rsid w:val="15F66C34"/>
    <w:rsid w:val="16A42B33"/>
    <w:rsid w:val="16C136E5"/>
    <w:rsid w:val="16C62AAA"/>
    <w:rsid w:val="16ED6288"/>
    <w:rsid w:val="16F77107"/>
    <w:rsid w:val="17377504"/>
    <w:rsid w:val="178D1819"/>
    <w:rsid w:val="178D5376"/>
    <w:rsid w:val="181B0BD3"/>
    <w:rsid w:val="18AB01A9"/>
    <w:rsid w:val="18B76B4E"/>
    <w:rsid w:val="1A02204B"/>
    <w:rsid w:val="1A491A28"/>
    <w:rsid w:val="1A734CF7"/>
    <w:rsid w:val="1A8E38DF"/>
    <w:rsid w:val="1AA2382E"/>
    <w:rsid w:val="1AF75928"/>
    <w:rsid w:val="1B0248EA"/>
    <w:rsid w:val="1B132036"/>
    <w:rsid w:val="1B5C39DD"/>
    <w:rsid w:val="1C9D605B"/>
    <w:rsid w:val="1D266050"/>
    <w:rsid w:val="1D344C11"/>
    <w:rsid w:val="1D3F5364"/>
    <w:rsid w:val="1D74500E"/>
    <w:rsid w:val="1DB94424"/>
    <w:rsid w:val="1E075E82"/>
    <w:rsid w:val="1E90231B"/>
    <w:rsid w:val="1ECC70CB"/>
    <w:rsid w:val="1F264A2D"/>
    <w:rsid w:val="1F3C1B5B"/>
    <w:rsid w:val="1F576995"/>
    <w:rsid w:val="1F66307C"/>
    <w:rsid w:val="1F6E3CDF"/>
    <w:rsid w:val="1FE65F6B"/>
    <w:rsid w:val="202817D8"/>
    <w:rsid w:val="204809D3"/>
    <w:rsid w:val="20AE6A88"/>
    <w:rsid w:val="20E16492"/>
    <w:rsid w:val="21162880"/>
    <w:rsid w:val="21182154"/>
    <w:rsid w:val="218B501C"/>
    <w:rsid w:val="219A700D"/>
    <w:rsid w:val="21AD6D40"/>
    <w:rsid w:val="22237002"/>
    <w:rsid w:val="223C1E72"/>
    <w:rsid w:val="22877591"/>
    <w:rsid w:val="22C75BE0"/>
    <w:rsid w:val="23515DF1"/>
    <w:rsid w:val="23782EB8"/>
    <w:rsid w:val="239F090A"/>
    <w:rsid w:val="23EB7FF4"/>
    <w:rsid w:val="23F76998"/>
    <w:rsid w:val="23FA2218"/>
    <w:rsid w:val="242C083D"/>
    <w:rsid w:val="24343749"/>
    <w:rsid w:val="243E6375"/>
    <w:rsid w:val="24727DCD"/>
    <w:rsid w:val="24B86128"/>
    <w:rsid w:val="2561056D"/>
    <w:rsid w:val="258E6E89"/>
    <w:rsid w:val="25B508B9"/>
    <w:rsid w:val="25CE3729"/>
    <w:rsid w:val="25D86356"/>
    <w:rsid w:val="25E82A3D"/>
    <w:rsid w:val="25EE2134"/>
    <w:rsid w:val="26404627"/>
    <w:rsid w:val="26CC5EBA"/>
    <w:rsid w:val="26CF1507"/>
    <w:rsid w:val="26E33204"/>
    <w:rsid w:val="27800622"/>
    <w:rsid w:val="27D52B4D"/>
    <w:rsid w:val="27EB411E"/>
    <w:rsid w:val="282615FA"/>
    <w:rsid w:val="28441A80"/>
    <w:rsid w:val="2886653D"/>
    <w:rsid w:val="289B1FE8"/>
    <w:rsid w:val="28B27332"/>
    <w:rsid w:val="28CF3A40"/>
    <w:rsid w:val="28D42E04"/>
    <w:rsid w:val="292673D8"/>
    <w:rsid w:val="296C74E1"/>
    <w:rsid w:val="297A2AD3"/>
    <w:rsid w:val="297B506E"/>
    <w:rsid w:val="29DB01C2"/>
    <w:rsid w:val="2A0B4F4C"/>
    <w:rsid w:val="2A1060BE"/>
    <w:rsid w:val="2A224043"/>
    <w:rsid w:val="2A33716D"/>
    <w:rsid w:val="2A5F0DF4"/>
    <w:rsid w:val="2ABC7FF4"/>
    <w:rsid w:val="2B365FF8"/>
    <w:rsid w:val="2B423B01"/>
    <w:rsid w:val="2B4959D2"/>
    <w:rsid w:val="2B841236"/>
    <w:rsid w:val="2B876854"/>
    <w:rsid w:val="2BA354D5"/>
    <w:rsid w:val="2BC5737C"/>
    <w:rsid w:val="2BD66E93"/>
    <w:rsid w:val="2C47109A"/>
    <w:rsid w:val="2C4B7881"/>
    <w:rsid w:val="2D03015C"/>
    <w:rsid w:val="2D12039F"/>
    <w:rsid w:val="2D376058"/>
    <w:rsid w:val="2D3B5B48"/>
    <w:rsid w:val="2D430559"/>
    <w:rsid w:val="2D480265"/>
    <w:rsid w:val="2D6C3F53"/>
    <w:rsid w:val="2D7C1CBC"/>
    <w:rsid w:val="2D834DF9"/>
    <w:rsid w:val="2DAC4350"/>
    <w:rsid w:val="2DAF2092"/>
    <w:rsid w:val="2E0E0B66"/>
    <w:rsid w:val="2E7035CF"/>
    <w:rsid w:val="2E960B5C"/>
    <w:rsid w:val="2EBB54F1"/>
    <w:rsid w:val="2ED973C6"/>
    <w:rsid w:val="2EE33285"/>
    <w:rsid w:val="2F012479"/>
    <w:rsid w:val="2F154177"/>
    <w:rsid w:val="2F210D6D"/>
    <w:rsid w:val="2F2B5748"/>
    <w:rsid w:val="2F2D14C0"/>
    <w:rsid w:val="2F2D326E"/>
    <w:rsid w:val="2F452CAE"/>
    <w:rsid w:val="2F6D3FB3"/>
    <w:rsid w:val="2F6F7D2B"/>
    <w:rsid w:val="2F7075FF"/>
    <w:rsid w:val="2FB15C4D"/>
    <w:rsid w:val="2FC55B9D"/>
    <w:rsid w:val="301663F8"/>
    <w:rsid w:val="30826642"/>
    <w:rsid w:val="30C47C02"/>
    <w:rsid w:val="30C85BD0"/>
    <w:rsid w:val="30E51B70"/>
    <w:rsid w:val="311640F4"/>
    <w:rsid w:val="314825E1"/>
    <w:rsid w:val="31833619"/>
    <w:rsid w:val="319767BA"/>
    <w:rsid w:val="319C6612"/>
    <w:rsid w:val="31C3435E"/>
    <w:rsid w:val="31DE2F46"/>
    <w:rsid w:val="31F91B2E"/>
    <w:rsid w:val="31FA0A9F"/>
    <w:rsid w:val="3200110E"/>
    <w:rsid w:val="326276D3"/>
    <w:rsid w:val="32645854"/>
    <w:rsid w:val="32CC2D9E"/>
    <w:rsid w:val="32E87322"/>
    <w:rsid w:val="33631954"/>
    <w:rsid w:val="33A04957"/>
    <w:rsid w:val="33AD0E22"/>
    <w:rsid w:val="33B0446E"/>
    <w:rsid w:val="33DF6B01"/>
    <w:rsid w:val="340A6274"/>
    <w:rsid w:val="343E7CCC"/>
    <w:rsid w:val="34586FDF"/>
    <w:rsid w:val="346F257B"/>
    <w:rsid w:val="348B2F14"/>
    <w:rsid w:val="34B41D3C"/>
    <w:rsid w:val="34B561E0"/>
    <w:rsid w:val="35727C2D"/>
    <w:rsid w:val="35814314"/>
    <w:rsid w:val="358B5193"/>
    <w:rsid w:val="35942299"/>
    <w:rsid w:val="35BF6BEA"/>
    <w:rsid w:val="35D119BA"/>
    <w:rsid w:val="35F26FC0"/>
    <w:rsid w:val="360016DD"/>
    <w:rsid w:val="36266C69"/>
    <w:rsid w:val="36482726"/>
    <w:rsid w:val="368E4F3A"/>
    <w:rsid w:val="36BB1AA7"/>
    <w:rsid w:val="36C941C4"/>
    <w:rsid w:val="37DE3C9F"/>
    <w:rsid w:val="381C6576"/>
    <w:rsid w:val="3891486E"/>
    <w:rsid w:val="38A43657"/>
    <w:rsid w:val="391D25A6"/>
    <w:rsid w:val="39693A3D"/>
    <w:rsid w:val="396B1563"/>
    <w:rsid w:val="397D1296"/>
    <w:rsid w:val="398E5251"/>
    <w:rsid w:val="39E66E3B"/>
    <w:rsid w:val="3A03179B"/>
    <w:rsid w:val="3A5E4C24"/>
    <w:rsid w:val="3A6F6E31"/>
    <w:rsid w:val="3ADC3D9A"/>
    <w:rsid w:val="3AFB7CEB"/>
    <w:rsid w:val="3B0F4170"/>
    <w:rsid w:val="3B143534"/>
    <w:rsid w:val="3BB6597D"/>
    <w:rsid w:val="3BF770DE"/>
    <w:rsid w:val="3C1F4887"/>
    <w:rsid w:val="3C237ED3"/>
    <w:rsid w:val="3C2462AB"/>
    <w:rsid w:val="3C756255"/>
    <w:rsid w:val="3CAC00F5"/>
    <w:rsid w:val="3CB21257"/>
    <w:rsid w:val="3D25234D"/>
    <w:rsid w:val="3D771C95"/>
    <w:rsid w:val="3DC01751"/>
    <w:rsid w:val="3DC0651D"/>
    <w:rsid w:val="3E3C527C"/>
    <w:rsid w:val="3EED47C8"/>
    <w:rsid w:val="3F2C52F0"/>
    <w:rsid w:val="3F446ADE"/>
    <w:rsid w:val="3F591E5E"/>
    <w:rsid w:val="3F593C0C"/>
    <w:rsid w:val="3F632CDC"/>
    <w:rsid w:val="3FC714BD"/>
    <w:rsid w:val="3FF37BBC"/>
    <w:rsid w:val="400E49F6"/>
    <w:rsid w:val="40750F19"/>
    <w:rsid w:val="40AF5E62"/>
    <w:rsid w:val="410F4ECA"/>
    <w:rsid w:val="416845DA"/>
    <w:rsid w:val="41D220AA"/>
    <w:rsid w:val="42666D6B"/>
    <w:rsid w:val="426F31FF"/>
    <w:rsid w:val="42894808"/>
    <w:rsid w:val="42BD2703"/>
    <w:rsid w:val="42DA5063"/>
    <w:rsid w:val="42EE5C48"/>
    <w:rsid w:val="42F56341"/>
    <w:rsid w:val="43030A5E"/>
    <w:rsid w:val="439B2A45"/>
    <w:rsid w:val="43A833B4"/>
    <w:rsid w:val="43AB3094"/>
    <w:rsid w:val="43B458B4"/>
    <w:rsid w:val="43B9111D"/>
    <w:rsid w:val="43DE6DD5"/>
    <w:rsid w:val="43F14D5A"/>
    <w:rsid w:val="44CE0BF8"/>
    <w:rsid w:val="44ED4282"/>
    <w:rsid w:val="44F3240C"/>
    <w:rsid w:val="45244CBC"/>
    <w:rsid w:val="455F7BAB"/>
    <w:rsid w:val="45706A8E"/>
    <w:rsid w:val="45AA3413"/>
    <w:rsid w:val="45C30031"/>
    <w:rsid w:val="46565349"/>
    <w:rsid w:val="467557CF"/>
    <w:rsid w:val="46B4080A"/>
    <w:rsid w:val="46DF0E9A"/>
    <w:rsid w:val="46E37985"/>
    <w:rsid w:val="4712301E"/>
    <w:rsid w:val="47881532"/>
    <w:rsid w:val="47BE0A2A"/>
    <w:rsid w:val="480A0199"/>
    <w:rsid w:val="486A68B9"/>
    <w:rsid w:val="48741AB6"/>
    <w:rsid w:val="48B024D7"/>
    <w:rsid w:val="48E7672C"/>
    <w:rsid w:val="48EC789E"/>
    <w:rsid w:val="49315AE0"/>
    <w:rsid w:val="496622C1"/>
    <w:rsid w:val="498D1081"/>
    <w:rsid w:val="49CF169A"/>
    <w:rsid w:val="49F70BF1"/>
    <w:rsid w:val="49F9070C"/>
    <w:rsid w:val="4A3B6D2F"/>
    <w:rsid w:val="4A742241"/>
    <w:rsid w:val="4A767D68"/>
    <w:rsid w:val="4AE90539"/>
    <w:rsid w:val="4AEE78FE"/>
    <w:rsid w:val="4B223A4B"/>
    <w:rsid w:val="4B2772B4"/>
    <w:rsid w:val="4B884025"/>
    <w:rsid w:val="4B9668A1"/>
    <w:rsid w:val="4BB87F0C"/>
    <w:rsid w:val="4C2F01CE"/>
    <w:rsid w:val="4C621875"/>
    <w:rsid w:val="4C80529D"/>
    <w:rsid w:val="4C9444D5"/>
    <w:rsid w:val="4CA24E44"/>
    <w:rsid w:val="4CB15087"/>
    <w:rsid w:val="4E0E2891"/>
    <w:rsid w:val="4E2F6BAB"/>
    <w:rsid w:val="4E5E4D9B"/>
    <w:rsid w:val="4E7520E4"/>
    <w:rsid w:val="4E9D1D67"/>
    <w:rsid w:val="4EC866B8"/>
    <w:rsid w:val="4ECC264C"/>
    <w:rsid w:val="4F1C4C2B"/>
    <w:rsid w:val="4F3279C2"/>
    <w:rsid w:val="4F493C9D"/>
    <w:rsid w:val="4F7F321A"/>
    <w:rsid w:val="4FC92959"/>
    <w:rsid w:val="4FE237A9"/>
    <w:rsid w:val="506378F4"/>
    <w:rsid w:val="508C4813"/>
    <w:rsid w:val="50C335DB"/>
    <w:rsid w:val="50C51C0A"/>
    <w:rsid w:val="50E772C9"/>
    <w:rsid w:val="5116151E"/>
    <w:rsid w:val="51491D32"/>
    <w:rsid w:val="515617DD"/>
    <w:rsid w:val="51597A9B"/>
    <w:rsid w:val="51E073BF"/>
    <w:rsid w:val="52304CA0"/>
    <w:rsid w:val="52377DDC"/>
    <w:rsid w:val="528A428F"/>
    <w:rsid w:val="52A82A88"/>
    <w:rsid w:val="53FF492A"/>
    <w:rsid w:val="54821012"/>
    <w:rsid w:val="548B2661"/>
    <w:rsid w:val="54AB503B"/>
    <w:rsid w:val="555B2034"/>
    <w:rsid w:val="55621614"/>
    <w:rsid w:val="556A2277"/>
    <w:rsid w:val="556D1D67"/>
    <w:rsid w:val="55821CB6"/>
    <w:rsid w:val="55C31B7E"/>
    <w:rsid w:val="55C45E2B"/>
    <w:rsid w:val="55E02539"/>
    <w:rsid w:val="55F569F0"/>
    <w:rsid w:val="56091A90"/>
    <w:rsid w:val="562B40FC"/>
    <w:rsid w:val="565F5B54"/>
    <w:rsid w:val="5684380C"/>
    <w:rsid w:val="5697353F"/>
    <w:rsid w:val="56A8574D"/>
    <w:rsid w:val="56BC6B02"/>
    <w:rsid w:val="56CF0F2B"/>
    <w:rsid w:val="56E16569"/>
    <w:rsid w:val="571406EC"/>
    <w:rsid w:val="571957A0"/>
    <w:rsid w:val="57FB7AFE"/>
    <w:rsid w:val="583345AB"/>
    <w:rsid w:val="584414A5"/>
    <w:rsid w:val="58A3441E"/>
    <w:rsid w:val="58DA3BB7"/>
    <w:rsid w:val="59945B14"/>
    <w:rsid w:val="59EF3692"/>
    <w:rsid w:val="5A184997"/>
    <w:rsid w:val="5A20384C"/>
    <w:rsid w:val="5A3B68D8"/>
    <w:rsid w:val="5AA93841"/>
    <w:rsid w:val="5AAE0E58"/>
    <w:rsid w:val="5AAE70AA"/>
    <w:rsid w:val="5AD22D98"/>
    <w:rsid w:val="5AFF7905"/>
    <w:rsid w:val="5B0B62AA"/>
    <w:rsid w:val="5B101B12"/>
    <w:rsid w:val="5B2A2BD4"/>
    <w:rsid w:val="5B410044"/>
    <w:rsid w:val="5B550409"/>
    <w:rsid w:val="5B60276E"/>
    <w:rsid w:val="5B7F3D40"/>
    <w:rsid w:val="5B94004E"/>
    <w:rsid w:val="5BBB382C"/>
    <w:rsid w:val="5BDE576D"/>
    <w:rsid w:val="5BF725CD"/>
    <w:rsid w:val="5C0D1BAE"/>
    <w:rsid w:val="5C5477DD"/>
    <w:rsid w:val="5C8207EE"/>
    <w:rsid w:val="5CA95D7B"/>
    <w:rsid w:val="5CF80AB0"/>
    <w:rsid w:val="5D107BA8"/>
    <w:rsid w:val="5D437773"/>
    <w:rsid w:val="5D997B9D"/>
    <w:rsid w:val="5DAD3CAF"/>
    <w:rsid w:val="5DB54966"/>
    <w:rsid w:val="5DE51034"/>
    <w:rsid w:val="5E4319A3"/>
    <w:rsid w:val="5E56783C"/>
    <w:rsid w:val="5E7B72A3"/>
    <w:rsid w:val="5EB97DCB"/>
    <w:rsid w:val="5EBA601D"/>
    <w:rsid w:val="5F6B7317"/>
    <w:rsid w:val="5F9920D6"/>
    <w:rsid w:val="5F993C47"/>
    <w:rsid w:val="5FED3C45"/>
    <w:rsid w:val="60B3541A"/>
    <w:rsid w:val="61903065"/>
    <w:rsid w:val="61B2122D"/>
    <w:rsid w:val="61CB0541"/>
    <w:rsid w:val="621B4377"/>
    <w:rsid w:val="623068C3"/>
    <w:rsid w:val="627806C9"/>
    <w:rsid w:val="629E17B2"/>
    <w:rsid w:val="62D96C8E"/>
    <w:rsid w:val="62F56D26"/>
    <w:rsid w:val="633F2F95"/>
    <w:rsid w:val="63640C4D"/>
    <w:rsid w:val="637F5A87"/>
    <w:rsid w:val="63BB4636"/>
    <w:rsid w:val="640D3093"/>
    <w:rsid w:val="640D4E41"/>
    <w:rsid w:val="646C3A0A"/>
    <w:rsid w:val="64B4350F"/>
    <w:rsid w:val="64B90B25"/>
    <w:rsid w:val="64C179D9"/>
    <w:rsid w:val="64D836A1"/>
    <w:rsid w:val="65075D34"/>
    <w:rsid w:val="650A5824"/>
    <w:rsid w:val="656B62C3"/>
    <w:rsid w:val="65A81267"/>
    <w:rsid w:val="65AE4402"/>
    <w:rsid w:val="65D26342"/>
    <w:rsid w:val="65E46075"/>
    <w:rsid w:val="66236B9E"/>
    <w:rsid w:val="677376B1"/>
    <w:rsid w:val="67A05FCC"/>
    <w:rsid w:val="67E35558"/>
    <w:rsid w:val="68030A35"/>
    <w:rsid w:val="6861575B"/>
    <w:rsid w:val="6865349E"/>
    <w:rsid w:val="68D4417F"/>
    <w:rsid w:val="68F55159"/>
    <w:rsid w:val="6905258B"/>
    <w:rsid w:val="69307669"/>
    <w:rsid w:val="69C3779E"/>
    <w:rsid w:val="69C45FA2"/>
    <w:rsid w:val="69CC4E56"/>
    <w:rsid w:val="69D1246D"/>
    <w:rsid w:val="6A0D3C70"/>
    <w:rsid w:val="6A1862EE"/>
    <w:rsid w:val="6A4730CB"/>
    <w:rsid w:val="6A75729C"/>
    <w:rsid w:val="6AB97AD1"/>
    <w:rsid w:val="6AD44F64"/>
    <w:rsid w:val="6ADF6E0B"/>
    <w:rsid w:val="6B497AD5"/>
    <w:rsid w:val="6BC54253"/>
    <w:rsid w:val="6D064B23"/>
    <w:rsid w:val="6D9640F9"/>
    <w:rsid w:val="6DF22BF9"/>
    <w:rsid w:val="6E105C5A"/>
    <w:rsid w:val="6E526272"/>
    <w:rsid w:val="6E5C0E9F"/>
    <w:rsid w:val="6E9A19C7"/>
    <w:rsid w:val="6EC6456A"/>
    <w:rsid w:val="6ECF78C3"/>
    <w:rsid w:val="6EFC1D3A"/>
    <w:rsid w:val="6F0B01CF"/>
    <w:rsid w:val="6FAE0DBB"/>
    <w:rsid w:val="70170F8D"/>
    <w:rsid w:val="70A26911"/>
    <w:rsid w:val="70AE52B6"/>
    <w:rsid w:val="71233EF6"/>
    <w:rsid w:val="712832BA"/>
    <w:rsid w:val="717A508E"/>
    <w:rsid w:val="717E66C1"/>
    <w:rsid w:val="71881FAB"/>
    <w:rsid w:val="71AF12E6"/>
    <w:rsid w:val="71B7463E"/>
    <w:rsid w:val="720A0C12"/>
    <w:rsid w:val="72330169"/>
    <w:rsid w:val="727509F3"/>
    <w:rsid w:val="72891C24"/>
    <w:rsid w:val="730D09BA"/>
    <w:rsid w:val="732B52E4"/>
    <w:rsid w:val="734B7734"/>
    <w:rsid w:val="737256C5"/>
    <w:rsid w:val="73BE1CB4"/>
    <w:rsid w:val="73C51294"/>
    <w:rsid w:val="73D17C39"/>
    <w:rsid w:val="7408113D"/>
    <w:rsid w:val="74471CA9"/>
    <w:rsid w:val="747F58E7"/>
    <w:rsid w:val="74F33BDF"/>
    <w:rsid w:val="74FB2A94"/>
    <w:rsid w:val="7525340F"/>
    <w:rsid w:val="75510906"/>
    <w:rsid w:val="75952EE8"/>
    <w:rsid w:val="75954C96"/>
    <w:rsid w:val="76155B8A"/>
    <w:rsid w:val="761D1A95"/>
    <w:rsid w:val="762875EC"/>
    <w:rsid w:val="76361FD5"/>
    <w:rsid w:val="768E4430"/>
    <w:rsid w:val="76EF03D6"/>
    <w:rsid w:val="773724A9"/>
    <w:rsid w:val="77560455"/>
    <w:rsid w:val="77754D7F"/>
    <w:rsid w:val="77BF424C"/>
    <w:rsid w:val="786B1345"/>
    <w:rsid w:val="78996A59"/>
    <w:rsid w:val="78FD502C"/>
    <w:rsid w:val="78FE54EF"/>
    <w:rsid w:val="79092219"/>
    <w:rsid w:val="79966C24"/>
    <w:rsid w:val="79A951B4"/>
    <w:rsid w:val="7A2B7977"/>
    <w:rsid w:val="7B3311D9"/>
    <w:rsid w:val="7B3614A8"/>
    <w:rsid w:val="7B3E36DA"/>
    <w:rsid w:val="7B473A05"/>
    <w:rsid w:val="7B672C31"/>
    <w:rsid w:val="7B7B492E"/>
    <w:rsid w:val="7B902188"/>
    <w:rsid w:val="7C0C5586"/>
    <w:rsid w:val="7C38637B"/>
    <w:rsid w:val="7C6A0C2B"/>
    <w:rsid w:val="7C8A307B"/>
    <w:rsid w:val="7D034BDB"/>
    <w:rsid w:val="7D225061"/>
    <w:rsid w:val="7D2A03BA"/>
    <w:rsid w:val="7D6453C3"/>
    <w:rsid w:val="7D6513F2"/>
    <w:rsid w:val="7D937D0D"/>
    <w:rsid w:val="7D957F29"/>
    <w:rsid w:val="7E024E93"/>
    <w:rsid w:val="7ED70BBB"/>
    <w:rsid w:val="7F030EC3"/>
    <w:rsid w:val="7F4C286A"/>
    <w:rsid w:val="7F5F07EF"/>
    <w:rsid w:val="7FCC39AA"/>
    <w:rsid w:val="7FE2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30AC2"/>
  <w15:docId w15:val="{DE844111-46B0-441F-AD35-DB64D88F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4">
    <w:name w:val="页脚 字符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杨璐</dc:creator>
  <cp:lastModifiedBy>HUAWEI</cp:lastModifiedBy>
  <cp:revision>8</cp:revision>
  <dcterms:created xsi:type="dcterms:W3CDTF">2024-07-24T01:10:00Z</dcterms:created>
  <dcterms:modified xsi:type="dcterms:W3CDTF">2024-08-26T09:58:00Z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5BEDABCD920442E38996B8948E5712B1_11</vt:lpwstr>
  </property>
</Properties>
</file>