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3161" w14:textId="5305DBAD" w:rsidR="0026247B" w:rsidRPr="00602296" w:rsidRDefault="0026247B" w:rsidP="0026247B">
      <w:pPr>
        <w:spacing w:line="360" w:lineRule="auto"/>
        <w:ind w:firstLineChars="0" w:firstLine="0"/>
        <w:rPr>
          <w:rFonts w:ascii="宋体" w:eastAsia="宋体" w:hAnsi="宋体" w:cs="宋体"/>
          <w:sz w:val="21"/>
          <w:szCs w:val="21"/>
        </w:rPr>
      </w:pPr>
      <w:r w:rsidRPr="00602296">
        <w:rPr>
          <w:rFonts w:ascii="宋体" w:eastAsia="宋体" w:hAnsi="宋体" w:cs="宋体" w:hint="eastAsia"/>
          <w:b/>
          <w:bCs/>
          <w:sz w:val="21"/>
          <w:szCs w:val="21"/>
        </w:rPr>
        <w:t>证券代码：</w:t>
      </w:r>
      <w:r w:rsidRPr="00602296">
        <w:rPr>
          <w:rFonts w:ascii="宋体" w:eastAsia="宋体" w:hAnsi="宋体" w:cs="宋体"/>
          <w:sz w:val="21"/>
          <w:szCs w:val="21"/>
        </w:rPr>
        <w:t xml:space="preserve">603600                         </w:t>
      </w:r>
      <w:r w:rsidR="009A4D7B" w:rsidRPr="00602296">
        <w:rPr>
          <w:rFonts w:ascii="宋体" w:eastAsia="宋体" w:hAnsi="宋体" w:cs="宋体"/>
          <w:sz w:val="21"/>
          <w:szCs w:val="21"/>
        </w:rPr>
        <w:t xml:space="preserve">       </w:t>
      </w:r>
      <w:r w:rsidRPr="00602296">
        <w:rPr>
          <w:rFonts w:ascii="宋体" w:eastAsia="宋体" w:hAnsi="宋体" w:cs="宋体"/>
          <w:sz w:val="21"/>
          <w:szCs w:val="21"/>
        </w:rPr>
        <w:t xml:space="preserve">          </w:t>
      </w:r>
      <w:r w:rsidRPr="00602296">
        <w:rPr>
          <w:rFonts w:ascii="宋体" w:eastAsia="宋体" w:hAnsi="宋体" w:cs="宋体" w:hint="eastAsia"/>
          <w:b/>
          <w:bCs/>
          <w:sz w:val="21"/>
          <w:szCs w:val="21"/>
        </w:rPr>
        <w:t>证券简称：</w:t>
      </w:r>
      <w:proofErr w:type="gramStart"/>
      <w:r w:rsidRPr="00602296">
        <w:rPr>
          <w:rFonts w:ascii="宋体" w:eastAsia="宋体" w:hAnsi="宋体" w:cs="宋体" w:hint="eastAsia"/>
          <w:sz w:val="21"/>
          <w:szCs w:val="21"/>
        </w:rPr>
        <w:t>永艺股份</w:t>
      </w:r>
      <w:proofErr w:type="gramEnd"/>
    </w:p>
    <w:p w14:paraId="5A8AC6A8" w14:textId="77777777" w:rsidR="0026247B" w:rsidRPr="00602296" w:rsidRDefault="0026247B" w:rsidP="0026247B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sz w:val="28"/>
          <w:szCs w:val="28"/>
        </w:rPr>
      </w:pPr>
      <w:proofErr w:type="gramStart"/>
      <w:r w:rsidRPr="00602296">
        <w:rPr>
          <w:rFonts w:ascii="宋体" w:eastAsia="宋体" w:hAnsi="宋体" w:cs="宋体" w:hint="eastAsia"/>
          <w:b/>
          <w:iCs/>
          <w:sz w:val="28"/>
          <w:szCs w:val="28"/>
        </w:rPr>
        <w:t>永艺家具</w:t>
      </w:r>
      <w:proofErr w:type="gramEnd"/>
      <w:r w:rsidRPr="00602296">
        <w:rPr>
          <w:rFonts w:ascii="宋体" w:eastAsia="宋体" w:hAnsi="宋体" w:cs="宋体" w:hint="eastAsia"/>
          <w:b/>
          <w:iCs/>
          <w:sz w:val="28"/>
          <w:szCs w:val="28"/>
        </w:rPr>
        <w:t>股份有限公司</w:t>
      </w:r>
    </w:p>
    <w:p w14:paraId="18F410F9" w14:textId="6D6683C0" w:rsidR="0026247B" w:rsidRPr="00602296" w:rsidRDefault="0026247B" w:rsidP="0026247B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sz w:val="28"/>
          <w:szCs w:val="28"/>
        </w:rPr>
      </w:pPr>
      <w:r w:rsidRPr="00602296">
        <w:rPr>
          <w:rFonts w:ascii="宋体" w:eastAsia="宋体" w:hAnsi="宋体" w:cs="宋体" w:hint="eastAsia"/>
          <w:b/>
          <w:iCs/>
          <w:sz w:val="28"/>
          <w:szCs w:val="28"/>
        </w:rPr>
        <w:t>投资者关系活动记录表</w:t>
      </w:r>
    </w:p>
    <w:p w14:paraId="1FAE8FF7" w14:textId="6A419310" w:rsidR="0026247B" w:rsidRPr="00602296" w:rsidRDefault="0026247B" w:rsidP="0026247B">
      <w:pPr>
        <w:spacing w:line="360" w:lineRule="auto"/>
        <w:ind w:firstLineChars="0" w:firstLine="0"/>
        <w:rPr>
          <w:rFonts w:ascii="宋体" w:eastAsia="宋体" w:hAnsi="宋体" w:cs="宋体"/>
          <w:bCs/>
          <w:iCs/>
          <w:sz w:val="21"/>
          <w:szCs w:val="21"/>
        </w:rPr>
      </w:pPr>
      <w:r w:rsidRPr="00602296">
        <w:rPr>
          <w:rFonts w:ascii="宋体" w:eastAsia="宋体" w:hAnsi="宋体" w:cs="宋体" w:hint="eastAsia"/>
          <w:bCs/>
          <w:iCs/>
          <w:sz w:val="21"/>
          <w:szCs w:val="21"/>
        </w:rPr>
        <w:t xml:space="preserve">                                             </w:t>
      </w:r>
      <w:r w:rsidR="001D326C" w:rsidRPr="00602296">
        <w:rPr>
          <w:rFonts w:ascii="宋体" w:eastAsia="宋体" w:hAnsi="宋体" w:cs="宋体"/>
          <w:bCs/>
          <w:iCs/>
          <w:sz w:val="21"/>
          <w:szCs w:val="21"/>
        </w:rPr>
        <w:t xml:space="preserve">       </w:t>
      </w:r>
      <w:r w:rsidR="009E3FED" w:rsidRPr="00602296">
        <w:rPr>
          <w:rFonts w:ascii="宋体" w:eastAsia="宋体" w:hAnsi="宋体" w:cs="宋体"/>
          <w:bCs/>
          <w:iCs/>
          <w:sz w:val="21"/>
          <w:szCs w:val="21"/>
        </w:rPr>
        <w:t xml:space="preserve">         </w:t>
      </w:r>
      <w:r w:rsidR="001D326C" w:rsidRPr="00602296">
        <w:rPr>
          <w:rFonts w:ascii="宋体" w:eastAsia="宋体" w:hAnsi="宋体" w:cs="宋体"/>
          <w:bCs/>
          <w:iCs/>
          <w:sz w:val="21"/>
          <w:szCs w:val="21"/>
        </w:rPr>
        <w:t xml:space="preserve"> </w:t>
      </w:r>
      <w:r w:rsidRPr="00602296">
        <w:rPr>
          <w:rFonts w:ascii="宋体" w:eastAsia="宋体" w:hAnsi="宋体" w:cs="宋体" w:hint="eastAsia"/>
          <w:bCs/>
          <w:iCs/>
          <w:sz w:val="21"/>
          <w:szCs w:val="21"/>
        </w:rPr>
        <w:t>编号：</w:t>
      </w:r>
      <w:r w:rsidRPr="00602296">
        <w:rPr>
          <w:rFonts w:ascii="宋体" w:eastAsia="宋体" w:hAnsi="宋体" w:cs="宋体"/>
          <w:bCs/>
          <w:iCs/>
          <w:sz w:val="21"/>
          <w:szCs w:val="21"/>
        </w:rPr>
        <w:t>202</w:t>
      </w:r>
      <w:r w:rsidR="00E528C7" w:rsidRPr="00602296">
        <w:rPr>
          <w:rFonts w:ascii="宋体" w:eastAsia="宋体" w:hAnsi="宋体" w:cs="宋体"/>
          <w:bCs/>
          <w:iCs/>
          <w:sz w:val="21"/>
          <w:szCs w:val="21"/>
        </w:rPr>
        <w:t>4</w:t>
      </w:r>
      <w:r w:rsidRPr="00602296">
        <w:rPr>
          <w:rFonts w:ascii="宋体" w:eastAsia="宋体" w:hAnsi="宋体" w:cs="宋体" w:hint="eastAsia"/>
          <w:bCs/>
          <w:iCs/>
          <w:sz w:val="21"/>
          <w:szCs w:val="21"/>
        </w:rPr>
        <w:t>-</w:t>
      </w:r>
      <w:r w:rsidR="00A058E5" w:rsidRPr="00602296">
        <w:rPr>
          <w:rFonts w:ascii="宋体" w:eastAsia="宋体" w:hAnsi="宋体" w:cs="宋体" w:hint="eastAsia"/>
          <w:bCs/>
          <w:iCs/>
          <w:sz w:val="21"/>
          <w:szCs w:val="21"/>
        </w:rPr>
        <w:t>0</w:t>
      </w:r>
      <w:r w:rsidR="00A058E5" w:rsidRPr="00602296">
        <w:rPr>
          <w:rFonts w:ascii="宋体" w:eastAsia="宋体" w:hAnsi="宋体" w:cs="宋体"/>
          <w:bCs/>
          <w:iCs/>
          <w:sz w:val="21"/>
          <w:szCs w:val="21"/>
        </w:rPr>
        <w:t>0</w:t>
      </w:r>
      <w:r w:rsidR="00A058E5">
        <w:rPr>
          <w:rFonts w:ascii="宋体" w:eastAsia="宋体" w:hAnsi="宋体" w:cs="宋体"/>
          <w:bCs/>
          <w:iCs/>
          <w:sz w:val="21"/>
          <w:szCs w:val="21"/>
        </w:rPr>
        <w:t>3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6662"/>
      </w:tblGrid>
      <w:tr w:rsidR="00DA0A6A" w:rsidRPr="00602296" w14:paraId="115D0E4E" w14:textId="77777777" w:rsidTr="009A4D7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1F08" w14:textId="14FF7E71" w:rsidR="0026247B" w:rsidRPr="00602296" w:rsidRDefault="0026247B" w:rsidP="003574D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投资者关系活动类别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2830" w14:textId="34BD8CCD" w:rsidR="0026247B" w:rsidRPr="00602296" w:rsidRDefault="00E528C7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□</w:t>
            </w:r>
            <w:r w:rsidR="0026247B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特定对象调研        □分析师会议</w:t>
            </w:r>
          </w:p>
          <w:p w14:paraId="65216857" w14:textId="7243956C" w:rsidR="0026247B" w:rsidRPr="00602296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□媒体采访            </w:t>
            </w:r>
            <w:r w:rsidR="00E528C7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□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业绩说明会</w:t>
            </w:r>
          </w:p>
          <w:p w14:paraId="4DACC691" w14:textId="77777777" w:rsidR="0026247B" w:rsidRPr="00602296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□新闻发布会          □路演活动</w:t>
            </w:r>
          </w:p>
          <w:p w14:paraId="784A9744" w14:textId="21542935" w:rsidR="0026247B" w:rsidRPr="00602296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□</w:t>
            </w:r>
            <w:r w:rsidR="0026247B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现场参观 </w:t>
            </w:r>
            <w:r w:rsidR="0026247B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 xml:space="preserve"> </w:t>
            </w:r>
            <w:r w:rsidR="0026247B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          </w:t>
            </w:r>
            <w:r w:rsidR="00E528C7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√</w:t>
            </w:r>
            <w:r w:rsidR="0026247B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电话会议</w:t>
            </w:r>
          </w:p>
          <w:p w14:paraId="609A0FCD" w14:textId="77777777" w:rsidR="0026247B" w:rsidRPr="00602296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□网络会议 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 xml:space="preserve">           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□其他</w:t>
            </w:r>
          </w:p>
        </w:tc>
      </w:tr>
      <w:tr w:rsidR="00DA0A6A" w:rsidRPr="00602296" w14:paraId="410EFEC8" w14:textId="77777777" w:rsidTr="009A4D7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DB3A" w14:textId="7751254E" w:rsidR="00B6006C" w:rsidRPr="00602296" w:rsidRDefault="00B6006C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参与机构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85D8" w14:textId="77777777" w:rsidR="004D1B29" w:rsidRDefault="00A058E5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长江证券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606113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国盛证券、</w:t>
            </w:r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国联基金、诺德基金、西部利得</w:t>
            </w:r>
            <w:r w:rsidR="000164B4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基金</w:t>
            </w:r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、长安基金、希瓦资产、东方自营、华夏基金、建信基金、德邦基金、中加基金、</w:t>
            </w:r>
            <w:proofErr w:type="gramStart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永赢基金</w:t>
            </w:r>
            <w:proofErr w:type="gramEnd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、富国基金、</w:t>
            </w:r>
            <w:proofErr w:type="gramStart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工银瑞信</w:t>
            </w:r>
            <w:proofErr w:type="gramEnd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、贝莱德、泰康资产、工银安盛、中意资产、惠理投资、中英人寿、平安养老、混沌投资、</w:t>
            </w:r>
            <w:proofErr w:type="gramStart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敦</w:t>
            </w:r>
            <w:proofErr w:type="gramEnd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和资产、</w:t>
            </w:r>
            <w:proofErr w:type="gramStart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磐</w:t>
            </w:r>
            <w:proofErr w:type="gramEnd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厚动量、</w:t>
            </w:r>
            <w:proofErr w:type="gramStart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沣</w:t>
            </w:r>
            <w:proofErr w:type="gramEnd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京资本、江苏瑞华、</w:t>
            </w:r>
            <w:proofErr w:type="gramStart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域秀资本</w:t>
            </w:r>
            <w:proofErr w:type="gramEnd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、康曼德资本、北京知未私募、宁银理财、施罗德交银理财、国海证券、天风证券、中信证券、东北证券、西部证券、中信建投、</w:t>
            </w:r>
            <w:proofErr w:type="gramStart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浙商证券</w:t>
            </w:r>
            <w:proofErr w:type="gramEnd"/>
            <w:r w:rsidR="00AA484C" w:rsidRPr="00AA484C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、广发证券、华福证券、东方财富</w:t>
            </w:r>
            <w:r w:rsidR="006E6B7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证券、</w:t>
            </w:r>
            <w:proofErr w:type="gramStart"/>
            <w:r w:rsidR="00AC3635" w:rsidRP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润晖投资</w:t>
            </w:r>
            <w:proofErr w:type="gramEnd"/>
            <w:r w:rsid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AC3635" w:rsidRP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光大资管</w:t>
            </w:r>
            <w:r w:rsid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AC3635" w:rsidRP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明</w:t>
            </w:r>
            <w:proofErr w:type="gramStart"/>
            <w:r w:rsidR="00AC3635" w:rsidRP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世</w:t>
            </w:r>
            <w:proofErr w:type="gramEnd"/>
            <w:r w:rsidR="00AC3635" w:rsidRP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伙伴基金</w:t>
            </w:r>
            <w:r w:rsid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AC3635" w:rsidRP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国君资管</w:t>
            </w:r>
            <w:r w:rsid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AC3635" w:rsidRP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东方阿尔法基金</w:t>
            </w:r>
            <w:r w:rsid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AC3635" w:rsidRP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利</w:t>
            </w:r>
            <w:proofErr w:type="gramStart"/>
            <w:r w:rsidR="00AC3635" w:rsidRP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檀</w:t>
            </w:r>
            <w:proofErr w:type="gramEnd"/>
            <w:r w:rsidR="00AC3635" w:rsidRP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投资</w:t>
            </w:r>
            <w:r w:rsidR="00AC363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民生基金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万联自营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proofErr w:type="gramStart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鑫</w:t>
            </w:r>
            <w:proofErr w:type="gramEnd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巢资本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华创证券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德邦证券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proofErr w:type="gramStart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晟</w:t>
            </w:r>
            <w:proofErr w:type="gramEnd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盟资产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国联证券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歌</w:t>
            </w:r>
            <w:proofErr w:type="gramStart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斐</w:t>
            </w:r>
            <w:proofErr w:type="gramEnd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资产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方正证券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华安基金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proofErr w:type="gramStart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恒越基金</w:t>
            </w:r>
            <w:proofErr w:type="gramEnd"/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国华兴益基金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路博迈基金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国寿安保基金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申万宏源证券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proofErr w:type="gramStart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信达澳亚基</w:t>
            </w:r>
            <w:proofErr w:type="gramEnd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37B2" w:rsidRPr="00C137B2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pinpoint</w:t>
            </w:r>
            <w:r w:rsidR="00C137B2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中科沃土基金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融通基金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华泰资管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纵贯资本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长信基金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青</w:t>
            </w:r>
            <w:proofErr w:type="gramStart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骊</w:t>
            </w:r>
            <w:proofErr w:type="gramEnd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投资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金鹰基金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华泰柏瑞基金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华泰资产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光大保德信基金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巨子私募基金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新华基金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东方红资管</w:t>
            </w:r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中</w:t>
            </w:r>
            <w:proofErr w:type="gramStart"/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金资管</w:t>
            </w:r>
            <w:proofErr w:type="gramEnd"/>
            <w:r w:rsid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r w:rsidR="00C11F6F" w:rsidRPr="00C11F6F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万方资本</w:t>
            </w:r>
          </w:p>
          <w:p w14:paraId="4AA1ED07" w14:textId="14B09687" w:rsidR="00E528C7" w:rsidRPr="00602296" w:rsidRDefault="00386165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（排名不分先后）</w:t>
            </w:r>
          </w:p>
        </w:tc>
      </w:tr>
      <w:tr w:rsidR="00DA0A6A" w:rsidRPr="00602296" w14:paraId="26839F98" w14:textId="77777777" w:rsidTr="00AE2F07">
        <w:trPr>
          <w:trHeight w:val="622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C94B" w14:textId="77777777" w:rsidR="0026247B" w:rsidRPr="00602296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时间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FCD8" w14:textId="0578B1A8" w:rsidR="0026247B" w:rsidRPr="00602296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2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02</w:t>
            </w:r>
            <w:r w:rsidR="004058CA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4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年</w:t>
            </w:r>
            <w:r w:rsidR="00A058E5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8</w:t>
            </w:r>
            <w:r w:rsidR="001D326C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月</w:t>
            </w:r>
            <w:r w:rsidR="00C96983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2</w:t>
            </w:r>
            <w:r w:rsidR="00A058E5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7</w:t>
            </w:r>
            <w:r w:rsidR="00C96983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日</w:t>
            </w:r>
            <w:r w:rsidR="00B6006C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（星期</w:t>
            </w:r>
            <w:r w:rsidR="00A058E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二</w:t>
            </w:r>
            <w:r w:rsidR="00B6006C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）</w:t>
            </w:r>
            <w:r w:rsidR="004058CA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10</w:t>
            </w:r>
            <w:r w:rsidR="00B6006C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:</w:t>
            </w:r>
            <w:r w:rsidR="00B6006C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00</w:t>
            </w:r>
            <w:r w:rsidR="00B6006C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-</w:t>
            </w:r>
            <w:r w:rsidR="00B6006C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1</w:t>
            </w:r>
            <w:r w:rsidR="004058CA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1</w:t>
            </w:r>
            <w:r w:rsidR="00B6006C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:</w:t>
            </w:r>
            <w:r w:rsidR="00B6006C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00</w:t>
            </w:r>
            <w:r w:rsidR="00C96983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，1</w:t>
            </w:r>
            <w:r w:rsidR="00C96983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5</w:t>
            </w:r>
            <w:r w:rsidR="00C96983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:</w:t>
            </w:r>
            <w:r w:rsidR="00C96983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00-16</w:t>
            </w:r>
            <w:r w:rsidR="00C96983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:</w:t>
            </w:r>
            <w:r w:rsidR="00C96983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00</w:t>
            </w:r>
          </w:p>
        </w:tc>
      </w:tr>
      <w:tr w:rsidR="00DA0A6A" w:rsidRPr="00602296" w14:paraId="392945CA" w14:textId="77777777" w:rsidTr="00AE2F07">
        <w:trPr>
          <w:trHeight w:val="560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5BBE" w14:textId="77777777" w:rsidR="0026247B" w:rsidRPr="00602296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地点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537A" w14:textId="1A7BF453" w:rsidR="0026247B" w:rsidRPr="00602296" w:rsidRDefault="004058CA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线上会议</w:t>
            </w:r>
          </w:p>
        </w:tc>
      </w:tr>
      <w:tr w:rsidR="00DA0A6A" w:rsidRPr="00602296" w14:paraId="0333092D" w14:textId="77777777" w:rsidTr="009A4D7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5FD" w14:textId="6E718B72" w:rsidR="0026247B" w:rsidRPr="00602296" w:rsidRDefault="0026247B" w:rsidP="003574D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上市公司接待人员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AC91" w14:textId="234BB419" w:rsidR="00560F67" w:rsidRPr="00602296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602296">
              <w:rPr>
                <w:rFonts w:ascii="宋体" w:eastAsia="宋体" w:hAnsi="宋体" w:hint="eastAsia"/>
                <w:sz w:val="21"/>
                <w:szCs w:val="21"/>
              </w:rPr>
              <w:t>董事会秘书顾钦杭先生</w:t>
            </w:r>
          </w:p>
        </w:tc>
      </w:tr>
      <w:tr w:rsidR="00DA0A6A" w:rsidRPr="00602296" w14:paraId="7509EC99" w14:textId="77777777" w:rsidTr="009A4D7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6F3B" w14:textId="1F3CBBEA" w:rsidR="0026247B" w:rsidRPr="00602296" w:rsidRDefault="0026247B" w:rsidP="00CC4A9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lastRenderedPageBreak/>
              <w:t>投资者关系活动主要内容介绍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C592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一、介绍公司2024年上半年总体经营情况</w:t>
            </w:r>
          </w:p>
          <w:p w14:paraId="3732C2D2" w14:textId="78B25564" w:rsidR="001A5130" w:rsidRPr="00696DC4" w:rsidRDefault="00696DC4" w:rsidP="00696DC4">
            <w:pPr>
              <w:pStyle w:val="a7"/>
              <w:spacing w:line="440" w:lineRule="exact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szCs w:val="21"/>
              </w:rPr>
              <w:t>2024年上半年，世界经济温和复苏，外部需求有所改善，同时公司着力推进在手新客户、新渠道、新项目加快放量，有效推动业绩增长。此外，公司在外销新客户新渠道拓展、海外基地建设和业务发展、国内自主品牌和自主渠道拓展、旗舰产品打造、运营管理提升、信息化建设等方面也都取得了积极成效，为全年及未来业绩增长夯实基础。相关工作具体可参见公司《2024年半年度报告》。</w:t>
            </w:r>
          </w:p>
          <w:p w14:paraId="1023287C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（一）2024年上半年业绩情况</w:t>
            </w:r>
          </w:p>
          <w:p w14:paraId="2FD4D70B" w14:textId="03210F13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1、主要财务数据：</w:t>
            </w:r>
            <w:r w:rsidRPr="00696DC4">
              <w:rPr>
                <w:rFonts w:ascii="宋体" w:hAnsi="宋体" w:hint="eastAsia"/>
                <w:szCs w:val="21"/>
              </w:rPr>
              <w:t>2024年上半年，公司实现销售收入20.52亿元，同比增长33.57%；实现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归母净利润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1.26亿元，同比下降11.01%，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扣非后归母净利润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1.26亿元，同比增长2.02%。</w:t>
            </w:r>
          </w:p>
          <w:p w14:paraId="134A8B1A" w14:textId="0CCAB835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2、销售收入：</w:t>
            </w:r>
            <w:r w:rsidRPr="00696DC4">
              <w:rPr>
                <w:rFonts w:ascii="宋体" w:hAnsi="宋体" w:hint="eastAsia"/>
                <w:szCs w:val="21"/>
              </w:rPr>
              <w:t>上半年销售收入实现较快增长，既得益于β层面的改善，但更得益于α层面的优势。从β层面看，2024年上半年世界经济温和复苏，外部需求有所改善，同时欧美渠道商库存水平较上年同期有所下降、拉动式补货推动出口订单增长，中国办公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椅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出口额同比增长19.23%。从α角度看，上半年公司着力推进在手新客户、新渠道、新产品落地，Costco、Sam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’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s等多个重要渠道和大客户订单快速爬坡，贡献较大业务增量，相信公司在新客户、新渠道、新产品方面的α优势将持续推动收入增长。分季度看，二季度销售收入达到11.95亿元，较去年同期增长42.37%，较一季度环比增长39.55%，环比增长既有季节性的因素，但更得益于新客户、新渠道、新产品加快爬坡放量。</w:t>
            </w:r>
          </w:p>
          <w:p w14:paraId="2DC73093" w14:textId="41085755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3、毛利率：</w:t>
            </w:r>
            <w:r w:rsidRPr="00696DC4">
              <w:rPr>
                <w:rFonts w:ascii="宋体" w:hAnsi="宋体" w:hint="eastAsia"/>
                <w:szCs w:val="21"/>
              </w:rPr>
              <w:t>上半年毛利率为22.85%，与上年同期基本持平，特别是二季度随着收入规模扩大，单二季度的毛利率提升至23.38%，已经很接近近几年来单季度毛利率的高点。</w:t>
            </w:r>
          </w:p>
          <w:p w14:paraId="4D9F3FDC" w14:textId="248C263E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4、净利率：</w:t>
            </w:r>
            <w:r w:rsidRPr="00696DC4">
              <w:rPr>
                <w:rFonts w:ascii="宋体" w:hAnsi="宋体" w:hint="eastAsia"/>
                <w:szCs w:val="21"/>
              </w:rPr>
              <w:t>上半年归母净利率为6.16%，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扣非后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归母净利率为6.12%，较去年同期有所下降，主要原因系去年同期有大额政府补助以及汇兑收益，如果剔除上述因素影响，今年上半年归母净利率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和扣非后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归母净利率与去年同期基本持平。分季度看，二季度归母净利率为7.00%、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扣非后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归母净利率为6.93%，盈利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能力环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比明显回升。</w:t>
            </w:r>
          </w:p>
          <w:p w14:paraId="4A5825EB" w14:textId="77777777" w:rsidR="00696DC4" w:rsidRPr="00696DC4" w:rsidRDefault="00696DC4" w:rsidP="00696DC4">
            <w:pPr>
              <w:pStyle w:val="a7"/>
              <w:spacing w:line="440" w:lineRule="exact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szCs w:val="21"/>
              </w:rPr>
              <w:t>此外，要特别说明的是，公司在业务拓展上正在布局战略高度上的资源投入，努力实现多渠道业务增长，专注主业并实现高质量发展。公</w:t>
            </w:r>
            <w:r w:rsidRPr="00696DC4">
              <w:rPr>
                <w:rFonts w:ascii="宋体" w:hAnsi="宋体" w:hint="eastAsia"/>
                <w:szCs w:val="21"/>
              </w:rPr>
              <w:lastRenderedPageBreak/>
              <w:t>司战略性投入自主品牌建设和发展新业务（例如升降桌业务、罗马尼亚基地等新项目），在短期内对净利率有一定影响。如果不做这样的战略投入，上半年的盈利表现会更好，但公司着眼于长远考虑战略性投入这些新业务，而这些投入很多是前置性投入，经过前面几年的培育，这些新业务将逐步释放业务增量，盈利情况也将逐步改善。</w:t>
            </w:r>
          </w:p>
          <w:p w14:paraId="2E154695" w14:textId="020B00B1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5、销售费用率：</w:t>
            </w:r>
            <w:r w:rsidRPr="00696DC4">
              <w:rPr>
                <w:rFonts w:ascii="宋体" w:hAnsi="宋体" w:hint="eastAsia"/>
                <w:szCs w:val="21"/>
              </w:rPr>
              <w:t>上半年销售费用率为7.17%，较去年同期提高0.69个百分点，但销售费用率呈逐季度优化趋势。上半年销售费用增长较快，主要系战略性投入自主品牌建设，包括美国大商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超渠道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和国内外电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商渠道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的营销费用投入；上述销售费用很多是前置性投入，随着下半年销售旺季的到来，上述前置</w:t>
            </w:r>
            <w:r w:rsidR="00192718">
              <w:rPr>
                <w:rFonts w:ascii="宋体" w:hAnsi="宋体" w:hint="eastAsia"/>
                <w:szCs w:val="21"/>
              </w:rPr>
              <w:t>性投入</w:t>
            </w:r>
            <w:r w:rsidRPr="00696DC4">
              <w:rPr>
                <w:rFonts w:ascii="宋体" w:hAnsi="宋体" w:hint="eastAsia"/>
                <w:szCs w:val="21"/>
              </w:rPr>
              <w:t>有望转化为实际销售收入，销售费用率有望继续优化。</w:t>
            </w:r>
          </w:p>
          <w:p w14:paraId="01417B01" w14:textId="1DF4EA1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6、管理费用率：</w:t>
            </w:r>
            <w:r w:rsidRPr="00696DC4">
              <w:rPr>
                <w:rFonts w:ascii="宋体" w:hAnsi="宋体" w:hint="eastAsia"/>
                <w:szCs w:val="21"/>
              </w:rPr>
              <w:t>上半年管理费用率为5.27%，较去年同期下降0.17个百分点，且管理费用率呈逐季度改善趋势。</w:t>
            </w:r>
          </w:p>
          <w:p w14:paraId="6F801AB3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（二）2024年上半年公司开展的相关工作</w:t>
            </w:r>
          </w:p>
          <w:p w14:paraId="208D39B1" w14:textId="7FBD26E1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1、从内销方面看：</w:t>
            </w:r>
            <w:r w:rsidRPr="00696DC4">
              <w:rPr>
                <w:rFonts w:ascii="宋体" w:hAnsi="宋体" w:hint="eastAsia"/>
                <w:szCs w:val="21"/>
              </w:rPr>
              <w:t>公司继续围绕产品、营销、渠道三方面协同发力，加快发展国内业务、打造自主品牌。</w:t>
            </w:r>
          </w:p>
          <w:p w14:paraId="64EB0E18" w14:textId="77777777" w:rsidR="00696DC4" w:rsidRPr="00696DC4" w:rsidRDefault="00696DC4" w:rsidP="00696DC4">
            <w:pPr>
              <w:pStyle w:val="a7"/>
              <w:spacing w:line="440" w:lineRule="exact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szCs w:val="21"/>
              </w:rPr>
              <w:t>在产品方面，围绕“撑腰”价值锚点，持续做好产品创新，不断推出旗舰产品，继去年推出Flow 530/550的基础上，今年4月又推出Flow 360。旗舰产品的成功不仅取决于研发，同时也取决于营销，上半年我们运用系统方法论，进一步端到端拉通市场、研发、供应链、制造和销售，完善新品上市标准化流程，形成产品、营销、销售三方组织互锁机制，有效助推旗舰产品实现上市即上量的目标。</w:t>
            </w:r>
          </w:p>
          <w:p w14:paraId="2888A3E9" w14:textId="77777777" w:rsidR="00696DC4" w:rsidRPr="00696DC4" w:rsidRDefault="00696DC4" w:rsidP="00696DC4">
            <w:pPr>
              <w:pStyle w:val="a7"/>
              <w:spacing w:line="440" w:lineRule="exact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szCs w:val="21"/>
              </w:rPr>
              <w:t>在营销方面，我们贯彻“旗舰爆款”的营销策略，成功举办旗舰新品线上发布会，并通过抖音、小红书、B站、知乎等平台持续进行内容营销和话题营销，助推旗舰新品商业化成功；同时，优化营销费用的投放结构、提高投放效率，品牌搜索词和人群资产快速增长，有效提升品牌影响力。</w:t>
            </w:r>
          </w:p>
          <w:p w14:paraId="1D04D86B" w14:textId="77777777" w:rsidR="00696DC4" w:rsidRPr="00696DC4" w:rsidRDefault="00696DC4" w:rsidP="00696DC4">
            <w:pPr>
              <w:pStyle w:val="a7"/>
              <w:spacing w:line="440" w:lineRule="exact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szCs w:val="21"/>
              </w:rPr>
              <w:t>在渠道建设方面，线上线下加快布局，线上聚焦天猫、京东、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抖音三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大平台，进一步提高精细化运营水平，实现日销提升和大促爆发，销售收入和品牌知名度持续提升；线下加快零售渠道建设，继续拓展大型商超渠道，同时成功落地线下零售旗舰店，进一步拓宽品牌产品销售渠</w:t>
            </w:r>
            <w:r w:rsidRPr="00696DC4">
              <w:rPr>
                <w:rFonts w:ascii="宋体" w:hAnsi="宋体" w:hint="eastAsia"/>
                <w:szCs w:val="21"/>
              </w:rPr>
              <w:lastRenderedPageBreak/>
              <w:t>道。</w:t>
            </w:r>
          </w:p>
          <w:p w14:paraId="5DEF523E" w14:textId="7B26392C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2、从外销方面看：</w:t>
            </w:r>
            <w:r w:rsidRPr="00696DC4">
              <w:rPr>
                <w:rFonts w:ascii="宋体" w:hAnsi="宋体" w:hint="eastAsia"/>
                <w:szCs w:val="21"/>
              </w:rPr>
              <w:t>着力推进在手新客户、新渠道、新产品落地，Costco、Sam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’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s等多个重要渠道和大客户订单快速爬坡，贡献较大业务增量。同时，随着国际贸易形势变化，客户对海外产能的需求不断增加，公司进一步加快海外基地建设，目前第三期越南生产基地首批厂房正在建设，同时越南基地持续推进精益生产、垂直整合、本地化供应链和管理团队建设，不断提高承接更高技术工艺要求产品的能力，推动多个新品类、新客户、新业务顺利落地，为公司上半年业绩增长贡献了较大增量</w:t>
            </w:r>
            <w:r w:rsidR="00753333">
              <w:rPr>
                <w:rFonts w:ascii="宋体" w:hAnsi="宋体" w:hint="eastAsia"/>
                <w:szCs w:val="21"/>
              </w:rPr>
              <w:t>。</w:t>
            </w:r>
            <w:r w:rsidRPr="00696DC4">
              <w:rPr>
                <w:rFonts w:ascii="宋体" w:hAnsi="宋体" w:hint="eastAsia"/>
                <w:szCs w:val="21"/>
              </w:rPr>
              <w:t>目前公司对美国的大部分业务都已在越南生产出货(公司越南基地产能弹性较大，可以覆盖公司全部对美业务，且可以承接</w:t>
            </w:r>
            <w:r w:rsidR="00753333">
              <w:rPr>
                <w:rFonts w:ascii="宋体" w:hAnsi="宋体" w:hint="eastAsia"/>
                <w:szCs w:val="21"/>
              </w:rPr>
              <w:t>行业内</w:t>
            </w:r>
            <w:r w:rsidRPr="00696DC4">
              <w:rPr>
                <w:rFonts w:ascii="宋体" w:hAnsi="宋体" w:hint="eastAsia"/>
                <w:szCs w:val="21"/>
              </w:rPr>
              <w:t>更多的订单转移)。罗马尼亚基地加快新品导入和产能爬坡，接下去也将加快产能扩建，未来几年罗马尼亚基地也有望持续贡献业绩增量。</w:t>
            </w:r>
          </w:p>
          <w:p w14:paraId="4D710E94" w14:textId="27626BF3" w:rsidR="00185E3A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3、关于中期分红：</w:t>
            </w:r>
            <w:r w:rsidRPr="00696DC4">
              <w:rPr>
                <w:rFonts w:ascii="宋体" w:hAnsi="宋体" w:hint="eastAsia"/>
                <w:szCs w:val="21"/>
              </w:rPr>
              <w:t>为积极加强现金分红、增强投资者回报、增加分红频次，进一步增强投资者获得感，公司结合实际情况，制定了2024年半年度分红方案，每10股派发现金红利1.60元（含税），占公司上半年实现的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归母净利润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的41.95%。</w:t>
            </w:r>
          </w:p>
          <w:p w14:paraId="55FEF500" w14:textId="77777777" w:rsidR="00DA0A6A" w:rsidRPr="00696DC4" w:rsidRDefault="00DA0A6A" w:rsidP="00FD35C9">
            <w:pPr>
              <w:pStyle w:val="a7"/>
              <w:spacing w:line="440" w:lineRule="exact"/>
              <w:rPr>
                <w:rFonts w:ascii="宋体" w:hAnsi="宋体"/>
                <w:color w:val="FF0000"/>
                <w:szCs w:val="21"/>
              </w:rPr>
            </w:pPr>
          </w:p>
          <w:p w14:paraId="03045328" w14:textId="0EF15B91" w:rsidR="000D6433" w:rsidRPr="00696DC4" w:rsidRDefault="000D6433" w:rsidP="00FD35C9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二、投资者</w:t>
            </w:r>
            <w:r w:rsidR="00DA0A6A" w:rsidRPr="00696DC4">
              <w:rPr>
                <w:rFonts w:ascii="宋体" w:hAnsi="宋体" w:hint="eastAsia"/>
                <w:b/>
                <w:bCs/>
                <w:szCs w:val="21"/>
              </w:rPr>
              <w:t>问答</w:t>
            </w:r>
          </w:p>
          <w:p w14:paraId="37E42AEA" w14:textId="5D0D22D3" w:rsidR="000D6433" w:rsidRPr="00696DC4" w:rsidRDefault="000D6433" w:rsidP="00FD35C9">
            <w:pPr>
              <w:pStyle w:val="a7"/>
              <w:spacing w:line="440" w:lineRule="exact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szCs w:val="21"/>
              </w:rPr>
              <w:t>公司</w:t>
            </w:r>
            <w:r w:rsidRPr="00696DC4">
              <w:rPr>
                <w:rFonts w:ascii="宋体" w:hAnsi="宋体"/>
                <w:szCs w:val="21"/>
              </w:rPr>
              <w:t>对相关问题进行了梳理，主要问题及答复如下：</w:t>
            </w:r>
          </w:p>
          <w:p w14:paraId="01CE3765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Q：美国下游客户库存情况及需求展望？</w:t>
            </w:r>
          </w:p>
          <w:p w14:paraId="5F2FBE49" w14:textId="046C5A01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A：</w:t>
            </w:r>
            <w:r w:rsidRPr="00696DC4">
              <w:rPr>
                <w:rFonts w:ascii="宋体" w:hAnsi="宋体" w:hint="eastAsia"/>
                <w:szCs w:val="21"/>
              </w:rPr>
              <w:t>当前渠道商库存水平总体不高，今年以来渠道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商</w:t>
            </w:r>
            <w:r w:rsidR="00753333">
              <w:rPr>
                <w:rFonts w:ascii="宋体" w:hAnsi="宋体" w:hint="eastAsia"/>
                <w:szCs w:val="21"/>
              </w:rPr>
              <w:t>总体</w:t>
            </w:r>
            <w:proofErr w:type="gramEnd"/>
            <w:r w:rsidR="00753333">
              <w:rPr>
                <w:rFonts w:ascii="宋体" w:hAnsi="宋体" w:hint="eastAsia"/>
                <w:szCs w:val="21"/>
              </w:rPr>
              <w:t>上采取</w:t>
            </w:r>
            <w:r w:rsidRPr="00696DC4">
              <w:rPr>
                <w:rFonts w:ascii="宋体" w:hAnsi="宋体" w:hint="eastAsia"/>
                <w:szCs w:val="21"/>
              </w:rPr>
              <w:t>小幅高频下单</w:t>
            </w:r>
            <w:r w:rsidR="00753333" w:rsidRPr="00696DC4">
              <w:rPr>
                <w:rFonts w:ascii="宋体" w:hAnsi="宋体" w:hint="eastAsia"/>
                <w:szCs w:val="21"/>
              </w:rPr>
              <w:t>的采购策略</w:t>
            </w:r>
            <w:r w:rsidRPr="00696DC4">
              <w:rPr>
                <w:rFonts w:ascii="宋体" w:hAnsi="宋体" w:hint="eastAsia"/>
                <w:szCs w:val="21"/>
              </w:rPr>
              <w:t>。上半年美国家具类耐用品的终端需求并没有太好，但中国办公椅和沙发出口额增长较快，这可能由于欧美渠道商库存水平较上年同期有所下降、拉动式补货推动出口订单增长。往后展望，美国降息有望在一定程度上提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振消费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信心，同时从美国官方公布的相关数据看，近几个月美国家具类零售额呈现边际小幅改善，美国主要渠道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商近期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披露的季报数据也平稳向好，总体看美国终端需求有望保持平稳、边际改善。</w:t>
            </w:r>
          </w:p>
          <w:p w14:paraId="38916131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Q：海外基地建设进度以及在成本</w:t>
            </w:r>
            <w:proofErr w:type="gramStart"/>
            <w:r w:rsidRPr="00696DC4">
              <w:rPr>
                <w:rFonts w:ascii="宋体" w:hAnsi="宋体" w:hint="eastAsia"/>
                <w:b/>
                <w:bCs/>
                <w:szCs w:val="21"/>
              </w:rPr>
              <w:t>节降方面</w:t>
            </w:r>
            <w:proofErr w:type="gramEnd"/>
            <w:r w:rsidRPr="00696DC4">
              <w:rPr>
                <w:rFonts w:ascii="宋体" w:hAnsi="宋体" w:hint="eastAsia"/>
                <w:b/>
                <w:bCs/>
                <w:szCs w:val="21"/>
              </w:rPr>
              <w:t>的空间？</w:t>
            </w:r>
          </w:p>
          <w:p w14:paraId="3C4A6EA4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A：</w:t>
            </w:r>
            <w:r w:rsidRPr="00696DC4">
              <w:rPr>
                <w:rFonts w:ascii="宋体" w:hAnsi="宋体" w:hint="eastAsia"/>
                <w:szCs w:val="21"/>
              </w:rPr>
              <w:t>目前公司有越南和罗马尼亚两大海外基地。</w:t>
            </w:r>
          </w:p>
          <w:p w14:paraId="0E835B41" w14:textId="77777777" w:rsidR="00696DC4" w:rsidRPr="00696DC4" w:rsidRDefault="00696DC4" w:rsidP="00696DC4">
            <w:pPr>
              <w:pStyle w:val="a7"/>
              <w:spacing w:line="440" w:lineRule="exact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szCs w:val="21"/>
              </w:rPr>
              <w:t>越南基地：公司于2018年在行业内率先“走出去”投资建设越南</w:t>
            </w:r>
            <w:r w:rsidRPr="00696DC4">
              <w:rPr>
                <w:rFonts w:ascii="宋体" w:hAnsi="宋体" w:hint="eastAsia"/>
                <w:szCs w:val="21"/>
              </w:rPr>
              <w:lastRenderedPageBreak/>
              <w:t>生产基地，经过数年建设已在客户资源、产能规模、本地化供应链、人员素质、技术工艺等方面奠定了坚实基础，目前公司对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美业务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已大部分实现在越南生产出货。近年来公司越南基地订单及产能快速增长，推动公司快速提升美国市场份额和美国大客户渗透率。目前，公司正在继续推进越南基地产能建设，第三期越南生产基地第一批厂房正在建设中，后续产能建设会根据订单情况、国际贸易格局变化和订单转移趋势进行布局，因此公司越南基地的产能弹性较大。</w:t>
            </w:r>
          </w:p>
          <w:p w14:paraId="60507FA3" w14:textId="7727AB08" w:rsidR="00696DC4" w:rsidRPr="00696DC4" w:rsidRDefault="00696DC4" w:rsidP="00696DC4">
            <w:pPr>
              <w:pStyle w:val="a7"/>
              <w:spacing w:line="440" w:lineRule="exact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szCs w:val="21"/>
              </w:rPr>
              <w:t>回顾过去</w:t>
            </w:r>
            <w:r w:rsidR="00753333">
              <w:rPr>
                <w:rFonts w:ascii="宋体" w:hAnsi="宋体" w:hint="eastAsia"/>
                <w:szCs w:val="21"/>
              </w:rPr>
              <w:t>六</w:t>
            </w:r>
            <w:r w:rsidRPr="00696DC4">
              <w:rPr>
                <w:rFonts w:ascii="宋体" w:hAnsi="宋体" w:hint="eastAsia"/>
                <w:szCs w:val="21"/>
              </w:rPr>
              <w:t>年越南基地的发展历程，主要有以下工作重心：（1）产能建设；（2）客户拓展、品类拓展，今年上半年越南基地的增长就得益于多个新品类、新客户、新业务顺利落地；（3）管理优化，持续推进精益生产、库存优化、效率提升等；（4）本地化供应链建设及垂直整合，已建立完整的垂直整合制造能力（包括冲压、焊接、涂装、注塑、发泡等）；（5）本地化管理团队建设；（6）制造能力和工艺水平持续提升，不断提高承接更高技术工艺要求产品的能力，助力拓展产品线和客户群。上述工作使公司越南基地的客户资源和经营效率持续提升，经营业绩持续向好，后续公司越南基地也将继续在产能建设、客户拓展、管理优化、本地化供应链建设等方面持续提升，不断提高竞争优势。</w:t>
            </w:r>
          </w:p>
          <w:p w14:paraId="521C9E96" w14:textId="77777777" w:rsidR="00696DC4" w:rsidRPr="00696DC4" w:rsidRDefault="00696DC4" w:rsidP="00696DC4">
            <w:pPr>
              <w:pStyle w:val="a7"/>
              <w:spacing w:line="440" w:lineRule="exact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szCs w:val="21"/>
              </w:rPr>
              <w:t>罗马尼亚基地：公司罗马尼亚基地于2023年上半年实现投产出货，今年上半年加快新产品导入和产能建设，接下去也将加快产能扩建，未来几年罗马尼亚基地也有望持续贡献业绩增量。</w:t>
            </w:r>
          </w:p>
          <w:p w14:paraId="34311643" w14:textId="47D93689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Q:上半年增长来源拆分</w:t>
            </w:r>
            <w:r w:rsidR="00753333">
              <w:rPr>
                <w:rFonts w:ascii="宋体" w:hAnsi="宋体" w:hint="eastAsia"/>
                <w:b/>
                <w:bCs/>
                <w:szCs w:val="21"/>
              </w:rPr>
              <w:t>，</w:t>
            </w:r>
            <w:r w:rsidRPr="00696DC4">
              <w:rPr>
                <w:rFonts w:ascii="宋体" w:hAnsi="宋体" w:hint="eastAsia"/>
                <w:b/>
                <w:bCs/>
                <w:szCs w:val="21"/>
              </w:rPr>
              <w:t>以及下半年展望？</w:t>
            </w:r>
          </w:p>
          <w:p w14:paraId="5A2FDCDC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A：</w:t>
            </w:r>
            <w:r w:rsidRPr="00696DC4">
              <w:rPr>
                <w:rFonts w:ascii="宋体" w:hAnsi="宋体" w:hint="eastAsia"/>
                <w:szCs w:val="21"/>
              </w:rPr>
              <w:t>上半年公司销售收入同比增长5.2亿元，其中约一半来自于新客户新业务，约一半来自于原有客户和业务。公司将继续聚焦主业，聚焦优质客户，持续推进高质量发展。随着新客户、新渠道、新业务持续放量，销售收入有望实现持续增长。同时，在经营策略上，公司严格制定销售目标，紧盯销售目标达成情况，目前来看经营目标总体符合预算进度，公司对全年业务发展充满信心。</w:t>
            </w:r>
          </w:p>
          <w:p w14:paraId="1033BAC2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 xml:space="preserve">Q：公司自主品牌和自主渠道上半年表现如何？下半年如何展望？ </w:t>
            </w:r>
          </w:p>
          <w:p w14:paraId="2B905841" w14:textId="4DA20DF5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A：</w:t>
            </w:r>
            <w:r w:rsidRPr="00696DC4">
              <w:rPr>
                <w:rFonts w:ascii="宋体" w:hAnsi="宋体" w:hint="eastAsia"/>
                <w:szCs w:val="21"/>
              </w:rPr>
              <w:t>公司正加快推进从“外销和ODM/OEM模式为主”向“内外销并重、自主品牌和ODM/OEM模式并重”的战略转型。上半年自主品牌和自主渠道业务实现较快增长，销售收入和品牌知名度实现双提升；下半年</w:t>
            </w:r>
            <w:r w:rsidRPr="00696DC4">
              <w:rPr>
                <w:rFonts w:ascii="宋体" w:hAnsi="宋体" w:hint="eastAsia"/>
                <w:szCs w:val="21"/>
              </w:rPr>
              <w:lastRenderedPageBreak/>
              <w:t>是销售旺季，预计</w:t>
            </w:r>
            <w:r w:rsidR="00753333">
              <w:rPr>
                <w:rFonts w:ascii="宋体" w:hAnsi="宋体" w:hint="eastAsia"/>
                <w:szCs w:val="21"/>
              </w:rPr>
              <w:t>自主品牌和自主渠道业务</w:t>
            </w:r>
            <w:r w:rsidRPr="00696DC4">
              <w:rPr>
                <w:rFonts w:ascii="宋体" w:hAnsi="宋体" w:hint="eastAsia"/>
                <w:szCs w:val="21"/>
              </w:rPr>
              <w:t>将继续保持较高增速增长。</w:t>
            </w:r>
          </w:p>
          <w:p w14:paraId="373E6704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Q：国内自主品牌线上线</w:t>
            </w:r>
            <w:proofErr w:type="gramStart"/>
            <w:r w:rsidRPr="00696DC4">
              <w:rPr>
                <w:rFonts w:ascii="宋体" w:hAnsi="宋体" w:hint="eastAsia"/>
                <w:b/>
                <w:bCs/>
                <w:szCs w:val="21"/>
              </w:rPr>
              <w:t>下渠道</w:t>
            </w:r>
            <w:proofErr w:type="gramEnd"/>
            <w:r w:rsidRPr="00696DC4">
              <w:rPr>
                <w:rFonts w:ascii="宋体" w:hAnsi="宋体" w:hint="eastAsia"/>
                <w:b/>
                <w:bCs/>
                <w:szCs w:val="21"/>
              </w:rPr>
              <w:t>介绍？</w:t>
            </w:r>
          </w:p>
          <w:p w14:paraId="7002D42D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A：</w:t>
            </w:r>
            <w:r w:rsidRPr="00696DC4">
              <w:rPr>
                <w:rFonts w:ascii="宋体" w:hAnsi="宋体" w:hint="eastAsia"/>
                <w:szCs w:val="21"/>
              </w:rPr>
              <w:t>线上聚焦天猫、抖音、京东等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主流电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商平台，线下分为工程渠道（针对小B客户）、直营大客户和2C零售渠道。线下渠道除了继续做大2B业务外，也在大力发展2C业务，继续拓展大型商超渠道，同时今年成功落地线下零售旗舰店，目前处于试点阶段，跑通盈利模型后会逐步推开。</w:t>
            </w:r>
          </w:p>
          <w:p w14:paraId="10059D99" w14:textId="77777777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Q：升降</w:t>
            </w:r>
            <w:proofErr w:type="gramStart"/>
            <w:r w:rsidRPr="00696DC4">
              <w:rPr>
                <w:rFonts w:ascii="宋体" w:hAnsi="宋体" w:hint="eastAsia"/>
                <w:b/>
                <w:bCs/>
                <w:szCs w:val="21"/>
              </w:rPr>
              <w:t>桌业务</w:t>
            </w:r>
            <w:proofErr w:type="gramEnd"/>
            <w:r w:rsidRPr="00696DC4">
              <w:rPr>
                <w:rFonts w:ascii="宋体" w:hAnsi="宋体" w:hint="eastAsia"/>
                <w:b/>
                <w:bCs/>
                <w:szCs w:val="21"/>
              </w:rPr>
              <w:t xml:space="preserve">规划？ </w:t>
            </w:r>
          </w:p>
          <w:p w14:paraId="427BBF90" w14:textId="1FFD46F4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A：</w:t>
            </w:r>
            <w:r w:rsidRPr="00696DC4">
              <w:rPr>
                <w:rFonts w:ascii="宋体" w:hAnsi="宋体" w:hint="eastAsia"/>
                <w:szCs w:val="21"/>
              </w:rPr>
              <w:t>升降桌是公司近年来围绕“坐健康”推出的新品类，公司升降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桌业务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模式和办公椅、沙发业务类似，外销以ODM模式为主，内销也会发展自主品牌业务。从公司规划看，升降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桌未来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5年将</w:t>
            </w:r>
            <w:r w:rsidR="00146A0B">
              <w:rPr>
                <w:rFonts w:ascii="宋体" w:hAnsi="宋体" w:hint="eastAsia"/>
                <w:szCs w:val="21"/>
              </w:rPr>
              <w:t>发展</w:t>
            </w:r>
            <w:r w:rsidRPr="00696DC4">
              <w:rPr>
                <w:rFonts w:ascii="宋体" w:hAnsi="宋体" w:hint="eastAsia"/>
                <w:szCs w:val="21"/>
              </w:rPr>
              <w:t>成为公司第三大品类，因此在积极投入资源加快培育。公司在升降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桌行业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虽然是后来者，但升降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桌与办公椅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品类协同，在客户资源、技术工艺等方面具有较多优势，因此有信心做大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做优这个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品类。</w:t>
            </w:r>
          </w:p>
          <w:p w14:paraId="229BDC46" w14:textId="730DFD82" w:rsidR="00696DC4" w:rsidRPr="00696DC4" w:rsidRDefault="00696DC4" w:rsidP="00696DC4">
            <w:pPr>
              <w:pStyle w:val="a7"/>
              <w:spacing w:line="440" w:lineRule="exact"/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Q: 公司</w:t>
            </w:r>
            <w:r w:rsidR="00146A0B" w:rsidRPr="00696DC4">
              <w:rPr>
                <w:rFonts w:ascii="宋体" w:hAnsi="宋体" w:hint="eastAsia"/>
                <w:b/>
                <w:bCs/>
                <w:szCs w:val="21"/>
              </w:rPr>
              <w:t>这几年</w:t>
            </w:r>
            <w:r w:rsidRPr="00696DC4">
              <w:rPr>
                <w:rFonts w:ascii="宋体" w:hAnsi="宋体" w:hint="eastAsia"/>
                <w:b/>
                <w:bCs/>
                <w:szCs w:val="21"/>
              </w:rPr>
              <w:t>在产品端的发力点主要体现在哪里？</w:t>
            </w:r>
          </w:p>
          <w:p w14:paraId="4480EDDD" w14:textId="4A926B0A" w:rsidR="00696DC4" w:rsidRPr="00696DC4" w:rsidRDefault="00696DC4" w:rsidP="001A5130">
            <w:pPr>
              <w:pStyle w:val="a7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696DC4">
              <w:rPr>
                <w:rFonts w:ascii="宋体" w:hAnsi="宋体" w:hint="eastAsia"/>
                <w:b/>
                <w:bCs/>
                <w:szCs w:val="21"/>
              </w:rPr>
              <w:t>A:</w:t>
            </w:r>
            <w:r w:rsidRPr="00696DC4">
              <w:rPr>
                <w:rFonts w:ascii="宋体" w:hAnsi="宋体" w:hint="eastAsia"/>
                <w:szCs w:val="21"/>
              </w:rPr>
              <w:t xml:space="preserve"> 公司围绕“撑腰”价值锚点，长期致力于研发以人体工学撑腰科技为核心的关键技术，不断攻克技术壁垒，成体系推出10余款自适应底盘，同时通过对底盘机构、</w:t>
            </w:r>
            <w:proofErr w:type="gramStart"/>
            <w:r w:rsidRPr="00696DC4">
              <w:rPr>
                <w:rFonts w:ascii="宋体" w:hAnsi="宋体" w:hint="eastAsia"/>
                <w:szCs w:val="21"/>
              </w:rPr>
              <w:t>腰靠技术</w:t>
            </w:r>
            <w:proofErr w:type="gramEnd"/>
            <w:r w:rsidRPr="00696DC4">
              <w:rPr>
                <w:rFonts w:ascii="宋体" w:hAnsi="宋体" w:hint="eastAsia"/>
                <w:szCs w:val="21"/>
              </w:rPr>
              <w:t>、背靠支持、魔术臂扶手等座椅结构的联动，实现对全场景日常动态坐姿的全面支撑，提升久坐人群的舒适体验。持续做好产品创新，不断推出旗舰产品，继去年推出Flow 530/550的基础上，今年4月又推出Flow 360，以旗舰产品为支点推动自主品牌建设。同时，持续优化产品研发机制，设立自主研发和自主品牌产品的规划和管理部门，按照IPD（集成研发管理）理念导入PLM产品生命周期管理系统，完善GTM和IPMS流程，端到端拉通市场、研发、供应链、制造和销售，形成产品、营销、销售三方组织互锁机制，有效助推旗舰产品实现上市即上量的目标。</w:t>
            </w:r>
          </w:p>
          <w:p w14:paraId="472EDEC6" w14:textId="77777777" w:rsidR="001A5130" w:rsidRPr="00696DC4" w:rsidRDefault="001A5130" w:rsidP="00FD35C9">
            <w:pPr>
              <w:pStyle w:val="a7"/>
              <w:spacing w:line="440" w:lineRule="exact"/>
              <w:rPr>
                <w:rFonts w:ascii="宋体" w:hAnsi="宋体"/>
                <w:szCs w:val="21"/>
              </w:rPr>
            </w:pPr>
          </w:p>
          <w:p w14:paraId="54A9114F" w14:textId="73C638E7" w:rsidR="00B6006C" w:rsidRPr="00696DC4" w:rsidRDefault="00B6006C" w:rsidP="00FD35C9">
            <w:pPr>
              <w:spacing w:line="440" w:lineRule="exact"/>
              <w:ind w:firstLine="420"/>
              <w:rPr>
                <w:rFonts w:ascii="宋体" w:eastAsia="宋体" w:hAnsi="宋体" w:cs="宋体"/>
                <w:iCs/>
                <w:color w:val="FF0000"/>
                <w:sz w:val="21"/>
                <w:szCs w:val="21"/>
              </w:rPr>
            </w:pPr>
            <w:r w:rsidRPr="00696DC4">
              <w:rPr>
                <w:rFonts w:ascii="宋体" w:eastAsia="宋体" w:hAnsi="宋体" w:cs="宋体" w:hint="eastAsia"/>
                <w:iCs/>
                <w:sz w:val="21"/>
                <w:szCs w:val="21"/>
              </w:rPr>
              <w:t>注：本次</w:t>
            </w:r>
            <w:r w:rsidR="001C5AB3" w:rsidRPr="00696DC4">
              <w:rPr>
                <w:rFonts w:ascii="宋体" w:eastAsia="宋体" w:hAnsi="宋体" w:cs="宋体" w:hint="eastAsia"/>
                <w:iCs/>
                <w:sz w:val="21"/>
                <w:szCs w:val="21"/>
              </w:rPr>
              <w:t>投资者活动</w:t>
            </w:r>
            <w:r w:rsidRPr="00696DC4">
              <w:rPr>
                <w:rFonts w:ascii="宋体" w:eastAsia="宋体" w:hAnsi="宋体" w:cs="宋体" w:hint="eastAsia"/>
                <w:iCs/>
                <w:sz w:val="21"/>
                <w:szCs w:val="21"/>
              </w:rPr>
              <w:t>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tr w:rsidR="00DA0A6A" w:rsidRPr="00602296" w14:paraId="0801596C" w14:textId="77777777" w:rsidTr="009A4D7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D40D" w14:textId="36D047E5" w:rsidR="00B6006C" w:rsidRPr="00602296" w:rsidRDefault="00B6006C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lastRenderedPageBreak/>
              <w:t>其他事项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BC09" w14:textId="4218EDAA" w:rsidR="00B6006C" w:rsidRPr="00602296" w:rsidRDefault="003E4A5D" w:rsidP="003E4A5D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 w:rsidRPr="00602296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A0A6A" w:rsidRPr="00602296" w14:paraId="7C1E37EB" w14:textId="77777777" w:rsidTr="009A4D7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8ED0" w14:textId="77777777" w:rsidR="0026247B" w:rsidRPr="00602296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lastRenderedPageBreak/>
              <w:t>附件清单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8454" w14:textId="77777777" w:rsidR="0026247B" w:rsidRPr="00602296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无</w:t>
            </w:r>
          </w:p>
        </w:tc>
      </w:tr>
      <w:tr w:rsidR="0026247B" w:rsidRPr="00DA0A6A" w14:paraId="586A6102" w14:textId="77777777" w:rsidTr="009A4D7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356C" w14:textId="77777777" w:rsidR="0026247B" w:rsidRPr="00602296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日期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E3B" w14:textId="0D2845DF" w:rsidR="0026247B" w:rsidRPr="00DA0A6A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2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02</w:t>
            </w:r>
            <w:r w:rsidR="003E4A5D"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4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年</w:t>
            </w:r>
            <w:r w:rsidR="001A5130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8</w:t>
            </w:r>
            <w:r w:rsidR="001D326C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月</w:t>
            </w:r>
            <w:r w:rsidR="001A5130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27</w:t>
            </w:r>
            <w:r w:rsidR="001D326C"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日</w:t>
            </w:r>
          </w:p>
        </w:tc>
      </w:tr>
    </w:tbl>
    <w:p w14:paraId="57DFD7A1" w14:textId="77777777" w:rsidR="0026247B" w:rsidRPr="00DA0A6A" w:rsidRDefault="0026247B">
      <w:pPr>
        <w:ind w:firstLine="420"/>
        <w:rPr>
          <w:rFonts w:ascii="宋体" w:eastAsia="宋体" w:hAnsi="宋体"/>
          <w:sz w:val="21"/>
          <w:szCs w:val="21"/>
        </w:rPr>
      </w:pPr>
    </w:p>
    <w:sectPr w:rsidR="0026247B" w:rsidRPr="00DA0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583F" w14:textId="77777777" w:rsidR="00B711C6" w:rsidRDefault="00B711C6" w:rsidP="001D326C">
      <w:pPr>
        <w:spacing w:line="240" w:lineRule="auto"/>
        <w:ind w:firstLine="640"/>
      </w:pPr>
      <w:r>
        <w:separator/>
      </w:r>
    </w:p>
  </w:endnote>
  <w:endnote w:type="continuationSeparator" w:id="0">
    <w:p w14:paraId="2D81438F" w14:textId="77777777" w:rsidR="00B711C6" w:rsidRDefault="00B711C6" w:rsidP="001D326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91B" w14:textId="77777777" w:rsidR="001D326C" w:rsidRDefault="001D326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E164" w14:textId="77777777" w:rsidR="001D326C" w:rsidRDefault="001D326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7EA1" w14:textId="77777777" w:rsidR="001D326C" w:rsidRDefault="001D326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9AD3" w14:textId="77777777" w:rsidR="00B711C6" w:rsidRDefault="00B711C6" w:rsidP="001D326C">
      <w:pPr>
        <w:spacing w:line="240" w:lineRule="auto"/>
        <w:ind w:firstLine="640"/>
      </w:pPr>
      <w:r>
        <w:separator/>
      </w:r>
    </w:p>
  </w:footnote>
  <w:footnote w:type="continuationSeparator" w:id="0">
    <w:p w14:paraId="38B277A9" w14:textId="77777777" w:rsidR="00B711C6" w:rsidRDefault="00B711C6" w:rsidP="001D326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153E" w14:textId="77777777" w:rsidR="001D326C" w:rsidRDefault="001D326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6A41" w14:textId="77777777" w:rsidR="001D326C" w:rsidRDefault="001D326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3139" w14:textId="77777777" w:rsidR="001D326C" w:rsidRDefault="001D326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155C2"/>
    <w:multiLevelType w:val="hybridMultilevel"/>
    <w:tmpl w:val="751ADC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B"/>
    <w:rsid w:val="000164B4"/>
    <w:rsid w:val="0002480F"/>
    <w:rsid w:val="000503C5"/>
    <w:rsid w:val="000561A6"/>
    <w:rsid w:val="000A0AF8"/>
    <w:rsid w:val="000C719A"/>
    <w:rsid w:val="000D6433"/>
    <w:rsid w:val="000E227A"/>
    <w:rsid w:val="000F54D1"/>
    <w:rsid w:val="00146A0B"/>
    <w:rsid w:val="00146FBC"/>
    <w:rsid w:val="00172946"/>
    <w:rsid w:val="00185E3A"/>
    <w:rsid w:val="00190ACB"/>
    <w:rsid w:val="00192718"/>
    <w:rsid w:val="001A5130"/>
    <w:rsid w:val="001B54F2"/>
    <w:rsid w:val="001C02C1"/>
    <w:rsid w:val="001C5AB3"/>
    <w:rsid w:val="001D2E36"/>
    <w:rsid w:val="001D326C"/>
    <w:rsid w:val="001F4373"/>
    <w:rsid w:val="00207200"/>
    <w:rsid w:val="00207EC3"/>
    <w:rsid w:val="00212110"/>
    <w:rsid w:val="00226F42"/>
    <w:rsid w:val="0026247B"/>
    <w:rsid w:val="00262AA3"/>
    <w:rsid w:val="002937C7"/>
    <w:rsid w:val="002D06BD"/>
    <w:rsid w:val="002E6AA5"/>
    <w:rsid w:val="002F6329"/>
    <w:rsid w:val="002F7CF1"/>
    <w:rsid w:val="00333265"/>
    <w:rsid w:val="003574D5"/>
    <w:rsid w:val="00366253"/>
    <w:rsid w:val="00386165"/>
    <w:rsid w:val="0039726C"/>
    <w:rsid w:val="003D3AF2"/>
    <w:rsid w:val="003E4A5D"/>
    <w:rsid w:val="004058CA"/>
    <w:rsid w:val="004502E1"/>
    <w:rsid w:val="00490B5B"/>
    <w:rsid w:val="004C05B0"/>
    <w:rsid w:val="004D1B29"/>
    <w:rsid w:val="004D4045"/>
    <w:rsid w:val="00514C69"/>
    <w:rsid w:val="00516DAD"/>
    <w:rsid w:val="005313C5"/>
    <w:rsid w:val="005525AF"/>
    <w:rsid w:val="00554FDC"/>
    <w:rsid w:val="00560F67"/>
    <w:rsid w:val="00570F69"/>
    <w:rsid w:val="00585DD8"/>
    <w:rsid w:val="00592FBC"/>
    <w:rsid w:val="005A753B"/>
    <w:rsid w:val="005B70B6"/>
    <w:rsid w:val="005B7A71"/>
    <w:rsid w:val="005B7EAE"/>
    <w:rsid w:val="005D271D"/>
    <w:rsid w:val="005D2873"/>
    <w:rsid w:val="00602296"/>
    <w:rsid w:val="00606113"/>
    <w:rsid w:val="00620011"/>
    <w:rsid w:val="00622535"/>
    <w:rsid w:val="006475A9"/>
    <w:rsid w:val="00696DC4"/>
    <w:rsid w:val="006B38C0"/>
    <w:rsid w:val="006E309C"/>
    <w:rsid w:val="006E6B7F"/>
    <w:rsid w:val="00713FA9"/>
    <w:rsid w:val="00743EC9"/>
    <w:rsid w:val="00747817"/>
    <w:rsid w:val="00753333"/>
    <w:rsid w:val="00754B15"/>
    <w:rsid w:val="00761339"/>
    <w:rsid w:val="0076348A"/>
    <w:rsid w:val="00767A28"/>
    <w:rsid w:val="00780F3A"/>
    <w:rsid w:val="00783A0C"/>
    <w:rsid w:val="00785C93"/>
    <w:rsid w:val="007D4C61"/>
    <w:rsid w:val="007E13D2"/>
    <w:rsid w:val="0080018B"/>
    <w:rsid w:val="00814179"/>
    <w:rsid w:val="00827BF6"/>
    <w:rsid w:val="00832FE9"/>
    <w:rsid w:val="008417CA"/>
    <w:rsid w:val="0085266A"/>
    <w:rsid w:val="00861AF5"/>
    <w:rsid w:val="008630C9"/>
    <w:rsid w:val="00876678"/>
    <w:rsid w:val="00876962"/>
    <w:rsid w:val="008A79B7"/>
    <w:rsid w:val="008B6579"/>
    <w:rsid w:val="008E1AAE"/>
    <w:rsid w:val="008E5210"/>
    <w:rsid w:val="00903FFA"/>
    <w:rsid w:val="00922F8B"/>
    <w:rsid w:val="0094421B"/>
    <w:rsid w:val="00994D55"/>
    <w:rsid w:val="009A4D7B"/>
    <w:rsid w:val="009E3FED"/>
    <w:rsid w:val="009F50EB"/>
    <w:rsid w:val="00A058E5"/>
    <w:rsid w:val="00A109F1"/>
    <w:rsid w:val="00A26B48"/>
    <w:rsid w:val="00A4272C"/>
    <w:rsid w:val="00A64111"/>
    <w:rsid w:val="00A93BE8"/>
    <w:rsid w:val="00AA484C"/>
    <w:rsid w:val="00AB49BA"/>
    <w:rsid w:val="00AB4A06"/>
    <w:rsid w:val="00AC3635"/>
    <w:rsid w:val="00AD24F5"/>
    <w:rsid w:val="00AD51AF"/>
    <w:rsid w:val="00AE14AA"/>
    <w:rsid w:val="00AE2F07"/>
    <w:rsid w:val="00AE66AA"/>
    <w:rsid w:val="00B10D8C"/>
    <w:rsid w:val="00B26D7A"/>
    <w:rsid w:val="00B47567"/>
    <w:rsid w:val="00B6006C"/>
    <w:rsid w:val="00B711C6"/>
    <w:rsid w:val="00B71FFC"/>
    <w:rsid w:val="00B74281"/>
    <w:rsid w:val="00B75745"/>
    <w:rsid w:val="00B76217"/>
    <w:rsid w:val="00B81C20"/>
    <w:rsid w:val="00BC2D14"/>
    <w:rsid w:val="00C028EA"/>
    <w:rsid w:val="00C11F6F"/>
    <w:rsid w:val="00C137B2"/>
    <w:rsid w:val="00C40251"/>
    <w:rsid w:val="00C64936"/>
    <w:rsid w:val="00C96983"/>
    <w:rsid w:val="00CB7CB8"/>
    <w:rsid w:val="00CC4A9C"/>
    <w:rsid w:val="00D06316"/>
    <w:rsid w:val="00D24F07"/>
    <w:rsid w:val="00D3268D"/>
    <w:rsid w:val="00D643D0"/>
    <w:rsid w:val="00D66F7F"/>
    <w:rsid w:val="00D862A4"/>
    <w:rsid w:val="00D92623"/>
    <w:rsid w:val="00D95CA1"/>
    <w:rsid w:val="00DA0A6A"/>
    <w:rsid w:val="00DB28EF"/>
    <w:rsid w:val="00DB6D68"/>
    <w:rsid w:val="00DD3B76"/>
    <w:rsid w:val="00DF1AD0"/>
    <w:rsid w:val="00DF7AAE"/>
    <w:rsid w:val="00E368CC"/>
    <w:rsid w:val="00E4310C"/>
    <w:rsid w:val="00E528C7"/>
    <w:rsid w:val="00E65B91"/>
    <w:rsid w:val="00E6664F"/>
    <w:rsid w:val="00E744C2"/>
    <w:rsid w:val="00EB1E84"/>
    <w:rsid w:val="00ED798E"/>
    <w:rsid w:val="00EE1C2C"/>
    <w:rsid w:val="00EF03AE"/>
    <w:rsid w:val="00EF1695"/>
    <w:rsid w:val="00EF176C"/>
    <w:rsid w:val="00EF3FA1"/>
    <w:rsid w:val="00F05DE0"/>
    <w:rsid w:val="00F157DC"/>
    <w:rsid w:val="00F227A9"/>
    <w:rsid w:val="00F41904"/>
    <w:rsid w:val="00F70F7B"/>
    <w:rsid w:val="00FA5C09"/>
    <w:rsid w:val="00FC29ED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63E7"/>
  <w15:chartTrackingRefBased/>
  <w15:docId w15:val="{779F945D-D761-49A8-A3BD-34EAA94A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B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26C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2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26C"/>
    <w:rPr>
      <w:rFonts w:ascii="Times New Roman" w:eastAsia="仿宋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D326C"/>
    <w:pPr>
      <w:spacing w:line="240" w:lineRule="auto"/>
      <w:ind w:firstLine="420"/>
    </w:pPr>
    <w:rPr>
      <w:rFonts w:eastAsia="宋体"/>
      <w:sz w:val="21"/>
    </w:rPr>
  </w:style>
  <w:style w:type="paragraph" w:styleId="a8">
    <w:name w:val="Normal (Web)"/>
    <w:basedOn w:val="a"/>
    <w:qFormat/>
    <w:rsid w:val="00EF176C"/>
    <w:pPr>
      <w:spacing w:beforeAutospacing="1" w:afterAutospacing="1" w:line="240" w:lineRule="auto"/>
      <w:ind w:firstLineChars="0" w:firstLine="0"/>
      <w:jc w:val="left"/>
    </w:pPr>
    <w:rPr>
      <w:rFonts w:asciiTheme="minorHAnsi" w:eastAsiaTheme="minorEastAsia" w:hAnsiTheme="minorHAnsi"/>
      <w:kern w:val="0"/>
      <w:sz w:val="28"/>
      <w:szCs w:val="24"/>
    </w:rPr>
  </w:style>
  <w:style w:type="character" w:styleId="a9">
    <w:name w:val="annotation reference"/>
    <w:basedOn w:val="a0"/>
    <w:uiPriority w:val="99"/>
    <w:semiHidden/>
    <w:unhideWhenUsed/>
    <w:rsid w:val="00CC4A9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C4A9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C4A9C"/>
    <w:rPr>
      <w:rFonts w:ascii="Times New Roman" w:eastAsia="仿宋" w:hAnsi="Times New Roman" w:cs="Times New Roman"/>
      <w:sz w:val="3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4A9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C4A9C"/>
    <w:rPr>
      <w:rFonts w:ascii="Times New Roman" w:eastAsia="仿宋" w:hAnsi="Times New Roman" w:cs="Times New Roman"/>
      <w:b/>
      <w:bCs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BC2D14"/>
    <w:pPr>
      <w:autoSpaceDE w:val="0"/>
      <w:autoSpaceDN w:val="0"/>
      <w:spacing w:line="240" w:lineRule="auto"/>
      <w:ind w:firstLineChars="0" w:firstLine="0"/>
      <w:jc w:val="left"/>
    </w:pPr>
    <w:rPr>
      <w:rFonts w:ascii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UE</cp:lastModifiedBy>
  <cp:revision>2</cp:revision>
  <cp:lastPrinted>2022-05-18T09:14:00Z</cp:lastPrinted>
  <dcterms:created xsi:type="dcterms:W3CDTF">2024-08-27T16:03:00Z</dcterms:created>
  <dcterms:modified xsi:type="dcterms:W3CDTF">2024-08-27T16:03:00Z</dcterms:modified>
</cp:coreProperties>
</file>