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73D67" w14:textId="17E5FE37" w:rsidR="00A90E0E" w:rsidRPr="006B3D43" w:rsidRDefault="00ED7C8B">
      <w:pPr>
        <w:pStyle w:val="1"/>
        <w:rPr>
          <w:rFonts w:ascii="Times New Roman" w:eastAsia="宋体" w:hAnsi="Times New Roman" w:cs="Times New Roman"/>
          <w:sz w:val="24"/>
          <w:szCs w:val="24"/>
          <w:lang w:val="en-US"/>
        </w:rPr>
      </w:pPr>
      <w:r w:rsidRPr="006B3D43">
        <w:rPr>
          <w:rFonts w:ascii="Times New Roman" w:eastAsia="宋体" w:hAnsi="Times New Roman" w:cs="Times New Roman"/>
          <w:sz w:val="24"/>
          <w:szCs w:val="24"/>
          <w:lang w:val="en-US"/>
        </w:rPr>
        <w:t>证券代码：</w:t>
      </w:r>
      <w:r w:rsidRPr="006B3D43">
        <w:rPr>
          <w:rFonts w:ascii="Times New Roman" w:eastAsia="宋体" w:hAnsi="Times New Roman" w:cs="Times New Roman"/>
          <w:sz w:val="24"/>
          <w:szCs w:val="24"/>
          <w:lang w:val="en-US"/>
        </w:rPr>
        <w:t xml:space="preserve">600846                                  </w:t>
      </w:r>
      <w:r w:rsidRPr="006B3D43">
        <w:rPr>
          <w:rFonts w:ascii="Times New Roman" w:eastAsia="宋体" w:hAnsi="Times New Roman" w:cs="Times New Roman"/>
          <w:sz w:val="24"/>
          <w:szCs w:val="24"/>
          <w:lang w:val="en-US"/>
        </w:rPr>
        <w:t>证券简称：同济科技</w:t>
      </w:r>
    </w:p>
    <w:p w14:paraId="7B4B6A50" w14:textId="77777777" w:rsidR="00A90E0E" w:rsidRDefault="00A90E0E">
      <w:pPr>
        <w:spacing w:line="360" w:lineRule="auto"/>
        <w:jc w:val="center"/>
        <w:rPr>
          <w:rFonts w:ascii="宋体" w:eastAsia="宋体" w:hAnsi="宋体" w:cs="宋体" w:hint="eastAsia"/>
          <w:b/>
          <w:bCs/>
          <w:sz w:val="44"/>
          <w:szCs w:val="44"/>
        </w:rPr>
      </w:pPr>
    </w:p>
    <w:p w14:paraId="173A6D5C" w14:textId="77777777" w:rsidR="00A90E0E" w:rsidRDefault="00ED7C8B">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上海同济科技实业股份有限公司</w:t>
      </w:r>
    </w:p>
    <w:p w14:paraId="37822449" w14:textId="77777777" w:rsidR="00A90E0E" w:rsidRDefault="00ED7C8B">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16B6D166" w14:textId="553D4915" w:rsidR="00A90E0E" w:rsidRPr="006B3D43" w:rsidRDefault="00ED7C8B">
      <w:pPr>
        <w:spacing w:before="51" w:after="32"/>
        <w:ind w:right="619"/>
        <w:jc w:val="right"/>
        <w:rPr>
          <w:rFonts w:ascii="Times New Roman" w:eastAsia="宋体" w:hAnsi="Times New Roman" w:cs="Times New Roman"/>
          <w:sz w:val="24"/>
          <w:szCs w:val="24"/>
        </w:rPr>
      </w:pPr>
      <w:r w:rsidRPr="006B3D43">
        <w:rPr>
          <w:rFonts w:ascii="Times New Roman" w:eastAsia="宋体" w:hAnsi="Times New Roman" w:cs="Times New Roman"/>
          <w:sz w:val="24"/>
          <w:szCs w:val="24"/>
        </w:rPr>
        <w:t>编号：</w:t>
      </w:r>
      <w:r w:rsidRPr="006B3D43">
        <w:rPr>
          <w:rFonts w:ascii="Times New Roman" w:eastAsia="宋体" w:hAnsi="Times New Roman" w:cs="Times New Roman"/>
          <w:sz w:val="24"/>
          <w:szCs w:val="24"/>
          <w:lang w:val="en-US"/>
        </w:rPr>
        <w:t>2024</w:t>
      </w:r>
      <w:r w:rsidRPr="006B3D43">
        <w:rPr>
          <w:rFonts w:ascii="Times New Roman" w:eastAsia="宋体" w:hAnsi="Times New Roman" w:cs="Times New Roman"/>
          <w:sz w:val="24"/>
          <w:szCs w:val="24"/>
        </w:rPr>
        <w:t xml:space="preserve"> -</w:t>
      </w:r>
      <w:r w:rsidR="006B3D43" w:rsidRPr="006B3D43">
        <w:rPr>
          <w:rFonts w:ascii="Times New Roman" w:eastAsia="宋体" w:hAnsi="Times New Roman" w:cs="Times New Roman"/>
          <w:sz w:val="24"/>
          <w:szCs w:val="24"/>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A90E0E" w14:paraId="0F870926" w14:textId="77777777" w:rsidTr="006B3D43">
        <w:trPr>
          <w:trHeight w:val="2801"/>
          <w:jc w:val="center"/>
        </w:trPr>
        <w:tc>
          <w:tcPr>
            <w:tcW w:w="2580" w:type="dxa"/>
            <w:vAlign w:val="center"/>
          </w:tcPr>
          <w:p w14:paraId="7E8BF777" w14:textId="77777777" w:rsidR="00A90E0E" w:rsidRPr="006B3D43" w:rsidRDefault="00A90E0E" w:rsidP="006B3D43">
            <w:pPr>
              <w:pStyle w:val="TableParagraph"/>
              <w:spacing w:before="7"/>
              <w:jc w:val="both"/>
              <w:rPr>
                <w:rFonts w:ascii="宋体" w:eastAsia="宋体" w:hAnsi="宋体" w:cs="宋体" w:hint="eastAsia"/>
                <w:b/>
                <w:bCs/>
                <w:sz w:val="20"/>
                <w:szCs w:val="20"/>
              </w:rPr>
            </w:pPr>
          </w:p>
          <w:p w14:paraId="5AA18006" w14:textId="77777777" w:rsidR="00A90E0E" w:rsidRPr="006B3D43" w:rsidRDefault="00ED7C8B" w:rsidP="006B3D43">
            <w:pPr>
              <w:pStyle w:val="TableParagraph"/>
              <w:spacing w:before="1"/>
              <w:ind w:left="107"/>
              <w:jc w:val="both"/>
              <w:rPr>
                <w:rFonts w:ascii="宋体" w:eastAsia="宋体" w:hAnsi="宋体" w:cs="宋体" w:hint="eastAsia"/>
                <w:b/>
                <w:bCs/>
                <w:sz w:val="20"/>
                <w:szCs w:val="20"/>
              </w:rPr>
            </w:pPr>
            <w:r w:rsidRPr="006B3D43">
              <w:rPr>
                <w:rFonts w:ascii="宋体" w:eastAsia="宋体" w:hAnsi="宋体" w:cs="宋体" w:hint="eastAsia"/>
                <w:b/>
                <w:bCs/>
                <w:sz w:val="20"/>
                <w:szCs w:val="20"/>
              </w:rPr>
              <w:t>投资者关系活动类别</w:t>
            </w:r>
          </w:p>
        </w:tc>
        <w:tc>
          <w:tcPr>
            <w:tcW w:w="5945" w:type="dxa"/>
            <w:vAlign w:val="center"/>
          </w:tcPr>
          <w:p w14:paraId="00B94053" w14:textId="77777777" w:rsidR="00A90E0E" w:rsidRPr="006B3D43" w:rsidRDefault="00A90E0E" w:rsidP="006B3D43">
            <w:pPr>
              <w:pStyle w:val="TableParagraph"/>
              <w:spacing w:before="7"/>
              <w:jc w:val="both"/>
              <w:rPr>
                <w:rFonts w:ascii="宋体" w:eastAsia="宋体" w:hAnsi="宋体" w:cs="宋体" w:hint="eastAsia"/>
                <w:sz w:val="21"/>
                <w:szCs w:val="21"/>
              </w:rPr>
            </w:pPr>
          </w:p>
          <w:p w14:paraId="5DE550F8" w14:textId="77777777" w:rsidR="00A90E0E" w:rsidRPr="006B3D43" w:rsidRDefault="00000000" w:rsidP="006B3D43">
            <w:pPr>
              <w:pStyle w:val="TableParagraph"/>
              <w:tabs>
                <w:tab w:val="left" w:pos="2418"/>
              </w:tabs>
              <w:spacing w:before="1"/>
              <w:ind w:left="107"/>
              <w:jc w:val="both"/>
              <w:rPr>
                <w:rFonts w:ascii="宋体" w:eastAsia="宋体" w:hAnsi="宋体" w:cs="宋体" w:hint="eastAsia"/>
                <w:sz w:val="21"/>
                <w:szCs w:val="21"/>
              </w:rPr>
            </w:pPr>
            <w:sdt>
              <w:sdtPr>
                <w:rPr>
                  <w:rFonts w:ascii="宋体" w:eastAsia="宋体" w:hAnsi="宋体" w:cs="宋体" w:hint="eastAsia"/>
                  <w:sz w:val="21"/>
                  <w:szCs w:val="21"/>
                </w:rPr>
                <w:id w:val="249780449"/>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特</w:t>
            </w:r>
            <w:r w:rsidR="00ED7C8B" w:rsidRPr="006B3D43">
              <w:rPr>
                <w:rFonts w:ascii="宋体" w:eastAsia="宋体" w:hAnsi="宋体" w:cs="宋体" w:hint="eastAsia"/>
                <w:spacing w:val="-3"/>
                <w:sz w:val="21"/>
                <w:szCs w:val="21"/>
              </w:rPr>
              <w:t>定</w:t>
            </w:r>
            <w:r w:rsidR="00ED7C8B" w:rsidRPr="006B3D43">
              <w:rPr>
                <w:rFonts w:ascii="宋体" w:eastAsia="宋体" w:hAnsi="宋体" w:cs="宋体" w:hint="eastAsia"/>
                <w:sz w:val="21"/>
                <w:szCs w:val="21"/>
              </w:rPr>
              <w:t>对</w:t>
            </w:r>
            <w:r w:rsidR="00ED7C8B" w:rsidRPr="006B3D43">
              <w:rPr>
                <w:rFonts w:ascii="宋体" w:eastAsia="宋体" w:hAnsi="宋体" w:cs="宋体" w:hint="eastAsia"/>
                <w:spacing w:val="-3"/>
                <w:sz w:val="21"/>
                <w:szCs w:val="21"/>
              </w:rPr>
              <w:t>象</w:t>
            </w:r>
            <w:r w:rsidR="00ED7C8B" w:rsidRPr="006B3D43">
              <w:rPr>
                <w:rFonts w:ascii="宋体" w:eastAsia="宋体" w:hAnsi="宋体" w:cs="宋体" w:hint="eastAsia"/>
                <w:sz w:val="21"/>
                <w:szCs w:val="21"/>
              </w:rPr>
              <w:t>调研</w:t>
            </w:r>
            <w:r w:rsidR="00ED7C8B" w:rsidRPr="006B3D43">
              <w:rPr>
                <w:rFonts w:ascii="宋体" w:eastAsia="宋体" w:hAnsi="宋体" w:cs="宋体" w:hint="eastAsia"/>
                <w:sz w:val="21"/>
                <w:szCs w:val="21"/>
              </w:rPr>
              <w:tab/>
            </w:r>
            <w:sdt>
              <w:sdtPr>
                <w:rPr>
                  <w:rFonts w:ascii="宋体" w:eastAsia="宋体" w:hAnsi="宋体" w:cs="宋体" w:hint="eastAsia"/>
                  <w:sz w:val="21"/>
                  <w:szCs w:val="21"/>
                </w:rPr>
                <w:id w:val="-416875725"/>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分</w:t>
            </w:r>
            <w:r w:rsidR="00ED7C8B" w:rsidRPr="006B3D43">
              <w:rPr>
                <w:rFonts w:ascii="宋体" w:eastAsia="宋体" w:hAnsi="宋体" w:cs="宋体" w:hint="eastAsia"/>
                <w:spacing w:val="-3"/>
                <w:sz w:val="21"/>
                <w:szCs w:val="21"/>
              </w:rPr>
              <w:t>析</w:t>
            </w:r>
            <w:r w:rsidR="00ED7C8B" w:rsidRPr="006B3D43">
              <w:rPr>
                <w:rFonts w:ascii="宋体" w:eastAsia="宋体" w:hAnsi="宋体" w:cs="宋体" w:hint="eastAsia"/>
                <w:sz w:val="21"/>
                <w:szCs w:val="21"/>
              </w:rPr>
              <w:t>师</w:t>
            </w:r>
            <w:r w:rsidR="00ED7C8B" w:rsidRPr="006B3D43">
              <w:rPr>
                <w:rFonts w:ascii="宋体" w:eastAsia="宋体" w:hAnsi="宋体" w:cs="宋体" w:hint="eastAsia"/>
                <w:spacing w:val="-3"/>
                <w:sz w:val="21"/>
                <w:szCs w:val="21"/>
              </w:rPr>
              <w:t>会</w:t>
            </w:r>
            <w:r w:rsidR="00ED7C8B" w:rsidRPr="006B3D43">
              <w:rPr>
                <w:rFonts w:ascii="宋体" w:eastAsia="宋体" w:hAnsi="宋体" w:cs="宋体" w:hint="eastAsia"/>
                <w:sz w:val="21"/>
                <w:szCs w:val="21"/>
              </w:rPr>
              <w:t>议</w:t>
            </w:r>
          </w:p>
          <w:p w14:paraId="4160295D" w14:textId="77777777" w:rsidR="00A90E0E" w:rsidRPr="006B3D43" w:rsidRDefault="00A90E0E" w:rsidP="006B3D43">
            <w:pPr>
              <w:pStyle w:val="TableParagraph"/>
              <w:spacing w:before="11"/>
              <w:jc w:val="both"/>
              <w:rPr>
                <w:rFonts w:ascii="宋体" w:eastAsia="宋体" w:hAnsi="宋体" w:cs="宋体" w:hint="eastAsia"/>
                <w:sz w:val="21"/>
                <w:szCs w:val="21"/>
              </w:rPr>
            </w:pPr>
          </w:p>
          <w:p w14:paraId="211FAFFA" w14:textId="77777777" w:rsidR="00A90E0E" w:rsidRPr="006B3D43" w:rsidRDefault="00000000" w:rsidP="006B3D43">
            <w:pPr>
              <w:pStyle w:val="TableParagraph"/>
              <w:tabs>
                <w:tab w:val="left" w:pos="2418"/>
              </w:tabs>
              <w:ind w:left="107"/>
              <w:jc w:val="both"/>
              <w:rPr>
                <w:rFonts w:ascii="宋体" w:eastAsia="宋体" w:hAnsi="宋体" w:cs="宋体" w:hint="eastAsia"/>
                <w:sz w:val="21"/>
                <w:szCs w:val="21"/>
              </w:rPr>
            </w:pPr>
            <w:sdt>
              <w:sdtPr>
                <w:rPr>
                  <w:rFonts w:ascii="宋体" w:eastAsia="宋体" w:hAnsi="宋体" w:cs="宋体" w:hint="eastAsia"/>
                  <w:sz w:val="21"/>
                  <w:szCs w:val="21"/>
                </w:rPr>
                <w:id w:val="1206906014"/>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媒</w:t>
            </w:r>
            <w:r w:rsidR="00ED7C8B" w:rsidRPr="006B3D43">
              <w:rPr>
                <w:rFonts w:ascii="宋体" w:eastAsia="宋体" w:hAnsi="宋体" w:cs="宋体" w:hint="eastAsia"/>
                <w:spacing w:val="-3"/>
                <w:sz w:val="21"/>
                <w:szCs w:val="21"/>
              </w:rPr>
              <w:t>体</w:t>
            </w:r>
            <w:r w:rsidR="00ED7C8B" w:rsidRPr="006B3D43">
              <w:rPr>
                <w:rFonts w:ascii="宋体" w:eastAsia="宋体" w:hAnsi="宋体" w:cs="宋体" w:hint="eastAsia"/>
                <w:sz w:val="21"/>
                <w:szCs w:val="21"/>
              </w:rPr>
              <w:t>采访</w:t>
            </w:r>
            <w:r w:rsidR="00ED7C8B" w:rsidRPr="006B3D43">
              <w:rPr>
                <w:rFonts w:ascii="宋体" w:eastAsia="宋体" w:hAnsi="宋体" w:cs="宋体" w:hint="eastAsia"/>
                <w:sz w:val="21"/>
                <w:szCs w:val="21"/>
              </w:rPr>
              <w:tab/>
            </w:r>
            <w:sdt>
              <w:sdtPr>
                <w:rPr>
                  <w:rFonts w:ascii="宋体" w:eastAsia="宋体" w:hAnsi="宋体" w:cs="宋体" w:hint="eastAsia"/>
                  <w:sz w:val="21"/>
                  <w:szCs w:val="21"/>
                </w:rPr>
                <w:id w:val="-66658901"/>
                <w14:checkbox>
                  <w14:checked w14:val="1"/>
                  <w14:checkedState w14:val="0052" w14:font="Wingdings 2"/>
                  <w14:uncheckedState w14:val="2610" w14:font="MS Gothic"/>
                </w14:checkbox>
              </w:sdtPr>
              <w:sdtContent>
                <w:r w:rsidR="00ED7C8B" w:rsidRPr="006B3D43">
                  <w:rPr>
                    <w:rFonts w:ascii="Wingdings 2" w:eastAsia="MS Gothic" w:hAnsi="Wingdings 2" w:cs="宋体" w:hint="eastAsia"/>
                    <w:sz w:val="21"/>
                    <w:szCs w:val="21"/>
                  </w:rPr>
                  <w:t>R</w:t>
                </w:r>
              </w:sdtContent>
            </w:sdt>
            <w:r w:rsidR="00ED7C8B" w:rsidRPr="006B3D43">
              <w:rPr>
                <w:rFonts w:ascii="宋体" w:eastAsia="宋体" w:hAnsi="宋体" w:cs="宋体" w:hint="eastAsia"/>
                <w:sz w:val="21"/>
                <w:szCs w:val="21"/>
              </w:rPr>
              <w:t>业</w:t>
            </w:r>
            <w:r w:rsidR="00ED7C8B" w:rsidRPr="006B3D43">
              <w:rPr>
                <w:rFonts w:ascii="宋体" w:eastAsia="宋体" w:hAnsi="宋体" w:cs="宋体" w:hint="eastAsia"/>
                <w:spacing w:val="-3"/>
                <w:sz w:val="21"/>
                <w:szCs w:val="21"/>
              </w:rPr>
              <w:t>绩</w:t>
            </w:r>
            <w:r w:rsidR="00ED7C8B" w:rsidRPr="006B3D43">
              <w:rPr>
                <w:rFonts w:ascii="宋体" w:eastAsia="宋体" w:hAnsi="宋体" w:cs="宋体" w:hint="eastAsia"/>
                <w:sz w:val="21"/>
                <w:szCs w:val="21"/>
              </w:rPr>
              <w:t>说</w:t>
            </w:r>
            <w:r w:rsidR="00ED7C8B" w:rsidRPr="006B3D43">
              <w:rPr>
                <w:rFonts w:ascii="宋体" w:eastAsia="宋体" w:hAnsi="宋体" w:cs="宋体" w:hint="eastAsia"/>
                <w:spacing w:val="-3"/>
                <w:sz w:val="21"/>
                <w:szCs w:val="21"/>
              </w:rPr>
              <w:t>明</w:t>
            </w:r>
            <w:r w:rsidR="00ED7C8B" w:rsidRPr="006B3D43">
              <w:rPr>
                <w:rFonts w:ascii="宋体" w:eastAsia="宋体" w:hAnsi="宋体" w:cs="宋体" w:hint="eastAsia"/>
                <w:sz w:val="21"/>
                <w:szCs w:val="21"/>
              </w:rPr>
              <w:t>会</w:t>
            </w:r>
          </w:p>
          <w:p w14:paraId="57AEBF78" w14:textId="77777777" w:rsidR="00A90E0E" w:rsidRPr="006B3D43" w:rsidRDefault="00A90E0E" w:rsidP="006B3D43">
            <w:pPr>
              <w:pStyle w:val="TableParagraph"/>
              <w:spacing w:before="8"/>
              <w:jc w:val="both"/>
              <w:rPr>
                <w:rFonts w:ascii="宋体" w:eastAsia="宋体" w:hAnsi="宋体" w:cs="宋体" w:hint="eastAsia"/>
                <w:sz w:val="21"/>
                <w:szCs w:val="21"/>
              </w:rPr>
            </w:pPr>
          </w:p>
          <w:p w14:paraId="65F43A87" w14:textId="77777777" w:rsidR="00A90E0E" w:rsidRPr="006B3D43" w:rsidRDefault="00000000" w:rsidP="006B3D43">
            <w:pPr>
              <w:pStyle w:val="TableParagraph"/>
              <w:tabs>
                <w:tab w:val="left" w:pos="2418"/>
              </w:tabs>
              <w:ind w:left="107"/>
              <w:jc w:val="both"/>
              <w:rPr>
                <w:rFonts w:ascii="宋体" w:eastAsia="宋体" w:hAnsi="宋体" w:cs="宋体" w:hint="eastAsia"/>
                <w:sz w:val="21"/>
                <w:szCs w:val="21"/>
              </w:rPr>
            </w:pPr>
            <w:sdt>
              <w:sdtPr>
                <w:rPr>
                  <w:rFonts w:ascii="宋体" w:eastAsia="宋体" w:hAnsi="宋体" w:cs="宋体" w:hint="eastAsia"/>
                  <w:sz w:val="21"/>
                  <w:szCs w:val="21"/>
                </w:rPr>
                <w:id w:val="-1848167434"/>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新</w:t>
            </w:r>
            <w:r w:rsidR="00ED7C8B" w:rsidRPr="006B3D43">
              <w:rPr>
                <w:rFonts w:ascii="宋体" w:eastAsia="宋体" w:hAnsi="宋体" w:cs="宋体" w:hint="eastAsia"/>
                <w:spacing w:val="-3"/>
                <w:sz w:val="21"/>
                <w:szCs w:val="21"/>
              </w:rPr>
              <w:t>闻</w:t>
            </w:r>
            <w:r w:rsidR="00ED7C8B" w:rsidRPr="006B3D43">
              <w:rPr>
                <w:rFonts w:ascii="宋体" w:eastAsia="宋体" w:hAnsi="宋体" w:cs="宋体" w:hint="eastAsia"/>
                <w:sz w:val="21"/>
                <w:szCs w:val="21"/>
              </w:rPr>
              <w:t>发</w:t>
            </w:r>
            <w:r w:rsidR="00ED7C8B" w:rsidRPr="006B3D43">
              <w:rPr>
                <w:rFonts w:ascii="宋体" w:eastAsia="宋体" w:hAnsi="宋体" w:cs="宋体" w:hint="eastAsia"/>
                <w:spacing w:val="-3"/>
                <w:sz w:val="21"/>
                <w:szCs w:val="21"/>
              </w:rPr>
              <w:t>布</w:t>
            </w:r>
            <w:r w:rsidR="00ED7C8B" w:rsidRPr="006B3D43">
              <w:rPr>
                <w:rFonts w:ascii="宋体" w:eastAsia="宋体" w:hAnsi="宋体" w:cs="宋体" w:hint="eastAsia"/>
                <w:sz w:val="21"/>
                <w:szCs w:val="21"/>
              </w:rPr>
              <w:t>会</w:t>
            </w:r>
            <w:r w:rsidR="00ED7C8B" w:rsidRPr="006B3D43">
              <w:rPr>
                <w:rFonts w:ascii="宋体" w:eastAsia="宋体" w:hAnsi="宋体" w:cs="宋体" w:hint="eastAsia"/>
                <w:sz w:val="21"/>
                <w:szCs w:val="21"/>
              </w:rPr>
              <w:tab/>
            </w:r>
            <w:sdt>
              <w:sdtPr>
                <w:rPr>
                  <w:rFonts w:ascii="宋体" w:eastAsia="宋体" w:hAnsi="宋体" w:cs="宋体" w:hint="eastAsia"/>
                  <w:sz w:val="21"/>
                  <w:szCs w:val="21"/>
                </w:rPr>
                <w:id w:val="412049691"/>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路</w:t>
            </w:r>
            <w:r w:rsidR="00ED7C8B" w:rsidRPr="006B3D43">
              <w:rPr>
                <w:rFonts w:ascii="宋体" w:eastAsia="宋体" w:hAnsi="宋体" w:cs="宋体" w:hint="eastAsia"/>
                <w:spacing w:val="-3"/>
                <w:sz w:val="21"/>
                <w:szCs w:val="21"/>
              </w:rPr>
              <w:t>演</w:t>
            </w:r>
            <w:r w:rsidR="00ED7C8B" w:rsidRPr="006B3D43">
              <w:rPr>
                <w:rFonts w:ascii="宋体" w:eastAsia="宋体" w:hAnsi="宋体" w:cs="宋体" w:hint="eastAsia"/>
                <w:sz w:val="21"/>
                <w:szCs w:val="21"/>
              </w:rPr>
              <w:t>活动</w:t>
            </w:r>
          </w:p>
          <w:p w14:paraId="6576485F" w14:textId="77777777" w:rsidR="00A90E0E" w:rsidRPr="006B3D43" w:rsidRDefault="00A90E0E" w:rsidP="006B3D43">
            <w:pPr>
              <w:pStyle w:val="TableParagraph"/>
              <w:spacing w:before="8"/>
              <w:jc w:val="both"/>
              <w:rPr>
                <w:rFonts w:ascii="宋体" w:eastAsia="宋体" w:hAnsi="宋体" w:cs="宋体" w:hint="eastAsia"/>
                <w:sz w:val="21"/>
                <w:szCs w:val="21"/>
              </w:rPr>
            </w:pPr>
          </w:p>
          <w:p w14:paraId="05C363F8" w14:textId="77777777" w:rsidR="00A90E0E" w:rsidRPr="006B3D43" w:rsidRDefault="00000000" w:rsidP="006B3D43">
            <w:pPr>
              <w:pStyle w:val="TableParagraph"/>
              <w:ind w:left="107"/>
              <w:jc w:val="both"/>
              <w:rPr>
                <w:rFonts w:ascii="宋体" w:eastAsia="宋体" w:hAnsi="宋体" w:cs="宋体" w:hint="eastAsia"/>
                <w:sz w:val="21"/>
                <w:szCs w:val="21"/>
              </w:rPr>
            </w:pPr>
            <w:sdt>
              <w:sdtPr>
                <w:rPr>
                  <w:rFonts w:ascii="宋体" w:eastAsia="宋体" w:hAnsi="宋体" w:cs="宋体" w:hint="eastAsia"/>
                  <w:sz w:val="21"/>
                  <w:szCs w:val="21"/>
                </w:rPr>
                <w:id w:val="-1333366911"/>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现场参观</w:t>
            </w:r>
          </w:p>
          <w:p w14:paraId="33DED372" w14:textId="77777777" w:rsidR="00A90E0E" w:rsidRPr="006B3D43" w:rsidRDefault="00A90E0E" w:rsidP="006B3D43">
            <w:pPr>
              <w:pStyle w:val="TableParagraph"/>
              <w:spacing w:before="11"/>
              <w:jc w:val="both"/>
              <w:rPr>
                <w:rFonts w:ascii="宋体" w:eastAsia="宋体" w:hAnsi="宋体" w:cs="宋体" w:hint="eastAsia"/>
                <w:sz w:val="21"/>
                <w:szCs w:val="21"/>
              </w:rPr>
            </w:pPr>
          </w:p>
          <w:p w14:paraId="066298A8" w14:textId="77777777" w:rsidR="00A90E0E" w:rsidRPr="006B3D43" w:rsidRDefault="00000000" w:rsidP="006B3D43">
            <w:pPr>
              <w:pStyle w:val="TableParagraph"/>
              <w:ind w:left="107"/>
              <w:jc w:val="both"/>
              <w:rPr>
                <w:rFonts w:ascii="宋体" w:eastAsia="宋体" w:hAnsi="宋体" w:cs="宋体" w:hint="eastAsia"/>
                <w:sz w:val="21"/>
                <w:szCs w:val="21"/>
              </w:rPr>
            </w:pPr>
            <w:sdt>
              <w:sdtPr>
                <w:rPr>
                  <w:rFonts w:ascii="宋体" w:eastAsia="宋体" w:hAnsi="宋体" w:cs="宋体" w:hint="eastAsia"/>
                  <w:sz w:val="21"/>
                  <w:szCs w:val="21"/>
                </w:rPr>
                <w:id w:val="400885218"/>
                <w14:checkbox>
                  <w14:checked w14:val="0"/>
                  <w14:checkedState w14:val="0052" w14:font="Wingdings 2"/>
                  <w14:uncheckedState w14:val="2610" w14:font="MS Gothic"/>
                </w14:checkbox>
              </w:sdtPr>
              <w:sdtContent>
                <w:r w:rsidR="00ED7C8B" w:rsidRPr="006B3D43">
                  <w:rPr>
                    <w:rFonts w:ascii="MS Gothic" w:eastAsia="MS Gothic" w:hAnsi="MS Gothic" w:cs="宋体" w:hint="eastAsia"/>
                    <w:sz w:val="21"/>
                    <w:szCs w:val="21"/>
                  </w:rPr>
                  <w:t>☐</w:t>
                </w:r>
              </w:sdtContent>
            </w:sdt>
            <w:r w:rsidR="00ED7C8B" w:rsidRPr="006B3D43">
              <w:rPr>
                <w:rFonts w:ascii="宋体" w:eastAsia="宋体" w:hAnsi="宋体" w:cs="宋体" w:hint="eastAsia"/>
                <w:sz w:val="21"/>
                <w:szCs w:val="21"/>
              </w:rPr>
              <w:t>其他（</w:t>
            </w:r>
            <w:r w:rsidR="00ED7C8B" w:rsidRPr="006B3D43">
              <w:rPr>
                <w:rFonts w:ascii="宋体" w:eastAsia="宋体" w:hAnsi="宋体" w:cs="宋体" w:hint="eastAsia"/>
                <w:sz w:val="21"/>
                <w:szCs w:val="21"/>
                <w:u w:val="single"/>
              </w:rPr>
              <w:t>请文字说明其他活动内容）</w:t>
            </w:r>
          </w:p>
        </w:tc>
      </w:tr>
      <w:tr w:rsidR="00A90E0E" w14:paraId="56000C92" w14:textId="77777777" w:rsidTr="006B3D43">
        <w:trPr>
          <w:trHeight w:val="1120"/>
          <w:jc w:val="center"/>
        </w:trPr>
        <w:tc>
          <w:tcPr>
            <w:tcW w:w="2580" w:type="dxa"/>
            <w:vAlign w:val="center"/>
          </w:tcPr>
          <w:p w14:paraId="4A76BF69" w14:textId="77777777" w:rsidR="00A90E0E" w:rsidRPr="006B3D43" w:rsidRDefault="00ED7C8B" w:rsidP="006B3D43">
            <w:pPr>
              <w:pStyle w:val="TableParagraph"/>
              <w:spacing w:line="560" w:lineRule="exact"/>
              <w:ind w:left="107" w:right="96"/>
              <w:jc w:val="both"/>
              <w:rPr>
                <w:rFonts w:asciiTheme="minorEastAsia" w:eastAsiaTheme="minorEastAsia" w:hAnsiTheme="minorEastAsia" w:cs="宋体" w:hint="eastAsia"/>
                <w:b/>
                <w:bCs/>
                <w:sz w:val="20"/>
                <w:szCs w:val="20"/>
              </w:rPr>
            </w:pPr>
            <w:r w:rsidRPr="006B3D43">
              <w:rPr>
                <w:rFonts w:asciiTheme="minorEastAsia" w:eastAsiaTheme="minorEastAsia" w:hAnsiTheme="minorEastAsia" w:cs="宋体" w:hint="eastAsia"/>
                <w:b/>
                <w:bCs/>
                <w:sz w:val="20"/>
                <w:szCs w:val="20"/>
              </w:rPr>
              <w:t>参与单位名称及人员姓名</w:t>
            </w:r>
          </w:p>
        </w:tc>
        <w:tc>
          <w:tcPr>
            <w:tcW w:w="5945" w:type="dxa"/>
            <w:vAlign w:val="center"/>
          </w:tcPr>
          <w:p w14:paraId="4899F95C" w14:textId="7AF62222" w:rsidR="00A90E0E" w:rsidRPr="006B3D43" w:rsidRDefault="002E4699" w:rsidP="006B3D43">
            <w:pPr>
              <w:pStyle w:val="TableParagraph"/>
              <w:spacing w:before="100" w:beforeAutospacing="1" w:line="360" w:lineRule="auto"/>
              <w:jc w:val="both"/>
              <w:rPr>
                <w:rFonts w:ascii="Times New Roman" w:eastAsiaTheme="minorEastAsia" w:hAnsi="Times New Roman" w:cs="Times New Roman"/>
                <w:sz w:val="21"/>
                <w:szCs w:val="21"/>
              </w:rPr>
            </w:pPr>
            <w:r w:rsidRPr="006B3D43">
              <w:rPr>
                <w:rFonts w:ascii="Times New Roman" w:eastAsiaTheme="minorEastAsia" w:hAnsi="Times New Roman" w:cs="Times New Roman"/>
                <w:sz w:val="21"/>
                <w:szCs w:val="21"/>
              </w:rPr>
              <w:t>线上参与公司</w:t>
            </w:r>
            <w:r w:rsidRPr="006B3D43">
              <w:rPr>
                <w:rFonts w:ascii="Times New Roman" w:eastAsiaTheme="minorEastAsia" w:hAnsi="Times New Roman" w:cs="Times New Roman"/>
                <w:sz w:val="21"/>
                <w:szCs w:val="21"/>
              </w:rPr>
              <w:t>2024</w:t>
            </w:r>
            <w:r w:rsidRPr="006B3D43">
              <w:rPr>
                <w:rFonts w:ascii="Times New Roman" w:eastAsiaTheme="minorEastAsia" w:hAnsi="Times New Roman" w:cs="Times New Roman"/>
                <w:sz w:val="21"/>
                <w:szCs w:val="21"/>
              </w:rPr>
              <w:t>年半年度业绩说明会的投资者</w:t>
            </w:r>
          </w:p>
        </w:tc>
      </w:tr>
      <w:tr w:rsidR="00A90E0E" w14:paraId="37DA2D47" w14:textId="77777777" w:rsidTr="006B3D43">
        <w:trPr>
          <w:trHeight w:val="558"/>
          <w:jc w:val="center"/>
        </w:trPr>
        <w:tc>
          <w:tcPr>
            <w:tcW w:w="2580" w:type="dxa"/>
            <w:vAlign w:val="center"/>
          </w:tcPr>
          <w:p w14:paraId="5AEF282F" w14:textId="77777777" w:rsidR="00A90E0E" w:rsidRPr="006B3D43" w:rsidRDefault="00ED7C8B" w:rsidP="006B3D43">
            <w:pPr>
              <w:pStyle w:val="TableParagraph"/>
              <w:ind w:left="107"/>
              <w:jc w:val="both"/>
              <w:rPr>
                <w:rFonts w:asciiTheme="minorEastAsia" w:eastAsiaTheme="minorEastAsia" w:hAnsiTheme="minorEastAsia" w:cs="宋体" w:hint="eastAsia"/>
                <w:b/>
                <w:bCs/>
                <w:sz w:val="20"/>
                <w:szCs w:val="20"/>
              </w:rPr>
            </w:pPr>
            <w:r w:rsidRPr="006B3D43">
              <w:rPr>
                <w:rFonts w:asciiTheme="minorEastAsia" w:eastAsiaTheme="minorEastAsia" w:hAnsiTheme="minorEastAsia" w:cs="宋体" w:hint="eastAsia"/>
                <w:b/>
                <w:bCs/>
                <w:sz w:val="20"/>
                <w:szCs w:val="20"/>
              </w:rPr>
              <w:t>时间</w:t>
            </w:r>
          </w:p>
        </w:tc>
        <w:tc>
          <w:tcPr>
            <w:tcW w:w="5945" w:type="dxa"/>
            <w:vAlign w:val="center"/>
          </w:tcPr>
          <w:p w14:paraId="23E5898A" w14:textId="77777777" w:rsidR="00A90E0E" w:rsidRPr="006B3D43" w:rsidRDefault="00ED7C8B" w:rsidP="006B3D43">
            <w:pPr>
              <w:spacing w:before="100" w:beforeAutospacing="1" w:line="360" w:lineRule="auto"/>
              <w:jc w:val="both"/>
              <w:rPr>
                <w:rFonts w:ascii="Times New Roman" w:hAnsi="Times New Roman" w:cs="Times New Roman"/>
                <w:sz w:val="21"/>
                <w:szCs w:val="21"/>
              </w:rPr>
            </w:pPr>
            <w:r w:rsidRPr="006B3D43">
              <w:rPr>
                <w:rFonts w:ascii="Times New Roman" w:eastAsiaTheme="minorEastAsia" w:hAnsi="Times New Roman" w:cs="Times New Roman"/>
                <w:sz w:val="21"/>
                <w:szCs w:val="21"/>
              </w:rPr>
              <w:t>2024</w:t>
            </w:r>
            <w:r w:rsidRPr="006B3D43">
              <w:rPr>
                <w:rFonts w:ascii="Times New Roman" w:eastAsiaTheme="minorEastAsia" w:hAnsi="Times New Roman" w:cs="Times New Roman"/>
                <w:sz w:val="21"/>
                <w:szCs w:val="21"/>
              </w:rPr>
              <w:t>年</w:t>
            </w:r>
            <w:r w:rsidRPr="006B3D43">
              <w:rPr>
                <w:rFonts w:ascii="Times New Roman" w:eastAsiaTheme="minorEastAsia" w:hAnsi="Times New Roman" w:cs="Times New Roman"/>
                <w:sz w:val="21"/>
                <w:szCs w:val="21"/>
              </w:rPr>
              <w:t>08</w:t>
            </w:r>
            <w:r w:rsidRPr="006B3D43">
              <w:rPr>
                <w:rFonts w:ascii="Times New Roman" w:eastAsiaTheme="minorEastAsia" w:hAnsi="Times New Roman" w:cs="Times New Roman"/>
                <w:sz w:val="21"/>
                <w:szCs w:val="21"/>
              </w:rPr>
              <w:t>月</w:t>
            </w:r>
            <w:r w:rsidRPr="006B3D43">
              <w:rPr>
                <w:rFonts w:ascii="Times New Roman" w:eastAsiaTheme="minorEastAsia" w:hAnsi="Times New Roman" w:cs="Times New Roman"/>
                <w:sz w:val="21"/>
                <w:szCs w:val="21"/>
              </w:rPr>
              <w:t>27</w:t>
            </w:r>
            <w:r w:rsidRPr="006B3D43">
              <w:rPr>
                <w:rFonts w:ascii="Times New Roman" w:eastAsiaTheme="minorEastAsia" w:hAnsi="Times New Roman" w:cs="Times New Roman"/>
                <w:sz w:val="21"/>
                <w:szCs w:val="21"/>
              </w:rPr>
              <w:t>日</w:t>
            </w:r>
            <w:r w:rsidRPr="006B3D43">
              <w:rPr>
                <w:rFonts w:ascii="Times New Roman" w:eastAsiaTheme="minorEastAsia" w:hAnsi="Times New Roman" w:cs="Times New Roman"/>
                <w:sz w:val="21"/>
                <w:szCs w:val="21"/>
              </w:rPr>
              <w:t xml:space="preserve"> 14:00-15:00</w:t>
            </w:r>
          </w:p>
        </w:tc>
      </w:tr>
      <w:tr w:rsidR="00A90E0E" w14:paraId="23B5BEB2" w14:textId="77777777" w:rsidTr="006B3D43">
        <w:trPr>
          <w:trHeight w:val="561"/>
          <w:jc w:val="center"/>
        </w:trPr>
        <w:tc>
          <w:tcPr>
            <w:tcW w:w="2580" w:type="dxa"/>
            <w:vAlign w:val="center"/>
          </w:tcPr>
          <w:p w14:paraId="4807D4D5" w14:textId="77777777" w:rsidR="00A90E0E" w:rsidRPr="006B3D43" w:rsidRDefault="00ED7C8B" w:rsidP="006B3D43">
            <w:pPr>
              <w:pStyle w:val="TableParagraph"/>
              <w:ind w:left="107"/>
              <w:jc w:val="both"/>
              <w:rPr>
                <w:rFonts w:asciiTheme="minorEastAsia" w:eastAsiaTheme="minorEastAsia" w:hAnsiTheme="minorEastAsia" w:cs="宋体" w:hint="eastAsia"/>
                <w:b/>
                <w:bCs/>
                <w:sz w:val="20"/>
                <w:szCs w:val="20"/>
              </w:rPr>
            </w:pPr>
            <w:r w:rsidRPr="006B3D43">
              <w:rPr>
                <w:rFonts w:asciiTheme="minorEastAsia" w:eastAsiaTheme="minorEastAsia" w:hAnsiTheme="minorEastAsia" w:cs="宋体" w:hint="eastAsia"/>
                <w:b/>
                <w:bCs/>
                <w:sz w:val="20"/>
                <w:szCs w:val="20"/>
              </w:rPr>
              <w:t>地点</w:t>
            </w:r>
          </w:p>
        </w:tc>
        <w:tc>
          <w:tcPr>
            <w:tcW w:w="5945" w:type="dxa"/>
            <w:vAlign w:val="center"/>
          </w:tcPr>
          <w:p w14:paraId="6F7CD9A0" w14:textId="77777777" w:rsidR="00A90E0E" w:rsidRPr="006B3D43" w:rsidRDefault="00ED7C8B" w:rsidP="006B3D43">
            <w:pPr>
              <w:pStyle w:val="TableParagraph"/>
              <w:spacing w:before="100" w:beforeAutospacing="1" w:line="360" w:lineRule="auto"/>
              <w:jc w:val="both"/>
              <w:rPr>
                <w:rFonts w:ascii="Times New Roman" w:eastAsiaTheme="minorEastAsia" w:hAnsi="Times New Roman" w:cs="Times New Roman"/>
                <w:sz w:val="21"/>
                <w:szCs w:val="21"/>
              </w:rPr>
            </w:pPr>
            <w:r w:rsidRPr="006B3D43">
              <w:rPr>
                <w:rFonts w:ascii="Times New Roman" w:eastAsiaTheme="minorEastAsia" w:hAnsi="Times New Roman" w:cs="Times New Roman"/>
                <w:sz w:val="21"/>
                <w:szCs w:val="21"/>
              </w:rPr>
              <w:t>价值在线（</w:t>
            </w:r>
            <w:r w:rsidRPr="006B3D43">
              <w:rPr>
                <w:rFonts w:ascii="Times New Roman" w:eastAsiaTheme="minorEastAsia" w:hAnsi="Times New Roman" w:cs="Times New Roman"/>
                <w:sz w:val="21"/>
                <w:szCs w:val="21"/>
              </w:rPr>
              <w:t>https://www.ir-online.cn/</w:t>
            </w:r>
            <w:r w:rsidRPr="006B3D43">
              <w:rPr>
                <w:rFonts w:ascii="Times New Roman" w:eastAsiaTheme="minorEastAsia" w:hAnsi="Times New Roman" w:cs="Times New Roman"/>
                <w:sz w:val="21"/>
                <w:szCs w:val="21"/>
              </w:rPr>
              <w:t>）网络互动</w:t>
            </w:r>
          </w:p>
        </w:tc>
      </w:tr>
      <w:tr w:rsidR="00A90E0E" w14:paraId="7708C51D" w14:textId="77777777" w:rsidTr="006B3D43">
        <w:trPr>
          <w:trHeight w:val="558"/>
          <w:jc w:val="center"/>
        </w:trPr>
        <w:tc>
          <w:tcPr>
            <w:tcW w:w="2580" w:type="dxa"/>
            <w:vAlign w:val="center"/>
          </w:tcPr>
          <w:p w14:paraId="0E6177FA" w14:textId="77777777" w:rsidR="00A90E0E" w:rsidRPr="006B3D43" w:rsidRDefault="00ED7C8B" w:rsidP="006B3D43">
            <w:pPr>
              <w:pStyle w:val="TableParagraph"/>
              <w:spacing w:before="1"/>
              <w:ind w:left="107"/>
              <w:jc w:val="both"/>
              <w:rPr>
                <w:rFonts w:ascii="宋体" w:eastAsia="宋体" w:hAnsi="宋体" w:cs="宋体" w:hint="eastAsia"/>
                <w:b/>
                <w:bCs/>
                <w:sz w:val="20"/>
                <w:szCs w:val="20"/>
              </w:rPr>
            </w:pPr>
            <w:r w:rsidRPr="006B3D43">
              <w:rPr>
                <w:rFonts w:ascii="宋体" w:eastAsia="宋体" w:hAnsi="宋体" w:cs="宋体" w:hint="eastAsia"/>
                <w:b/>
                <w:bCs/>
                <w:sz w:val="20"/>
                <w:szCs w:val="20"/>
              </w:rPr>
              <w:t>上市公司接待人员姓名</w:t>
            </w:r>
          </w:p>
        </w:tc>
        <w:tc>
          <w:tcPr>
            <w:tcW w:w="5945" w:type="dxa"/>
            <w:vAlign w:val="center"/>
          </w:tcPr>
          <w:p w14:paraId="4C4465F8" w14:textId="77777777" w:rsidR="00A90E0E" w:rsidRPr="006B3D43" w:rsidRDefault="00ED7C8B" w:rsidP="006B3D43">
            <w:pPr>
              <w:pStyle w:val="TableParagraph"/>
              <w:spacing w:before="100" w:beforeAutospacing="1" w:line="360" w:lineRule="auto"/>
              <w:jc w:val="both"/>
              <w:rPr>
                <w:rFonts w:ascii="Times New Roman" w:eastAsia="宋体" w:hAnsi="Times New Roman" w:cs="Times New Roman"/>
                <w:sz w:val="21"/>
                <w:szCs w:val="21"/>
              </w:rPr>
            </w:pPr>
            <w:r w:rsidRPr="006B3D43">
              <w:rPr>
                <w:rFonts w:ascii="Times New Roman" w:eastAsia="宋体" w:hAnsi="Times New Roman" w:cs="Times New Roman"/>
                <w:sz w:val="21"/>
                <w:szCs w:val="21"/>
              </w:rPr>
              <w:t>总经理</w:t>
            </w:r>
            <w:r w:rsidRPr="006B3D43">
              <w:rPr>
                <w:rFonts w:ascii="Times New Roman" w:eastAsia="宋体" w:hAnsi="Times New Roman" w:cs="Times New Roman"/>
                <w:sz w:val="21"/>
                <w:szCs w:val="21"/>
              </w:rPr>
              <w:t xml:space="preserve"> </w:t>
            </w:r>
            <w:r w:rsidRPr="006B3D43">
              <w:rPr>
                <w:rFonts w:ascii="Times New Roman" w:eastAsia="宋体" w:hAnsi="Times New Roman" w:cs="Times New Roman"/>
                <w:sz w:val="21"/>
                <w:szCs w:val="21"/>
              </w:rPr>
              <w:t>骆君君</w:t>
            </w:r>
            <w:r w:rsidRPr="006B3D43">
              <w:rPr>
                <w:rFonts w:ascii="Times New Roman" w:eastAsia="宋体" w:hAnsi="Times New Roman" w:cs="Times New Roman"/>
                <w:sz w:val="21"/>
                <w:szCs w:val="21"/>
              </w:rPr>
              <w:br/>
            </w:r>
            <w:r w:rsidRPr="006B3D43">
              <w:rPr>
                <w:rFonts w:ascii="Times New Roman" w:eastAsia="宋体" w:hAnsi="Times New Roman" w:cs="Times New Roman"/>
                <w:sz w:val="21"/>
                <w:szCs w:val="21"/>
              </w:rPr>
              <w:t>独立董事</w:t>
            </w:r>
            <w:r w:rsidRPr="006B3D43">
              <w:rPr>
                <w:rFonts w:ascii="Times New Roman" w:eastAsia="宋体" w:hAnsi="Times New Roman" w:cs="Times New Roman"/>
                <w:sz w:val="21"/>
                <w:szCs w:val="21"/>
              </w:rPr>
              <w:t xml:space="preserve"> </w:t>
            </w:r>
            <w:r w:rsidRPr="006B3D43">
              <w:rPr>
                <w:rFonts w:ascii="Times New Roman" w:eastAsia="宋体" w:hAnsi="Times New Roman" w:cs="Times New Roman"/>
                <w:sz w:val="21"/>
                <w:szCs w:val="21"/>
              </w:rPr>
              <w:t>潘鸿</w:t>
            </w:r>
            <w:r w:rsidRPr="006B3D43">
              <w:rPr>
                <w:rFonts w:ascii="Times New Roman" w:eastAsia="宋体" w:hAnsi="Times New Roman" w:cs="Times New Roman"/>
                <w:sz w:val="21"/>
                <w:szCs w:val="21"/>
              </w:rPr>
              <w:br/>
            </w:r>
            <w:r w:rsidRPr="006B3D43">
              <w:rPr>
                <w:rFonts w:ascii="Times New Roman" w:eastAsia="宋体" w:hAnsi="Times New Roman" w:cs="Times New Roman"/>
                <w:sz w:val="21"/>
                <w:szCs w:val="21"/>
              </w:rPr>
              <w:t>财务负责人</w:t>
            </w:r>
            <w:r w:rsidRPr="006B3D43">
              <w:rPr>
                <w:rFonts w:ascii="Times New Roman" w:eastAsia="宋体" w:hAnsi="Times New Roman" w:cs="Times New Roman"/>
                <w:sz w:val="21"/>
                <w:szCs w:val="21"/>
              </w:rPr>
              <w:t xml:space="preserve"> </w:t>
            </w:r>
            <w:r w:rsidRPr="006B3D43">
              <w:rPr>
                <w:rFonts w:ascii="Times New Roman" w:eastAsia="宋体" w:hAnsi="Times New Roman" w:cs="Times New Roman"/>
                <w:sz w:val="21"/>
                <w:szCs w:val="21"/>
              </w:rPr>
              <w:t>陈蔚</w:t>
            </w:r>
            <w:r w:rsidRPr="006B3D43">
              <w:rPr>
                <w:rFonts w:ascii="Times New Roman" w:eastAsia="宋体" w:hAnsi="Times New Roman" w:cs="Times New Roman"/>
                <w:sz w:val="21"/>
                <w:szCs w:val="21"/>
              </w:rPr>
              <w:br/>
            </w:r>
            <w:r w:rsidRPr="006B3D43">
              <w:rPr>
                <w:rFonts w:ascii="Times New Roman" w:eastAsia="宋体" w:hAnsi="Times New Roman" w:cs="Times New Roman"/>
                <w:sz w:val="21"/>
                <w:szCs w:val="21"/>
              </w:rPr>
              <w:t>董事会秘书</w:t>
            </w:r>
            <w:r w:rsidRPr="006B3D43">
              <w:rPr>
                <w:rFonts w:ascii="Times New Roman" w:eastAsia="宋体" w:hAnsi="Times New Roman" w:cs="Times New Roman"/>
                <w:sz w:val="21"/>
                <w:szCs w:val="21"/>
              </w:rPr>
              <w:t xml:space="preserve"> </w:t>
            </w:r>
            <w:r w:rsidRPr="006B3D43">
              <w:rPr>
                <w:rFonts w:ascii="Times New Roman" w:eastAsia="宋体" w:hAnsi="Times New Roman" w:cs="Times New Roman"/>
                <w:sz w:val="21"/>
                <w:szCs w:val="21"/>
              </w:rPr>
              <w:t>史亚平</w:t>
            </w:r>
          </w:p>
        </w:tc>
      </w:tr>
      <w:tr w:rsidR="00A90E0E" w14:paraId="162A8778" w14:textId="77777777" w:rsidTr="006B3D43">
        <w:trPr>
          <w:trHeight w:val="841"/>
          <w:jc w:val="center"/>
        </w:trPr>
        <w:tc>
          <w:tcPr>
            <w:tcW w:w="2580" w:type="dxa"/>
          </w:tcPr>
          <w:p w14:paraId="267EEA90" w14:textId="77777777" w:rsidR="00A90E0E" w:rsidRDefault="00A90E0E">
            <w:pPr>
              <w:pStyle w:val="TableParagraph"/>
              <w:rPr>
                <w:rFonts w:ascii="宋体" w:eastAsia="宋体" w:hAnsi="宋体" w:cs="宋体" w:hint="eastAsia"/>
                <w:b/>
                <w:bCs/>
                <w:sz w:val="20"/>
                <w:szCs w:val="20"/>
              </w:rPr>
            </w:pPr>
          </w:p>
          <w:p w14:paraId="6DF9680F" w14:textId="77777777" w:rsidR="00A90E0E" w:rsidRDefault="00A90E0E">
            <w:pPr>
              <w:pStyle w:val="TableParagraph"/>
              <w:rPr>
                <w:rFonts w:ascii="宋体" w:eastAsia="宋体" w:hAnsi="宋体" w:cs="宋体" w:hint="eastAsia"/>
                <w:b/>
                <w:bCs/>
                <w:sz w:val="20"/>
                <w:szCs w:val="20"/>
              </w:rPr>
            </w:pPr>
          </w:p>
          <w:p w14:paraId="1419E7CF" w14:textId="77777777" w:rsidR="00A90E0E" w:rsidRDefault="00A90E0E">
            <w:pPr>
              <w:pStyle w:val="TableParagraph"/>
              <w:spacing w:before="5"/>
              <w:rPr>
                <w:rFonts w:ascii="宋体" w:eastAsia="宋体" w:hAnsi="宋体" w:cs="宋体" w:hint="eastAsia"/>
                <w:b/>
                <w:bCs/>
                <w:sz w:val="20"/>
                <w:szCs w:val="20"/>
              </w:rPr>
            </w:pPr>
          </w:p>
          <w:p w14:paraId="40DEBA74" w14:textId="77777777" w:rsidR="00A90E0E" w:rsidRDefault="00ED7C8B">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F92C932" w14:textId="77777777" w:rsidR="003F0DAB" w:rsidRDefault="00ED7C8B" w:rsidP="003F0DAB">
            <w:pPr>
              <w:pStyle w:val="TableParagraph"/>
              <w:spacing w:line="360" w:lineRule="auto"/>
              <w:ind w:firstLine="403"/>
              <w:jc w:val="both"/>
              <w:rPr>
                <w:rFonts w:ascii="宋体" w:eastAsia="宋体" w:hAnsi="宋体" w:cs="宋体" w:hint="eastAsia"/>
                <w:sz w:val="20"/>
              </w:rPr>
            </w:pPr>
            <w:r>
              <w:rPr>
                <w:rFonts w:ascii="宋体" w:eastAsia="宋体" w:hAnsi="宋体" w:cs="宋体"/>
                <w:b/>
                <w:sz w:val="20"/>
              </w:rPr>
              <w:t>1.董秘您好:贵公司的净利润一直在增加，而且经营状态也很好，但是股价一直低于同行业的平均股价，请问贵公司有什么举措来提高股价，给投资人一定的回报，还有贵公司的回购目前是什么状态，如果回购完成后，回购的股数会不会注销，谢谢</w:t>
            </w:r>
            <w:r>
              <w:rPr>
                <w:rFonts w:ascii="宋体" w:eastAsia="宋体" w:hAnsi="宋体" w:cs="宋体"/>
                <w:b/>
                <w:sz w:val="20"/>
              </w:rPr>
              <w:br/>
            </w:r>
            <w:r>
              <w:rPr>
                <w:rFonts w:ascii="宋体" w:eastAsia="宋体" w:hAnsi="宋体" w:cs="宋体"/>
                <w:sz w:val="20"/>
              </w:rPr>
              <w:t xml:space="preserve">    答:感谢您对公司的关注。公司高度重视市值管理工作，坚持价值创造与价值实现兼顾，持续做好各项经营管理工作，夯实价值创造基础。</w:t>
            </w:r>
          </w:p>
          <w:p w14:paraId="57E61FED" w14:textId="77777777" w:rsidR="003F0DAB" w:rsidRDefault="00ED7C8B" w:rsidP="003F0DAB">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一方面公司坚持“城乡建设与发展领域价值提升综合服务企业”的战略定位，围绕全产业链综合服务、全过程解决方案、全方位价值提升，不断提升专业技术服务，不断强化“大全咨”业务格局，</w:t>
            </w:r>
            <w:r>
              <w:rPr>
                <w:rFonts w:ascii="宋体" w:eastAsia="宋体" w:hAnsi="宋体" w:cs="宋体"/>
                <w:sz w:val="20"/>
              </w:rPr>
              <w:lastRenderedPageBreak/>
              <w:t>推动全产业链能力构建与业务模式传承创新，促进公司高质量发展；同时，公司发挥区校企合作平台的优势，落实“基金+基地+研究院+产业联盟”发展策略，不断强化公司作为区校科技成果应用战略合作平台的功能。投资设立私募基金着眼于数字化、智能化、绿色低碳循环等新兴产业投资，为新业务开拓及现有业务提质升级提供动力源泉；通过破产重整方式获得三门路项目开发权，致力于打造基于绿色低碳、自主智能的未来产业科技园；发起成立“城乡建设与发展绿色低碳产业联盟”，在促进产业链上下游协作协同、推动产业集群化发展方面贡献力量，共同打造城乡建设发展绿色低碳产业生态；积极推进数字技术和业务发展的深度融合，不断提高数字化水平和核心竞争力。</w:t>
            </w:r>
          </w:p>
          <w:p w14:paraId="22B30D9B" w14:textId="77777777" w:rsidR="003F0DAB" w:rsidRDefault="00ED7C8B" w:rsidP="003F0DAB">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另一方面，公司重视对投资者的合理回报，实行持续、稳定的利润分配政策，连续超10年利润分配比例超过当年归属上市公司股东净利润的30%，以经营成果回报广大股东； 2024年07月18日召开的第十届董事会2024年第三次临时会议，审议通过了《关于以集中竞价交易方式回购股份方案的议案》。回购金额不低于人民币3,000万元（含）且不超过人民币5,000万元（含），回购股份价格不超过10.44元/股（含），回购期限自公司董事会审议通过之日起3个月。年度利润分配实施后回购价格上限调整为10.24元/股（含）。本次回购的股份将用于维护公司价值及股东权益，后续将按有关规定予以出售。8月21日公司进行首次回购并披露了进展公告，目前公司正持续推进回购计划的实施。</w:t>
            </w:r>
          </w:p>
          <w:p w14:paraId="719F3BA4" w14:textId="77777777" w:rsidR="003F0DAB" w:rsidRDefault="00ED7C8B" w:rsidP="003F0DAB">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后续，公司将继续提升核心竞争力，积极拓展业务，并切实履行信息披露义务，加强与投资者的沟通，努力为股东带来良好投资回报。</w:t>
            </w:r>
          </w:p>
          <w:p w14:paraId="6FBF67C1" w14:textId="4A1DBB17" w:rsidR="003F0DAB" w:rsidRDefault="00ED7C8B" w:rsidP="003F0DAB">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二级市场股价波动受宏观经济形势、行业发展趋势、投资者偏好和预期等多重因素影响，存在不确定性。敬请投资者注意风险。</w:t>
            </w:r>
          </w:p>
          <w:p w14:paraId="32D94CB2" w14:textId="489DFB53" w:rsidR="003F0DAB" w:rsidRDefault="00ED7C8B" w:rsidP="002D7A4D">
            <w:pPr>
              <w:pStyle w:val="TableParagraph"/>
              <w:spacing w:before="100" w:beforeAutospacing="1" w:line="360" w:lineRule="auto"/>
              <w:ind w:firstLine="400"/>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2.董秘你好，公司近期发展确实值得肯定，但是我们在做好业务的同时，也要多邀请一些公募基金和大的机构投资者到公司调研</w:t>
            </w:r>
            <w:r>
              <w:rPr>
                <w:rFonts w:ascii="宋体" w:eastAsia="宋体" w:hAnsi="宋体" w:cs="宋体"/>
                <w:b/>
                <w:sz w:val="20"/>
              </w:rPr>
              <w:br/>
            </w:r>
            <w:r>
              <w:rPr>
                <w:rFonts w:ascii="宋体" w:eastAsia="宋体" w:hAnsi="宋体" w:cs="宋体"/>
                <w:sz w:val="20"/>
              </w:rPr>
              <w:t xml:space="preserve">    答:感谢您对公司的关注和建议。我们后续会加大在该方面的措施和动作，增进投资者和市场对公司的了解。</w:t>
            </w:r>
          </w:p>
          <w:p w14:paraId="63D6BB08"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3.董秘好，半年报中提到了“碳96”平台，能否简单介绍一下？</w:t>
            </w:r>
            <w:r>
              <w:rPr>
                <w:rFonts w:ascii="宋体" w:eastAsia="宋体" w:hAnsi="宋体" w:cs="宋体"/>
                <w:b/>
                <w:sz w:val="20"/>
              </w:rPr>
              <w:br/>
            </w:r>
            <w:r>
              <w:rPr>
                <w:rFonts w:ascii="宋体" w:eastAsia="宋体" w:hAnsi="宋体" w:cs="宋体"/>
                <w:sz w:val="20"/>
              </w:rPr>
              <w:t xml:space="preserve">    答:感谢您对公司的关注！</w:t>
            </w:r>
          </w:p>
          <w:p w14:paraId="7A59AA84"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lastRenderedPageBreak/>
              <w:t>碳96--天佑智慧碳管理系统，是由公司控股子公司上海天佑工程咨询有限公司自主研发的智慧碳管理系统，通过数智化技术的深度应用，采用“平台+咨询”一体化的服务模式，为客户提供碳排放规划及方法论制定、碳排放核算、能碳双控减排规划等全方位、一站式碳管理咨询服务。</w:t>
            </w:r>
          </w:p>
          <w:p w14:paraId="75CBFE4E" w14:textId="3FD21AC4" w:rsidR="003F0DAB"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该系统基于天佑“数字化平台+咨询服务”框架模型，依托云计算、IOT等数字化技术，具有可视化、预置化、穿透力强等优势。系统集碳数据采集、储存、分析计算为一体，可极大程度提高操作便捷性、数据准确性、管理整体性，助力客户实现碳数据的有效管理及分析决策。</w:t>
            </w:r>
          </w:p>
          <w:p w14:paraId="6B8520B3" w14:textId="6D4471BB" w:rsidR="003F0DAB" w:rsidRDefault="00ED7C8B" w:rsidP="002D7A4D">
            <w:pPr>
              <w:pStyle w:val="TableParagraph"/>
              <w:spacing w:before="100" w:beforeAutospacing="1" w:line="360" w:lineRule="auto"/>
              <w:ind w:firstLine="400"/>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4.可以说目前的股价投资者是不满意的，有些量化私募基金利用大股东和量鼎的矛盾，在反复割同济投资着的韭菜让同济投资者很受伤，希望公司早日拿出与量鼎和解方案！</w:t>
            </w:r>
            <w:r>
              <w:rPr>
                <w:rFonts w:ascii="宋体" w:eastAsia="宋体" w:hAnsi="宋体" w:cs="宋体"/>
                <w:b/>
                <w:sz w:val="20"/>
              </w:rPr>
              <w:br/>
            </w:r>
            <w:r>
              <w:rPr>
                <w:rFonts w:ascii="宋体" w:eastAsia="宋体" w:hAnsi="宋体" w:cs="宋体"/>
                <w:sz w:val="20"/>
              </w:rPr>
              <w:t xml:space="preserve">    答:感谢您对公司的关注！公司管理层积极推进双方协商妥善解决争议，保护全体股东尤其是中小股东利益。如有相关进展公司会按照规定及时披露。</w:t>
            </w:r>
          </w:p>
          <w:p w14:paraId="128C22C2"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5.公司收购同济检测，是出于什么目的？</w:t>
            </w:r>
            <w:r>
              <w:rPr>
                <w:rFonts w:ascii="宋体" w:eastAsia="宋体" w:hAnsi="宋体" w:cs="宋体"/>
                <w:b/>
                <w:sz w:val="20"/>
              </w:rPr>
              <w:br/>
            </w:r>
            <w:r>
              <w:rPr>
                <w:rFonts w:ascii="宋体" w:eastAsia="宋体" w:hAnsi="宋体" w:cs="宋体"/>
                <w:sz w:val="20"/>
              </w:rPr>
              <w:t xml:space="preserve">    答:感谢您对公司的关注！</w:t>
            </w:r>
          </w:p>
          <w:p w14:paraId="1A435A1B" w14:textId="7D621992"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同济检测拥有强大的专业团队、1900余台检测检验设备，拥有交通部公路工程综合甲级、桥隧专项资质、住建部建设工程质量检测机构8个专项检测资质、建设工程检测机构评估证书及测绘甲级资质，拥有超6000个检测参数，在测绘物探、工程检测、健康监测、鉴定评估、特检诊断方面具有优越的建筑健康检测能力，</w:t>
            </w:r>
            <w:r w:rsidR="00FF3C8E" w:rsidRPr="00FF3C8E">
              <w:rPr>
                <w:rFonts w:ascii="宋体" w:eastAsia="宋体" w:hAnsi="宋体" w:cs="宋体" w:hint="eastAsia"/>
                <w:sz w:val="20"/>
              </w:rPr>
              <w:t>从规模、检验项目及参数全面性方面来看，是上海市检验检测头部机构。</w:t>
            </w:r>
            <w:r w:rsidR="00FF3C8E">
              <w:rPr>
                <w:rFonts w:ascii="宋体" w:eastAsia="宋体" w:hAnsi="宋体" w:cs="宋体" w:hint="eastAsia"/>
                <w:sz w:val="20"/>
              </w:rPr>
              <w:t>同济检测</w:t>
            </w:r>
            <w:r>
              <w:rPr>
                <w:rFonts w:ascii="宋体" w:eastAsia="宋体" w:hAnsi="宋体" w:cs="宋体"/>
                <w:sz w:val="20"/>
              </w:rPr>
              <w:t>业务范围涵盖道路工程检测、桥梁工程检测、隧道工程检测、建筑材料及构配件检测、钢结构检测、地基基础与主体结构检测、市政工程材料检测、建筑门窗幕墙检测、建筑节能检测、建筑环境检测、绿色建筑检测、人防工程检测、房屋结构安全鉴定、消防检测与评估、能效测评、桥隧结构健康监测、基坑监测、工程测量、勘察物探等。</w:t>
            </w:r>
          </w:p>
          <w:p w14:paraId="34C4E88E" w14:textId="0E3B76A5" w:rsidR="003F0DAB"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公司收购同济检测，有利于公司快速进入工程检测业务领域，延伸工程咨询产业链，打造涵盖规划、勘察、测绘、设计、监理、检测等各项工程咨询业务的“全过程工程咨询”产品服务体系，是推动公司工程咨询业务提质增效、提升市场竞争力的重要举措。同济检测</w:t>
            </w:r>
            <w:r>
              <w:rPr>
                <w:rFonts w:ascii="宋体" w:eastAsia="宋体" w:hAnsi="宋体" w:cs="宋体"/>
                <w:sz w:val="20"/>
              </w:rPr>
              <w:lastRenderedPageBreak/>
              <w:t>将作为同济科技与同济大学产教融合的平台，收购同济检测也有利于进一步强化区校企战略合作，符合公司发展战略。</w:t>
            </w:r>
          </w:p>
          <w:p w14:paraId="4ADA4CB5" w14:textId="77777777" w:rsidR="00301907" w:rsidRDefault="00ED7C8B" w:rsidP="00301907">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6.贵司的10大流通股东里有几个私募基金，明显在做量化交易是股价不能上涨的原因之一。能否和他们沟通希望他们放弃目前的高频量化交易模式，不要超短线高抛低吸还公司股价一个正常估值？公司股价合理估值应该10元以上！谢谢董秘</w:t>
            </w:r>
            <w:r>
              <w:rPr>
                <w:rFonts w:ascii="宋体" w:eastAsia="宋体" w:hAnsi="宋体" w:cs="宋体"/>
                <w:b/>
                <w:sz w:val="20"/>
              </w:rPr>
              <w:br/>
            </w:r>
            <w:r>
              <w:rPr>
                <w:rFonts w:ascii="宋体" w:eastAsia="宋体" w:hAnsi="宋体" w:cs="宋体"/>
                <w:sz w:val="20"/>
              </w:rPr>
              <w:t xml:space="preserve">    答:感谢您对公司的关注！公司始终密切关注资本市场动态，二级市场股票价格受宏观政策、行业发展情况、资本市场环境等多方面因素共同影响，公司通过连续稳定的现金分红维护公司价值及投资者权益，同时近期启动回购维护公司价值及股东权益；公司积极召开业绩说明会、接待投资者调研、接听投资者电话、电子邮件、上证e互动等多种方式保持与投资者的良好沟通。</w:t>
            </w:r>
          </w:p>
          <w:p w14:paraId="4E360D52" w14:textId="48D26786" w:rsidR="003F0DAB" w:rsidRDefault="00ED7C8B" w:rsidP="00301907">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未来公司将一如既往做好生产经营，努力提升经营业绩，确保公司健康稳定发展，为投资者创造更多价值。感谢您对我公司的关心与支持！</w:t>
            </w:r>
          </w:p>
          <w:p w14:paraId="163BC730"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7.请问TIS、检验检测发展情况如何？</w:t>
            </w:r>
            <w:r>
              <w:rPr>
                <w:rFonts w:ascii="宋体" w:eastAsia="宋体" w:hAnsi="宋体" w:cs="宋体"/>
                <w:b/>
                <w:sz w:val="20"/>
              </w:rPr>
              <w:br/>
            </w:r>
            <w:r>
              <w:rPr>
                <w:rFonts w:ascii="宋体" w:eastAsia="宋体" w:hAnsi="宋体" w:cs="宋体"/>
                <w:sz w:val="20"/>
              </w:rPr>
              <w:t xml:space="preserve">    答:谢谢您对公司的关注。</w:t>
            </w:r>
          </w:p>
          <w:p w14:paraId="4DF84021"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TIS业务主要由公司控股子公司同济管理负责，分为质量TIS和安责险TIS两大板块。近年来，公司TIS业务合同额稳步增加，业务领域不断扩展，积极参与行业课题研究，所参与项目多次入选行业现场质量管控优秀案例。</w:t>
            </w:r>
          </w:p>
          <w:p w14:paraId="213655A5" w14:textId="377BEE00"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检验检测方面，公司于2024年8月完成对同济检测55%股权的收购。同济检测拥有强大的专业团队、1900余台检测检验设备，拥有交通部公路工程综合甲级、桥隧专项资质、住建部建设工程质量检测机构8个专项检测资质、建设工程检测机构评估证书及测绘甲级资质，拥有超6000个检测参数，在测绘物探、工程检测、健康监测、鉴定评估、特检诊断方面具有优越的建筑健康检测能力，业务范围涵盖道路工程检测、桥梁工程检测、隧道工程检测、建筑材料及构配件检测、钢结构检测、地基基础与主体结构检测、市政工程材料检测、建筑门窗幕墙检测、建筑节能检测、建筑环境检测、绿色建筑检测、人防工程检测、房屋结构安全鉴定、消防检测与评估、能效测评、桥隧结构健康监测、基坑监测、工程测量、勘察物探等。</w:t>
            </w:r>
          </w:p>
          <w:p w14:paraId="065B77B8" w14:textId="553D06AF" w:rsidR="002D7A4D"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公司收购同济检测，有利于公司快速进入工程检测业务领域，延</w:t>
            </w:r>
            <w:r>
              <w:rPr>
                <w:rFonts w:ascii="宋体" w:eastAsia="宋体" w:hAnsi="宋体" w:cs="宋体"/>
                <w:sz w:val="20"/>
              </w:rPr>
              <w:lastRenderedPageBreak/>
              <w:t>伸工程咨询产业链，打造涵盖规划、勘察、测绘、设计、监理、检测等各项工程咨询业务的“全过程工程咨询”产品服务体系，是推动公司工程咨询业务提质增效、提升市场竞争力的重要举措，同济检测将作为同济科技与同济大学产教融合的平台，收购同济检测也有利于进一步强化区校企战略合作，符合公司发展战略。</w:t>
            </w:r>
          </w:p>
          <w:p w14:paraId="2B1BA257"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8.公司投融资有什么方向吗？</w:t>
            </w:r>
            <w:r>
              <w:rPr>
                <w:rFonts w:ascii="宋体" w:eastAsia="宋体" w:hAnsi="宋体" w:cs="宋体"/>
                <w:b/>
                <w:sz w:val="20"/>
              </w:rPr>
              <w:br/>
            </w:r>
            <w:r>
              <w:rPr>
                <w:rFonts w:ascii="宋体" w:eastAsia="宋体" w:hAnsi="宋体" w:cs="宋体"/>
                <w:sz w:val="20"/>
              </w:rPr>
              <w:t xml:space="preserve">    答:谢谢您对公司的关注。</w:t>
            </w:r>
          </w:p>
          <w:p w14:paraId="71139CF8"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公司投融资业务主要在房产开发、实业投资、基金投资三个方面。</w:t>
            </w:r>
          </w:p>
          <w:p w14:paraId="59D81B33"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其中房产开发主要聚焦上海，开发项目类型涵盖住宅、办公楼、商业、公寓、产业园区等，通过从前期策划、规划设计、建设到物业管理的全产业链模式，实现稳健开发运营。2024年上半年，公司以破产重整方式收购录润置业100%股权，获得新江湾城街道412街坊9丘项目的开发与建设权，将充分发挥在设计、施工、运营管理方面积累的技术经验和产业优势，将项目打造成为高品质的绿色低碳、自主智能未来产业科技园。</w:t>
            </w:r>
          </w:p>
          <w:p w14:paraId="1355A14A"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实业投资服务公司发展战略，围绕业务开展资质补充升级、产业链延伸、新应用场景开拓等投资工作。公司近年来围绕资质增项升级进行了谋划布局，通过吸收合并方式先后获取了造价AAA、设计甲级等资质资信，并于2024年8月完成收购同济检测55%股权；未来将进一步对标标杆企业，持续完善资信体系建设，提升市场竞争力。</w:t>
            </w:r>
          </w:p>
          <w:p w14:paraId="52470C81" w14:textId="3C6BEC51" w:rsidR="002D7A4D"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t>基金投资着眼于数字化、智能化、绿色低碳循环经济等新兴产业，服务于区校科技成果应用战略平台建设，为新业务开拓及现有业务提质升级提供动力源泉，推动公司战略布局。</w:t>
            </w:r>
          </w:p>
          <w:p w14:paraId="4C200E55" w14:textId="77777777" w:rsidR="006B3D43" w:rsidRDefault="00ED7C8B" w:rsidP="006B3D43">
            <w:pPr>
              <w:pStyle w:val="TableParagraph"/>
              <w:spacing w:line="360" w:lineRule="auto"/>
              <w:ind w:firstLine="403"/>
              <w:jc w:val="both"/>
              <w:rPr>
                <w:rFonts w:ascii="宋体" w:eastAsia="宋体" w:hAnsi="宋体" w:cs="宋体" w:hint="eastAsia"/>
                <w:sz w:val="20"/>
              </w:rPr>
            </w:pPr>
            <w:r>
              <w:rPr>
                <w:rFonts w:ascii="宋体" w:eastAsia="宋体" w:hAnsi="宋体" w:cs="宋体"/>
                <w:sz w:val="20"/>
              </w:rPr>
              <w:br/>
            </w:r>
            <w:r>
              <w:rPr>
                <w:rFonts w:ascii="宋体" w:eastAsia="宋体" w:hAnsi="宋体" w:cs="宋体"/>
                <w:b/>
                <w:sz w:val="20"/>
              </w:rPr>
              <w:t xml:space="preserve">    9.请问公司现阶段启动公司债的原因是什么？</w:t>
            </w:r>
            <w:r>
              <w:rPr>
                <w:rFonts w:ascii="宋体" w:eastAsia="宋体" w:hAnsi="宋体" w:cs="宋体"/>
                <w:b/>
                <w:sz w:val="20"/>
              </w:rPr>
              <w:br/>
            </w:r>
            <w:r>
              <w:rPr>
                <w:rFonts w:ascii="宋体" w:eastAsia="宋体" w:hAnsi="宋体" w:cs="宋体"/>
                <w:sz w:val="20"/>
              </w:rPr>
              <w:t xml:space="preserve">    答:感谢您对公司的关注！</w:t>
            </w:r>
          </w:p>
          <w:p w14:paraId="3BA3CE34" w14:textId="682AC6F8" w:rsidR="00A90E0E" w:rsidRDefault="00ED7C8B" w:rsidP="006B3D43">
            <w:pPr>
              <w:pStyle w:val="TableParagraph"/>
              <w:spacing w:line="360" w:lineRule="auto"/>
              <w:ind w:firstLine="403"/>
              <w:jc w:val="both"/>
              <w:rPr>
                <w:rFonts w:ascii="宋体" w:eastAsia="宋体" w:hAnsi="宋体" w:cs="宋体" w:hint="eastAsia"/>
                <w:sz w:val="20"/>
                <w:szCs w:val="20"/>
              </w:rPr>
            </w:pPr>
            <w:r>
              <w:rPr>
                <w:rFonts w:ascii="宋体" w:eastAsia="宋体" w:hAnsi="宋体" w:cs="宋体"/>
                <w:sz w:val="20"/>
              </w:rPr>
              <w:t>公司一直保持多渠道、多方式的灵活融资能力，以成本孰优原则进行融资方式选取。结合目前债券市场的分析、比较和公司的资金需求情况，发行公司债有利于改善公司债务结构、降低财务成本。公司拟申请注册面向专业投资者公开发行公司债券不超过15亿元，拟用于偿还有息负债、股权投资、基金出资及置换上述用途的历史自筹资金出资款、补充流动资金等符合相关法律、法规及规定的用途，最终募集资金用途安排以收到的同意注册许可文件和债券发行公告文件</w:t>
            </w:r>
            <w:r>
              <w:rPr>
                <w:rFonts w:ascii="宋体" w:eastAsia="宋体" w:hAnsi="宋体" w:cs="宋体"/>
                <w:sz w:val="20"/>
              </w:rPr>
              <w:lastRenderedPageBreak/>
              <w:t>为准。目前公司经营正常，资产流动性良好，负债结构合理，具有良好的偿债能力。</w:t>
            </w:r>
          </w:p>
        </w:tc>
      </w:tr>
      <w:tr w:rsidR="00A90E0E" w14:paraId="7415A2F6" w14:textId="77777777">
        <w:trPr>
          <w:trHeight w:val="999"/>
          <w:jc w:val="center"/>
        </w:trPr>
        <w:tc>
          <w:tcPr>
            <w:tcW w:w="2580" w:type="dxa"/>
            <w:vAlign w:val="center"/>
          </w:tcPr>
          <w:p w14:paraId="789BD39E" w14:textId="77777777" w:rsidR="00A90E0E" w:rsidRDefault="00ED7C8B">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D124A1D" w14:textId="77777777" w:rsidR="00A90E0E" w:rsidRDefault="00ED7C8B">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1B1FBCD" w14:textId="77777777" w:rsidR="00A90E0E" w:rsidRDefault="00ED7C8B">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A90E0E" w14:paraId="76D87FFC" w14:textId="77777777">
        <w:trPr>
          <w:trHeight w:val="558"/>
          <w:jc w:val="center"/>
        </w:trPr>
        <w:tc>
          <w:tcPr>
            <w:tcW w:w="2580" w:type="dxa"/>
            <w:vAlign w:val="center"/>
          </w:tcPr>
          <w:p w14:paraId="7D19C01C" w14:textId="77777777" w:rsidR="00A90E0E" w:rsidRDefault="00ED7C8B">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5FEBDF0B" w14:textId="77777777" w:rsidR="00A90E0E" w:rsidRDefault="00A90E0E">
            <w:pPr>
              <w:pStyle w:val="TableParagraph"/>
              <w:spacing w:before="100" w:beforeAutospacing="1" w:line="360" w:lineRule="auto"/>
              <w:rPr>
                <w:rFonts w:ascii="宋体" w:eastAsia="宋体" w:hAnsi="宋体" w:cs="宋体" w:hint="eastAsia"/>
                <w:sz w:val="20"/>
                <w:szCs w:val="20"/>
              </w:rPr>
            </w:pPr>
          </w:p>
        </w:tc>
      </w:tr>
      <w:tr w:rsidR="00A90E0E" w14:paraId="2FAD1213" w14:textId="77777777">
        <w:trPr>
          <w:trHeight w:val="558"/>
          <w:jc w:val="center"/>
        </w:trPr>
        <w:tc>
          <w:tcPr>
            <w:tcW w:w="2580" w:type="dxa"/>
            <w:vAlign w:val="center"/>
          </w:tcPr>
          <w:p w14:paraId="6AB2E253" w14:textId="77777777" w:rsidR="00A90E0E" w:rsidRDefault="00ED7C8B">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6BA18D0D" w14:textId="77777777" w:rsidR="00A90E0E" w:rsidRPr="002D7A4D" w:rsidRDefault="00ED7C8B">
            <w:pPr>
              <w:pStyle w:val="TableParagraph"/>
              <w:spacing w:before="100" w:beforeAutospacing="1"/>
              <w:rPr>
                <w:rFonts w:ascii="Times New Roman" w:eastAsia="宋体" w:hAnsi="Times New Roman" w:cs="Times New Roman"/>
                <w:sz w:val="20"/>
                <w:szCs w:val="20"/>
              </w:rPr>
            </w:pPr>
            <w:r w:rsidRPr="002D7A4D">
              <w:rPr>
                <w:rFonts w:ascii="Times New Roman" w:eastAsia="宋体" w:hAnsi="Times New Roman" w:cs="Times New Roman"/>
                <w:sz w:val="20"/>
                <w:szCs w:val="20"/>
              </w:rPr>
              <w:t>2024</w:t>
            </w:r>
            <w:r w:rsidRPr="002D7A4D">
              <w:rPr>
                <w:rFonts w:ascii="Times New Roman" w:eastAsia="宋体" w:hAnsi="Times New Roman" w:cs="Times New Roman"/>
                <w:sz w:val="20"/>
                <w:szCs w:val="20"/>
              </w:rPr>
              <w:t>年</w:t>
            </w:r>
            <w:r w:rsidRPr="002D7A4D">
              <w:rPr>
                <w:rFonts w:ascii="Times New Roman" w:eastAsia="宋体" w:hAnsi="Times New Roman" w:cs="Times New Roman"/>
                <w:sz w:val="20"/>
                <w:szCs w:val="20"/>
              </w:rPr>
              <w:t>08</w:t>
            </w:r>
            <w:r w:rsidRPr="002D7A4D">
              <w:rPr>
                <w:rFonts w:ascii="Times New Roman" w:eastAsia="宋体" w:hAnsi="Times New Roman" w:cs="Times New Roman"/>
                <w:sz w:val="20"/>
                <w:szCs w:val="20"/>
              </w:rPr>
              <w:t>月</w:t>
            </w:r>
            <w:r w:rsidRPr="002D7A4D">
              <w:rPr>
                <w:rFonts w:ascii="Times New Roman" w:eastAsia="宋体" w:hAnsi="Times New Roman" w:cs="Times New Roman"/>
                <w:sz w:val="20"/>
                <w:szCs w:val="20"/>
              </w:rPr>
              <w:t>27</w:t>
            </w:r>
            <w:r w:rsidRPr="002D7A4D">
              <w:rPr>
                <w:rFonts w:ascii="Times New Roman" w:eastAsia="宋体" w:hAnsi="Times New Roman" w:cs="Times New Roman"/>
                <w:sz w:val="20"/>
                <w:szCs w:val="20"/>
              </w:rPr>
              <w:t>日</w:t>
            </w:r>
          </w:p>
        </w:tc>
      </w:tr>
    </w:tbl>
    <w:p w14:paraId="1D9B418A" w14:textId="77777777" w:rsidR="00A90E0E" w:rsidRDefault="00A90E0E">
      <w:pPr>
        <w:rPr>
          <w:rFonts w:ascii="宋体" w:eastAsia="宋体" w:hAnsi="宋体" w:cs="宋体" w:hint="eastAsia"/>
          <w:sz w:val="28"/>
          <w:szCs w:val="36"/>
        </w:rPr>
      </w:pPr>
    </w:p>
    <w:sectPr w:rsidR="00A90E0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233B" w14:textId="77777777" w:rsidR="00CA78F7" w:rsidRDefault="00CA78F7" w:rsidP="002D7A4D">
      <w:pPr>
        <w:rPr>
          <w:rFonts w:hint="eastAsia"/>
        </w:rPr>
      </w:pPr>
      <w:r>
        <w:separator/>
      </w:r>
    </w:p>
  </w:endnote>
  <w:endnote w:type="continuationSeparator" w:id="0">
    <w:p w14:paraId="45B3DD1B" w14:textId="77777777" w:rsidR="00CA78F7" w:rsidRDefault="00CA78F7" w:rsidP="002D7A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D454E" w14:textId="77777777" w:rsidR="00CA78F7" w:rsidRDefault="00CA78F7" w:rsidP="002D7A4D">
      <w:pPr>
        <w:rPr>
          <w:rFonts w:hint="eastAsia"/>
        </w:rPr>
      </w:pPr>
      <w:r>
        <w:separator/>
      </w:r>
    </w:p>
  </w:footnote>
  <w:footnote w:type="continuationSeparator" w:id="0">
    <w:p w14:paraId="6955AD6E" w14:textId="77777777" w:rsidR="00CA78F7" w:rsidRDefault="00CA78F7" w:rsidP="002D7A4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39E8"/>
    <w:rsid w:val="002042A7"/>
    <w:rsid w:val="00205911"/>
    <w:rsid w:val="002146AD"/>
    <w:rsid w:val="00275CB6"/>
    <w:rsid w:val="002800B5"/>
    <w:rsid w:val="00295B29"/>
    <w:rsid w:val="002D4073"/>
    <w:rsid w:val="002D7A4D"/>
    <w:rsid w:val="002E4699"/>
    <w:rsid w:val="002E7098"/>
    <w:rsid w:val="00301907"/>
    <w:rsid w:val="00301D32"/>
    <w:rsid w:val="00366FAD"/>
    <w:rsid w:val="0037105B"/>
    <w:rsid w:val="003975BA"/>
    <w:rsid w:val="003A74E6"/>
    <w:rsid w:val="003B73DD"/>
    <w:rsid w:val="003D011C"/>
    <w:rsid w:val="003F0DAB"/>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4DC2"/>
    <w:rsid w:val="005D64CA"/>
    <w:rsid w:val="005E5717"/>
    <w:rsid w:val="005E6DB2"/>
    <w:rsid w:val="0061433E"/>
    <w:rsid w:val="0062751D"/>
    <w:rsid w:val="006354AA"/>
    <w:rsid w:val="00661AFA"/>
    <w:rsid w:val="006726BF"/>
    <w:rsid w:val="00677B77"/>
    <w:rsid w:val="0068718A"/>
    <w:rsid w:val="006A2739"/>
    <w:rsid w:val="006B3D43"/>
    <w:rsid w:val="006B5C95"/>
    <w:rsid w:val="006E14B0"/>
    <w:rsid w:val="006F0108"/>
    <w:rsid w:val="00704AE6"/>
    <w:rsid w:val="007153A2"/>
    <w:rsid w:val="00724A68"/>
    <w:rsid w:val="007271BF"/>
    <w:rsid w:val="00730DD3"/>
    <w:rsid w:val="00733224"/>
    <w:rsid w:val="007505EE"/>
    <w:rsid w:val="00764128"/>
    <w:rsid w:val="007824B8"/>
    <w:rsid w:val="007910DD"/>
    <w:rsid w:val="007A3EC1"/>
    <w:rsid w:val="007B3368"/>
    <w:rsid w:val="007D0A69"/>
    <w:rsid w:val="007D6DC4"/>
    <w:rsid w:val="00853463"/>
    <w:rsid w:val="00885DD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1C13"/>
    <w:rsid w:val="00A527AA"/>
    <w:rsid w:val="00A5684D"/>
    <w:rsid w:val="00A75C61"/>
    <w:rsid w:val="00A90E0E"/>
    <w:rsid w:val="00A9601B"/>
    <w:rsid w:val="00A97E23"/>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A78F7"/>
    <w:rsid w:val="00CE1A54"/>
    <w:rsid w:val="00CF5FB6"/>
    <w:rsid w:val="00D02518"/>
    <w:rsid w:val="00D17454"/>
    <w:rsid w:val="00D33FBC"/>
    <w:rsid w:val="00D7535C"/>
    <w:rsid w:val="00D76302"/>
    <w:rsid w:val="00DA5CE2"/>
    <w:rsid w:val="00DA6A31"/>
    <w:rsid w:val="00DE10E8"/>
    <w:rsid w:val="00E16FDA"/>
    <w:rsid w:val="00E259B3"/>
    <w:rsid w:val="00E35F58"/>
    <w:rsid w:val="00E45BD9"/>
    <w:rsid w:val="00E66FFC"/>
    <w:rsid w:val="00E759D6"/>
    <w:rsid w:val="00E84A8C"/>
    <w:rsid w:val="00E976DE"/>
    <w:rsid w:val="00EC0F83"/>
    <w:rsid w:val="00ED7C8B"/>
    <w:rsid w:val="00EE3187"/>
    <w:rsid w:val="00EF499B"/>
    <w:rsid w:val="00F14977"/>
    <w:rsid w:val="00FB4A08"/>
    <w:rsid w:val="00FC0C2A"/>
    <w:rsid w:val="00FD7F8E"/>
    <w:rsid w:val="00FF11E4"/>
    <w:rsid w:val="00FF3C8E"/>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7E849"/>
  <w15:docId w15:val="{AF329392-C61E-4837-B2C8-2CB07B02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FF3C8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yuan</cp:lastModifiedBy>
  <cp:revision>2</cp:revision>
  <dcterms:created xsi:type="dcterms:W3CDTF">2024-08-27T09:48:00Z</dcterms:created>
  <dcterms:modified xsi:type="dcterms:W3CDTF">2024-08-27T09:48:00Z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