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2DB9A" w14:textId="77777777" w:rsidR="00D64424" w:rsidRPr="00924B56" w:rsidRDefault="001D5BC7" w:rsidP="007A2886">
      <w:pPr>
        <w:spacing w:line="360" w:lineRule="auto"/>
        <w:rPr>
          <w:rFonts w:ascii="宋体" w:hAnsi="宋体"/>
          <w:iCs/>
          <w:sz w:val="24"/>
        </w:rPr>
      </w:pPr>
      <w:bookmarkStart w:id="0" w:name="_GoBack"/>
      <w:bookmarkEnd w:id="0"/>
      <w:r w:rsidRPr="00924B56">
        <w:rPr>
          <w:rFonts w:ascii="宋体" w:hAnsi="宋体" w:hint="eastAsia"/>
          <w:iCs/>
          <w:sz w:val="24"/>
        </w:rPr>
        <w:t>证券代码：</w:t>
      </w:r>
      <w:r w:rsidR="00CD4B6F" w:rsidRPr="00001523">
        <w:rPr>
          <w:rFonts w:ascii="Times New Roman" w:hAnsi="Times New Roman" w:hint="eastAsia"/>
          <w:iCs/>
          <w:sz w:val="24"/>
        </w:rPr>
        <w:t>6</w:t>
      </w:r>
      <w:r w:rsidR="00CD4B6F" w:rsidRPr="00001523">
        <w:rPr>
          <w:rFonts w:ascii="Times New Roman" w:hAnsi="Times New Roman"/>
          <w:iCs/>
          <w:sz w:val="24"/>
        </w:rPr>
        <w:t>03836</w:t>
      </w:r>
      <w:r w:rsidRPr="00924B56">
        <w:rPr>
          <w:rFonts w:ascii="宋体" w:hAnsi="宋体" w:hint="eastAsia"/>
          <w:iCs/>
          <w:sz w:val="24"/>
        </w:rPr>
        <w:t xml:space="preserve"> </w:t>
      </w:r>
      <w:r w:rsidRPr="00924B56">
        <w:rPr>
          <w:rFonts w:ascii="宋体" w:hAnsi="宋体" w:hint="eastAsia"/>
          <w:bCs/>
          <w:iCs/>
          <w:sz w:val="24"/>
        </w:rPr>
        <w:t xml:space="preserve">                            </w:t>
      </w:r>
      <w:r w:rsidRPr="00924B56">
        <w:rPr>
          <w:rFonts w:ascii="宋体" w:hAnsi="宋体"/>
          <w:bCs/>
          <w:iCs/>
          <w:sz w:val="24"/>
        </w:rPr>
        <w:t xml:space="preserve">   </w:t>
      </w:r>
      <w:r w:rsidR="00CD4B6F" w:rsidRPr="00924B56">
        <w:rPr>
          <w:rFonts w:ascii="宋体" w:hAnsi="宋体" w:hint="eastAsia"/>
          <w:bCs/>
          <w:iCs/>
          <w:sz w:val="24"/>
        </w:rPr>
        <w:t xml:space="preserve">   </w:t>
      </w:r>
      <w:r w:rsidRPr="00924B56">
        <w:rPr>
          <w:rFonts w:ascii="宋体" w:hAnsi="宋体" w:hint="eastAsia"/>
          <w:iCs/>
          <w:sz w:val="24"/>
        </w:rPr>
        <w:t>证券简称：</w:t>
      </w:r>
      <w:r w:rsidR="00CD4B6F" w:rsidRPr="00924B56">
        <w:rPr>
          <w:rFonts w:ascii="宋体" w:hAnsi="宋体" w:hint="eastAsia"/>
          <w:iCs/>
          <w:sz w:val="24"/>
        </w:rPr>
        <w:t>海程邦达</w:t>
      </w:r>
    </w:p>
    <w:p w14:paraId="168F6CAD" w14:textId="77777777" w:rsidR="007A2886" w:rsidRDefault="007A2886" w:rsidP="007A2886">
      <w:pPr>
        <w:spacing w:line="360" w:lineRule="auto"/>
        <w:rPr>
          <w:rFonts w:ascii="宋体" w:hAnsi="宋体"/>
          <w:bCs/>
          <w:iCs/>
          <w:sz w:val="24"/>
        </w:rPr>
      </w:pPr>
    </w:p>
    <w:p w14:paraId="1748F880" w14:textId="77777777" w:rsidR="00CD4B6F" w:rsidRPr="00F81BB7" w:rsidRDefault="00CD4B6F" w:rsidP="007A2886">
      <w:pPr>
        <w:spacing w:line="360" w:lineRule="auto"/>
        <w:jc w:val="center"/>
        <w:rPr>
          <w:rFonts w:ascii="宋体" w:hAnsi="宋体"/>
          <w:b/>
          <w:bCs/>
          <w:iCs/>
          <w:sz w:val="32"/>
          <w:szCs w:val="36"/>
        </w:rPr>
      </w:pPr>
      <w:r w:rsidRPr="00F81BB7">
        <w:rPr>
          <w:rFonts w:ascii="宋体" w:hAnsi="宋体" w:hint="eastAsia"/>
          <w:b/>
          <w:bCs/>
          <w:iCs/>
          <w:sz w:val="32"/>
          <w:szCs w:val="36"/>
        </w:rPr>
        <w:t>海程邦达供应链管理股份有限</w:t>
      </w:r>
      <w:r w:rsidR="001D5BC7" w:rsidRPr="00F81BB7">
        <w:rPr>
          <w:rFonts w:ascii="宋体" w:hAnsi="宋体" w:hint="eastAsia"/>
          <w:b/>
          <w:bCs/>
          <w:iCs/>
          <w:sz w:val="32"/>
          <w:szCs w:val="36"/>
        </w:rPr>
        <w:t>公司</w:t>
      </w:r>
    </w:p>
    <w:p w14:paraId="6571FD32" w14:textId="3BCC3F42" w:rsidR="00D64424" w:rsidRPr="00F81BB7" w:rsidRDefault="00CD4B6F" w:rsidP="007A2886">
      <w:pPr>
        <w:spacing w:line="360" w:lineRule="auto"/>
        <w:jc w:val="center"/>
        <w:rPr>
          <w:rFonts w:ascii="宋体" w:hAnsi="宋体"/>
          <w:b/>
          <w:bCs/>
          <w:iCs/>
          <w:sz w:val="32"/>
          <w:szCs w:val="36"/>
        </w:rPr>
      </w:pPr>
      <w:r w:rsidRPr="00001523">
        <w:rPr>
          <w:rFonts w:ascii="Times New Roman" w:hAnsi="Times New Roman" w:hint="eastAsia"/>
          <w:b/>
          <w:bCs/>
          <w:iCs/>
          <w:sz w:val="32"/>
          <w:szCs w:val="36"/>
        </w:rPr>
        <w:t>202</w:t>
      </w:r>
      <w:r w:rsidR="001E6F88">
        <w:rPr>
          <w:rFonts w:ascii="Times New Roman" w:hAnsi="Times New Roman" w:hint="eastAsia"/>
          <w:b/>
          <w:bCs/>
          <w:iCs/>
          <w:sz w:val="32"/>
          <w:szCs w:val="36"/>
        </w:rPr>
        <w:t>4</w:t>
      </w:r>
      <w:r w:rsidRPr="00F81BB7">
        <w:rPr>
          <w:rFonts w:ascii="宋体" w:hAnsi="宋体" w:hint="eastAsia"/>
          <w:b/>
          <w:bCs/>
          <w:iCs/>
          <w:sz w:val="32"/>
          <w:szCs w:val="36"/>
        </w:rPr>
        <w:t>年</w:t>
      </w:r>
      <w:r w:rsidR="001E6F88">
        <w:rPr>
          <w:rFonts w:ascii="宋体" w:hAnsi="宋体" w:hint="eastAsia"/>
          <w:b/>
          <w:bCs/>
          <w:iCs/>
          <w:sz w:val="32"/>
          <w:szCs w:val="36"/>
        </w:rPr>
        <w:t>半年</w:t>
      </w:r>
      <w:r w:rsidRPr="00F81BB7">
        <w:rPr>
          <w:rFonts w:ascii="宋体" w:hAnsi="宋体" w:hint="eastAsia"/>
          <w:b/>
          <w:bCs/>
          <w:iCs/>
          <w:sz w:val="32"/>
          <w:szCs w:val="36"/>
        </w:rPr>
        <w:t>度业绩说明会</w:t>
      </w:r>
      <w:r w:rsidR="00E07246">
        <w:rPr>
          <w:rFonts w:ascii="宋体" w:hAnsi="宋体" w:hint="eastAsia"/>
          <w:b/>
          <w:bCs/>
          <w:iCs/>
          <w:sz w:val="32"/>
          <w:szCs w:val="36"/>
        </w:rPr>
        <w:t>召开情况</w:t>
      </w:r>
    </w:p>
    <w:p w14:paraId="610B57EE" w14:textId="77777777" w:rsidR="007A2886" w:rsidRPr="00FA689B" w:rsidRDefault="007A2886" w:rsidP="007A2886">
      <w:pPr>
        <w:spacing w:line="360" w:lineRule="auto"/>
        <w:ind w:firstLineChars="200" w:firstLine="480"/>
        <w:rPr>
          <w:rFonts w:ascii="宋体" w:hAnsi="宋体"/>
          <w:bCs/>
          <w:iCs/>
          <w:sz w:val="24"/>
        </w:rPr>
      </w:pPr>
    </w:p>
    <w:p w14:paraId="0B392D77" w14:textId="17BC6F2E" w:rsidR="007A2886" w:rsidRDefault="007A2886" w:rsidP="007A2886">
      <w:pPr>
        <w:spacing w:line="360" w:lineRule="auto"/>
        <w:ind w:firstLineChars="200" w:firstLine="480"/>
        <w:rPr>
          <w:rFonts w:ascii="宋体" w:hAnsi="宋体"/>
          <w:bCs/>
          <w:iCs/>
          <w:sz w:val="24"/>
        </w:rPr>
      </w:pPr>
      <w:r>
        <w:rPr>
          <w:rFonts w:ascii="宋体" w:hAnsi="宋体" w:hint="eastAsia"/>
          <w:bCs/>
          <w:iCs/>
          <w:sz w:val="24"/>
        </w:rPr>
        <w:t>海程邦达供应链管理</w:t>
      </w:r>
      <w:r w:rsidRPr="007A2886">
        <w:rPr>
          <w:rFonts w:ascii="宋体" w:hAnsi="宋体" w:hint="eastAsia"/>
          <w:bCs/>
          <w:iCs/>
          <w:sz w:val="24"/>
        </w:rPr>
        <w:t>股份有限公司（以下简称“公司”）于</w:t>
      </w:r>
      <w:r w:rsidRPr="00001523">
        <w:rPr>
          <w:rFonts w:ascii="Times New Roman" w:hAnsi="Times New Roman" w:hint="eastAsia"/>
          <w:bCs/>
          <w:iCs/>
          <w:sz w:val="24"/>
        </w:rPr>
        <w:t>202</w:t>
      </w:r>
      <w:r w:rsidR="003277C0">
        <w:rPr>
          <w:rFonts w:ascii="Times New Roman" w:hAnsi="Times New Roman"/>
          <w:bCs/>
          <w:iCs/>
          <w:sz w:val="24"/>
        </w:rPr>
        <w:t>4</w:t>
      </w:r>
      <w:r w:rsidRPr="007A2886">
        <w:rPr>
          <w:rFonts w:ascii="宋体" w:hAnsi="宋体" w:hint="eastAsia"/>
          <w:bCs/>
          <w:iCs/>
          <w:sz w:val="24"/>
        </w:rPr>
        <w:t>年</w:t>
      </w:r>
      <w:r w:rsidR="001E6F88">
        <w:rPr>
          <w:rFonts w:ascii="Times New Roman" w:hAnsi="Times New Roman"/>
          <w:bCs/>
          <w:iCs/>
          <w:sz w:val="24"/>
        </w:rPr>
        <w:t>8</w:t>
      </w:r>
      <w:r w:rsidRPr="007A2886">
        <w:rPr>
          <w:rFonts w:ascii="宋体" w:hAnsi="宋体" w:hint="eastAsia"/>
          <w:bCs/>
          <w:iCs/>
          <w:sz w:val="24"/>
        </w:rPr>
        <w:t>月</w:t>
      </w:r>
      <w:r w:rsidR="001E6F88">
        <w:rPr>
          <w:rFonts w:ascii="Times New Roman" w:hAnsi="Times New Roman"/>
          <w:bCs/>
          <w:iCs/>
          <w:sz w:val="24"/>
        </w:rPr>
        <w:t>30</w:t>
      </w:r>
      <w:r w:rsidRPr="007A2886">
        <w:rPr>
          <w:rFonts w:ascii="宋体" w:hAnsi="宋体" w:hint="eastAsia"/>
          <w:bCs/>
          <w:iCs/>
          <w:sz w:val="24"/>
        </w:rPr>
        <w:t>日上午</w:t>
      </w:r>
      <w:r w:rsidR="00D51EF7" w:rsidRPr="00001523">
        <w:rPr>
          <w:rFonts w:ascii="Times New Roman" w:hAnsi="Times New Roman"/>
          <w:bCs/>
          <w:iCs/>
          <w:sz w:val="24"/>
        </w:rPr>
        <w:t>1</w:t>
      </w:r>
      <w:r w:rsidR="001E6F88">
        <w:rPr>
          <w:rFonts w:ascii="Times New Roman" w:hAnsi="Times New Roman"/>
          <w:bCs/>
          <w:iCs/>
          <w:sz w:val="24"/>
        </w:rPr>
        <w:t>0</w:t>
      </w:r>
      <w:r w:rsidRPr="007A2886">
        <w:rPr>
          <w:rFonts w:ascii="宋体" w:hAnsi="宋体" w:hint="eastAsia"/>
          <w:bCs/>
          <w:iCs/>
          <w:sz w:val="24"/>
        </w:rPr>
        <w:t>:</w:t>
      </w:r>
      <w:r w:rsidRPr="00001523">
        <w:rPr>
          <w:rFonts w:ascii="Times New Roman" w:hAnsi="Times New Roman" w:hint="eastAsia"/>
          <w:bCs/>
          <w:iCs/>
          <w:sz w:val="24"/>
        </w:rPr>
        <w:t>00</w:t>
      </w:r>
      <w:r w:rsidRPr="007A2886">
        <w:rPr>
          <w:rFonts w:ascii="宋体" w:hAnsi="宋体" w:hint="eastAsia"/>
          <w:bCs/>
          <w:iCs/>
          <w:sz w:val="24"/>
        </w:rPr>
        <w:t>-</w:t>
      </w:r>
      <w:r w:rsidRPr="00001523">
        <w:rPr>
          <w:rFonts w:ascii="Times New Roman" w:hAnsi="Times New Roman" w:hint="eastAsia"/>
          <w:bCs/>
          <w:iCs/>
          <w:sz w:val="24"/>
        </w:rPr>
        <w:t>1</w:t>
      </w:r>
      <w:r w:rsidR="001E6F88">
        <w:rPr>
          <w:rFonts w:ascii="Times New Roman" w:hAnsi="Times New Roman"/>
          <w:bCs/>
          <w:iCs/>
          <w:sz w:val="24"/>
        </w:rPr>
        <w:t>1</w:t>
      </w:r>
      <w:r w:rsidRPr="007A2886">
        <w:rPr>
          <w:rFonts w:ascii="宋体" w:hAnsi="宋体" w:hint="eastAsia"/>
          <w:bCs/>
          <w:iCs/>
          <w:sz w:val="24"/>
        </w:rPr>
        <w:t>:</w:t>
      </w:r>
      <w:r w:rsidRPr="00001523">
        <w:rPr>
          <w:rFonts w:ascii="Times New Roman" w:hAnsi="Times New Roman" w:hint="eastAsia"/>
          <w:bCs/>
          <w:iCs/>
          <w:sz w:val="24"/>
        </w:rPr>
        <w:t>00</w:t>
      </w:r>
      <w:r>
        <w:rPr>
          <w:rFonts w:ascii="宋体" w:hAnsi="宋体" w:hint="eastAsia"/>
          <w:bCs/>
          <w:iCs/>
          <w:sz w:val="24"/>
        </w:rPr>
        <w:t>在</w:t>
      </w:r>
      <w:r w:rsidR="00F17FD1" w:rsidRPr="00F17FD1">
        <w:rPr>
          <w:rFonts w:ascii="宋体" w:hAnsi="宋体" w:hint="eastAsia"/>
          <w:bCs/>
          <w:iCs/>
          <w:sz w:val="24"/>
        </w:rPr>
        <w:t>价值在线以网络文字互动形式</w:t>
      </w:r>
      <w:r w:rsidRPr="007A2886">
        <w:rPr>
          <w:rFonts w:ascii="宋体" w:hAnsi="宋体" w:hint="eastAsia"/>
          <w:bCs/>
          <w:iCs/>
          <w:sz w:val="24"/>
        </w:rPr>
        <w:t>召开</w:t>
      </w:r>
      <w:r w:rsidRPr="00001523">
        <w:rPr>
          <w:rFonts w:ascii="Times New Roman" w:hAnsi="Times New Roman" w:hint="eastAsia"/>
          <w:bCs/>
          <w:iCs/>
          <w:sz w:val="24"/>
        </w:rPr>
        <w:t>202</w:t>
      </w:r>
      <w:r w:rsidR="001E6F88">
        <w:rPr>
          <w:rFonts w:ascii="Times New Roman" w:hAnsi="Times New Roman" w:hint="eastAsia"/>
          <w:bCs/>
          <w:iCs/>
          <w:sz w:val="24"/>
        </w:rPr>
        <w:t>4</w:t>
      </w:r>
      <w:r w:rsidR="001E6F88">
        <w:rPr>
          <w:rFonts w:ascii="Times New Roman" w:hAnsi="Times New Roman" w:hint="eastAsia"/>
          <w:bCs/>
          <w:iCs/>
          <w:sz w:val="24"/>
        </w:rPr>
        <w:t>年半</w:t>
      </w:r>
      <w:r w:rsidRPr="007A2886">
        <w:rPr>
          <w:rFonts w:ascii="宋体" w:hAnsi="宋体" w:hint="eastAsia"/>
          <w:bCs/>
          <w:iCs/>
          <w:sz w:val="24"/>
        </w:rPr>
        <w:t>年度业绩说明会</w:t>
      </w:r>
      <w:r>
        <w:rPr>
          <w:rFonts w:ascii="宋体" w:hAnsi="宋体" w:hint="eastAsia"/>
          <w:bCs/>
          <w:iCs/>
          <w:sz w:val="24"/>
        </w:rPr>
        <w:t>。</w:t>
      </w:r>
      <w:r w:rsidR="003277C0">
        <w:rPr>
          <w:rFonts w:ascii="宋体" w:hAnsi="宋体" w:hint="eastAsia"/>
          <w:bCs/>
          <w:iCs/>
          <w:sz w:val="24"/>
        </w:rPr>
        <w:t>公司</w:t>
      </w:r>
      <w:r w:rsidR="00F17FD1">
        <w:rPr>
          <w:rFonts w:ascii="宋体" w:hAnsi="宋体" w:hint="eastAsia"/>
          <w:bCs/>
          <w:iCs/>
          <w:sz w:val="24"/>
        </w:rPr>
        <w:t>董事长唐海先生</w:t>
      </w:r>
      <w:r w:rsidRPr="007A2886">
        <w:rPr>
          <w:rFonts w:ascii="宋体" w:hAnsi="宋体" w:hint="eastAsia"/>
          <w:bCs/>
          <w:iCs/>
          <w:sz w:val="24"/>
        </w:rPr>
        <w:t>、独立董事尉安宁先生、财务总监殷海平先生、副总经理兼董事会秘书杨大伟先生出席了本次业绩说明会</w:t>
      </w:r>
      <w:r>
        <w:rPr>
          <w:rFonts w:ascii="宋体" w:hAnsi="宋体" w:hint="eastAsia"/>
          <w:bCs/>
          <w:iCs/>
          <w:sz w:val="24"/>
        </w:rPr>
        <w:t>，</w:t>
      </w:r>
      <w:r w:rsidRPr="007A2886">
        <w:rPr>
          <w:rFonts w:ascii="宋体" w:hAnsi="宋体" w:hint="eastAsia"/>
          <w:bCs/>
          <w:iCs/>
          <w:sz w:val="24"/>
        </w:rPr>
        <w:t>与广大投资者进行沟通和互动</w:t>
      </w:r>
      <w:r>
        <w:rPr>
          <w:rFonts w:ascii="宋体" w:hAnsi="宋体" w:hint="eastAsia"/>
          <w:bCs/>
          <w:iCs/>
          <w:sz w:val="24"/>
        </w:rPr>
        <w:t>交流，并在信息披露允许的范围内就投资者普遍关注的问题进行了回答</w:t>
      </w:r>
      <w:r w:rsidRPr="007A2886">
        <w:rPr>
          <w:rFonts w:ascii="宋体" w:hAnsi="宋体" w:hint="eastAsia"/>
          <w:bCs/>
          <w:iCs/>
          <w:sz w:val="24"/>
        </w:rPr>
        <w:t>。</w:t>
      </w:r>
    </w:p>
    <w:p w14:paraId="669917C3" w14:textId="1A31898E" w:rsidR="003277C0" w:rsidRDefault="007A2886" w:rsidP="003277C0">
      <w:pPr>
        <w:spacing w:line="360" w:lineRule="auto"/>
        <w:ind w:firstLineChars="200" w:firstLine="480"/>
        <w:rPr>
          <w:rFonts w:ascii="宋体" w:hAnsi="宋体"/>
          <w:bCs/>
          <w:iCs/>
          <w:sz w:val="24"/>
        </w:rPr>
      </w:pPr>
      <w:r w:rsidRPr="007A2886">
        <w:rPr>
          <w:rFonts w:ascii="宋体" w:hAnsi="宋体" w:hint="eastAsia"/>
          <w:bCs/>
          <w:iCs/>
          <w:sz w:val="24"/>
        </w:rPr>
        <w:t>本次会议投资者提出的主要问题及公司的回复情况</w:t>
      </w:r>
      <w:r>
        <w:rPr>
          <w:rFonts w:ascii="宋体" w:hAnsi="宋体" w:hint="eastAsia"/>
          <w:bCs/>
          <w:iCs/>
          <w:sz w:val="24"/>
        </w:rPr>
        <w:t>如下：</w:t>
      </w:r>
    </w:p>
    <w:p w14:paraId="173926AB" w14:textId="0DFE9E75" w:rsidR="007A2886" w:rsidRPr="00EA0D3E" w:rsidRDefault="00924B56" w:rsidP="00E56F63">
      <w:pPr>
        <w:spacing w:beforeLines="50" w:before="156" w:line="360" w:lineRule="auto"/>
        <w:ind w:firstLineChars="200" w:firstLine="480"/>
        <w:rPr>
          <w:sz w:val="24"/>
          <w:szCs w:val="21"/>
        </w:rPr>
      </w:pPr>
      <w:r w:rsidRPr="00EA0D3E">
        <w:rPr>
          <w:rFonts w:ascii="Times New Roman" w:hAnsi="Times New Roman" w:hint="eastAsia"/>
          <w:sz w:val="24"/>
          <w:szCs w:val="21"/>
        </w:rPr>
        <w:t>1</w:t>
      </w:r>
      <w:r w:rsidRPr="00EA0D3E">
        <w:rPr>
          <w:rFonts w:hint="eastAsia"/>
          <w:sz w:val="24"/>
          <w:szCs w:val="21"/>
        </w:rPr>
        <w:t>、</w:t>
      </w:r>
      <w:r w:rsidR="00193795" w:rsidRPr="00193795">
        <w:rPr>
          <w:rFonts w:hint="eastAsia"/>
          <w:sz w:val="24"/>
          <w:szCs w:val="21"/>
        </w:rPr>
        <w:t>公司是否考虑将之前回购的股份注销？</w:t>
      </w:r>
    </w:p>
    <w:p w14:paraId="068D366E" w14:textId="7F5B002B" w:rsidR="007A2886" w:rsidRDefault="00924B56" w:rsidP="005A1819">
      <w:pPr>
        <w:spacing w:afterLines="50" w:after="156" w:line="360" w:lineRule="auto"/>
        <w:ind w:firstLineChars="200" w:firstLine="480"/>
        <w:rPr>
          <w:sz w:val="24"/>
          <w:szCs w:val="21"/>
        </w:rPr>
      </w:pPr>
      <w:r>
        <w:rPr>
          <w:sz w:val="24"/>
          <w:szCs w:val="21"/>
        </w:rPr>
        <w:t>回复</w:t>
      </w:r>
      <w:r w:rsidR="0076558C">
        <w:rPr>
          <w:sz w:val="24"/>
          <w:szCs w:val="21"/>
        </w:rPr>
        <w:t>：</w:t>
      </w:r>
      <w:r w:rsidR="00736A40">
        <w:rPr>
          <w:rFonts w:hint="eastAsia"/>
          <w:sz w:val="24"/>
          <w:szCs w:val="21"/>
        </w:rPr>
        <w:t>尊敬的投资者，</w:t>
      </w:r>
      <w:r w:rsidR="00736A40" w:rsidRPr="00736A40">
        <w:rPr>
          <w:rFonts w:hint="eastAsia"/>
          <w:sz w:val="24"/>
          <w:szCs w:val="21"/>
        </w:rPr>
        <w:t>您好！感谢您的建议。公司已回购的股份拟用于实施股权激励或员工持股计划，若公司未能在股份回购完成（</w:t>
      </w:r>
      <w:r w:rsidR="00736A40" w:rsidRPr="00736A40">
        <w:rPr>
          <w:rFonts w:ascii="Times New Roman" w:hAnsi="Times New Roman"/>
          <w:sz w:val="24"/>
          <w:szCs w:val="21"/>
        </w:rPr>
        <w:t>2023</w:t>
      </w:r>
      <w:r w:rsidR="00736A40" w:rsidRPr="00736A40">
        <w:rPr>
          <w:rFonts w:hint="eastAsia"/>
          <w:sz w:val="24"/>
          <w:szCs w:val="21"/>
        </w:rPr>
        <w:t>年</w:t>
      </w:r>
      <w:r w:rsidR="00736A40" w:rsidRPr="00736A40">
        <w:rPr>
          <w:rFonts w:ascii="Times New Roman" w:hAnsi="Times New Roman"/>
          <w:sz w:val="24"/>
          <w:szCs w:val="21"/>
        </w:rPr>
        <w:t>12</w:t>
      </w:r>
      <w:r w:rsidR="00736A40" w:rsidRPr="00736A40">
        <w:rPr>
          <w:rFonts w:hint="eastAsia"/>
          <w:sz w:val="24"/>
          <w:szCs w:val="21"/>
        </w:rPr>
        <w:t>月</w:t>
      </w:r>
      <w:r w:rsidR="00736A40" w:rsidRPr="00736A40">
        <w:rPr>
          <w:rFonts w:ascii="Times New Roman" w:hAnsi="Times New Roman"/>
          <w:sz w:val="24"/>
          <w:szCs w:val="21"/>
        </w:rPr>
        <w:t>12</w:t>
      </w:r>
      <w:r w:rsidR="00736A40" w:rsidRPr="00736A40">
        <w:rPr>
          <w:rFonts w:hint="eastAsia"/>
          <w:sz w:val="24"/>
          <w:szCs w:val="21"/>
        </w:rPr>
        <w:t>日）之后的</w:t>
      </w:r>
      <w:r w:rsidR="00736A40" w:rsidRPr="00736A40">
        <w:rPr>
          <w:rFonts w:ascii="Times New Roman" w:hAnsi="Times New Roman"/>
          <w:sz w:val="24"/>
          <w:szCs w:val="21"/>
        </w:rPr>
        <w:t>36</w:t>
      </w:r>
      <w:r w:rsidR="00736A40" w:rsidRPr="00736A40">
        <w:rPr>
          <w:rFonts w:hint="eastAsia"/>
          <w:sz w:val="24"/>
          <w:szCs w:val="21"/>
        </w:rPr>
        <w:t>个月内实施前述用途，未使用的已回购股份将依法履行相关程序予以注销。公司始终高度重视股东回报，会综合公司发展及市场等因素，考虑适时选择合适的方式积极回馈股东，维护股东的价值，如有相关计划，公司会按照规定及时履行信息披露义务。谢谢！</w:t>
      </w:r>
    </w:p>
    <w:p w14:paraId="612269BB" w14:textId="5CA01E35" w:rsidR="00736A40" w:rsidRDefault="00736A40" w:rsidP="0018174D">
      <w:pPr>
        <w:spacing w:line="360" w:lineRule="auto"/>
        <w:ind w:firstLineChars="200" w:firstLine="480"/>
        <w:rPr>
          <w:rFonts w:ascii="Times New Roman" w:hAnsi="Times New Roman"/>
          <w:sz w:val="24"/>
          <w:szCs w:val="21"/>
        </w:rPr>
      </w:pPr>
      <w:r w:rsidRPr="00736A40">
        <w:rPr>
          <w:rFonts w:ascii="Times New Roman" w:hAnsi="Times New Roman"/>
          <w:sz w:val="24"/>
          <w:szCs w:val="21"/>
        </w:rPr>
        <w:t>2</w:t>
      </w:r>
      <w:r w:rsidRPr="00736A40">
        <w:rPr>
          <w:rFonts w:ascii="Times New Roman" w:hAnsi="Times New Roman"/>
          <w:sz w:val="24"/>
          <w:szCs w:val="21"/>
        </w:rPr>
        <w:t>、</w:t>
      </w:r>
      <w:r w:rsidR="00F02389" w:rsidRPr="00F02389">
        <w:rPr>
          <w:rFonts w:ascii="Times New Roman" w:hAnsi="Times New Roman" w:hint="eastAsia"/>
          <w:sz w:val="24"/>
          <w:szCs w:val="21"/>
        </w:rPr>
        <w:t>航运行业是个强周期性行业，贵公司的业绩也体现出这一特征。请问面对行业周期的大起</w:t>
      </w:r>
      <w:r w:rsidR="00F02389">
        <w:rPr>
          <w:rFonts w:ascii="Times New Roman" w:hAnsi="Times New Roman" w:hint="eastAsia"/>
          <w:sz w:val="24"/>
          <w:szCs w:val="21"/>
        </w:rPr>
        <w:t>大落，未来有何举措使公司在行业周期下行期维持公司业绩的相对稳定？</w:t>
      </w:r>
    </w:p>
    <w:p w14:paraId="05B3B059" w14:textId="150D7F0F" w:rsidR="00F02389" w:rsidRDefault="00F02389" w:rsidP="00C350C8">
      <w:pPr>
        <w:spacing w:afterLines="50" w:after="156" w:line="360" w:lineRule="auto"/>
        <w:ind w:firstLineChars="200" w:firstLine="480"/>
        <w:rPr>
          <w:sz w:val="24"/>
          <w:szCs w:val="21"/>
        </w:rPr>
      </w:pPr>
      <w:r w:rsidRPr="00F02389">
        <w:rPr>
          <w:rFonts w:hint="eastAsia"/>
          <w:sz w:val="24"/>
          <w:szCs w:val="21"/>
        </w:rPr>
        <w:t>回复：</w:t>
      </w:r>
      <w:r w:rsidR="002C78FB" w:rsidRPr="002C78FB">
        <w:rPr>
          <w:rFonts w:hint="eastAsia"/>
          <w:sz w:val="24"/>
          <w:szCs w:val="21"/>
        </w:rPr>
        <w:t>尊敬的投资者，您好！运价周期性波动对行业是机遇也是挑战，公司始终围绕“货源、客户”作为持续稳健经营的基础。首先，业务量是衡量公司持续经营能力的重要指标，公司通过国</w:t>
      </w:r>
      <w:r w:rsidR="00B704AD">
        <w:rPr>
          <w:rFonts w:hint="eastAsia"/>
          <w:sz w:val="24"/>
          <w:szCs w:val="21"/>
        </w:rPr>
        <w:t>际航线运力体系建设，全面的物流网络布局及高效的物流资源整合能力，</w:t>
      </w:r>
      <w:r w:rsidR="002C78FB" w:rsidRPr="002C78FB">
        <w:rPr>
          <w:rFonts w:hint="eastAsia"/>
          <w:sz w:val="24"/>
          <w:szCs w:val="21"/>
        </w:rPr>
        <w:t>保持业务量的长期稳定增长。</w:t>
      </w:r>
      <w:r w:rsidR="002C78FB" w:rsidRPr="00E552C1">
        <w:rPr>
          <w:rFonts w:ascii="Times New Roman" w:hAnsi="Times New Roman"/>
          <w:sz w:val="24"/>
          <w:szCs w:val="21"/>
        </w:rPr>
        <w:t>2020</w:t>
      </w:r>
      <w:r w:rsidR="002C78FB" w:rsidRPr="002C78FB">
        <w:rPr>
          <w:rFonts w:hint="eastAsia"/>
          <w:sz w:val="24"/>
          <w:szCs w:val="21"/>
        </w:rPr>
        <w:t>年至</w:t>
      </w:r>
      <w:r w:rsidR="002C78FB" w:rsidRPr="00E552C1">
        <w:rPr>
          <w:rFonts w:ascii="Times New Roman" w:hAnsi="Times New Roman"/>
          <w:sz w:val="24"/>
          <w:szCs w:val="21"/>
        </w:rPr>
        <w:t>2023</w:t>
      </w:r>
      <w:r w:rsidR="002C78FB" w:rsidRPr="002C78FB">
        <w:rPr>
          <w:rFonts w:hint="eastAsia"/>
          <w:sz w:val="24"/>
          <w:szCs w:val="21"/>
        </w:rPr>
        <w:t>年，公司海运业务量由</w:t>
      </w:r>
      <w:r w:rsidR="002C78FB" w:rsidRPr="00E552C1">
        <w:rPr>
          <w:rFonts w:ascii="Times New Roman" w:hAnsi="Times New Roman"/>
          <w:sz w:val="24"/>
          <w:szCs w:val="21"/>
        </w:rPr>
        <w:t>36</w:t>
      </w:r>
      <w:r w:rsidR="002C78FB" w:rsidRPr="002C78FB">
        <w:rPr>
          <w:rFonts w:hint="eastAsia"/>
          <w:sz w:val="24"/>
          <w:szCs w:val="21"/>
        </w:rPr>
        <w:t>万</w:t>
      </w:r>
      <w:r w:rsidR="002C78FB" w:rsidRPr="00E552C1">
        <w:rPr>
          <w:rFonts w:ascii="Times New Roman" w:hAnsi="Times New Roman"/>
          <w:sz w:val="24"/>
          <w:szCs w:val="21"/>
        </w:rPr>
        <w:t>TEU</w:t>
      </w:r>
      <w:r w:rsidR="002C78FB" w:rsidRPr="002C78FB">
        <w:rPr>
          <w:rFonts w:hint="eastAsia"/>
          <w:sz w:val="24"/>
          <w:szCs w:val="21"/>
        </w:rPr>
        <w:t>增长至</w:t>
      </w:r>
      <w:r w:rsidR="002C78FB" w:rsidRPr="00E552C1">
        <w:rPr>
          <w:rFonts w:ascii="Times New Roman" w:hAnsi="Times New Roman"/>
          <w:sz w:val="24"/>
          <w:szCs w:val="21"/>
        </w:rPr>
        <w:t>50</w:t>
      </w:r>
      <w:r w:rsidR="002C78FB" w:rsidRPr="002C78FB">
        <w:rPr>
          <w:rFonts w:hint="eastAsia"/>
          <w:sz w:val="24"/>
          <w:szCs w:val="21"/>
        </w:rPr>
        <w:t>万</w:t>
      </w:r>
      <w:r w:rsidR="002C78FB" w:rsidRPr="00E552C1">
        <w:rPr>
          <w:rFonts w:ascii="Times New Roman" w:hAnsi="Times New Roman"/>
          <w:sz w:val="24"/>
          <w:szCs w:val="21"/>
        </w:rPr>
        <w:t>TEU</w:t>
      </w:r>
      <w:r w:rsidR="002C78FB" w:rsidRPr="002C78FB">
        <w:rPr>
          <w:rFonts w:hint="eastAsia"/>
          <w:sz w:val="24"/>
          <w:szCs w:val="21"/>
        </w:rPr>
        <w:t>，复合增长率</w:t>
      </w:r>
      <w:r w:rsidR="002C78FB" w:rsidRPr="00E552C1">
        <w:rPr>
          <w:rFonts w:ascii="Times New Roman" w:hAnsi="Times New Roman"/>
          <w:sz w:val="24"/>
          <w:szCs w:val="21"/>
        </w:rPr>
        <w:t>12.01%</w:t>
      </w:r>
      <w:r w:rsidR="002C78FB" w:rsidRPr="002C78FB">
        <w:rPr>
          <w:rFonts w:hint="eastAsia"/>
          <w:sz w:val="24"/>
          <w:szCs w:val="21"/>
        </w:rPr>
        <w:t>，空运业务量由</w:t>
      </w:r>
      <w:r w:rsidR="002C78FB" w:rsidRPr="00E552C1">
        <w:rPr>
          <w:rFonts w:ascii="Times New Roman" w:hAnsi="Times New Roman"/>
          <w:sz w:val="24"/>
          <w:szCs w:val="21"/>
        </w:rPr>
        <w:t>13</w:t>
      </w:r>
      <w:r w:rsidR="002C78FB" w:rsidRPr="00E552C1">
        <w:rPr>
          <w:rFonts w:ascii="Times New Roman" w:hAnsi="Times New Roman"/>
          <w:sz w:val="24"/>
          <w:szCs w:val="21"/>
        </w:rPr>
        <w:t>万</w:t>
      </w:r>
      <w:r w:rsidR="002C78FB" w:rsidRPr="002C78FB">
        <w:rPr>
          <w:rFonts w:hint="eastAsia"/>
          <w:sz w:val="24"/>
          <w:szCs w:val="21"/>
        </w:rPr>
        <w:t>吨增长至</w:t>
      </w:r>
      <w:r w:rsidR="002C78FB" w:rsidRPr="00E552C1">
        <w:rPr>
          <w:rFonts w:ascii="Times New Roman" w:hAnsi="Times New Roman"/>
          <w:sz w:val="24"/>
          <w:szCs w:val="21"/>
        </w:rPr>
        <w:t>19</w:t>
      </w:r>
      <w:r w:rsidR="002C78FB" w:rsidRPr="002C78FB">
        <w:rPr>
          <w:rFonts w:hint="eastAsia"/>
          <w:sz w:val="24"/>
          <w:szCs w:val="21"/>
        </w:rPr>
        <w:t>万吨，复合增长率</w:t>
      </w:r>
      <w:r w:rsidR="002C78FB" w:rsidRPr="00E552C1">
        <w:rPr>
          <w:rFonts w:ascii="Times New Roman" w:hAnsi="Times New Roman"/>
          <w:sz w:val="24"/>
          <w:szCs w:val="21"/>
        </w:rPr>
        <w:t>13.25%</w:t>
      </w:r>
      <w:r w:rsidR="00E552C1">
        <w:rPr>
          <w:rFonts w:hint="eastAsia"/>
          <w:sz w:val="24"/>
          <w:szCs w:val="21"/>
        </w:rPr>
        <w:t>，</w:t>
      </w:r>
      <w:r w:rsidR="002C78FB" w:rsidRPr="00E552C1">
        <w:rPr>
          <w:rFonts w:ascii="Times New Roman" w:hAnsi="Times New Roman"/>
          <w:sz w:val="24"/>
          <w:szCs w:val="21"/>
        </w:rPr>
        <w:t>2024</w:t>
      </w:r>
      <w:r w:rsidR="002C78FB" w:rsidRPr="002C78FB">
        <w:rPr>
          <w:rFonts w:hint="eastAsia"/>
          <w:sz w:val="24"/>
          <w:szCs w:val="21"/>
        </w:rPr>
        <w:t>年上半年海运和空运业务量也分别实现</w:t>
      </w:r>
      <w:r w:rsidR="002C78FB" w:rsidRPr="00E552C1">
        <w:rPr>
          <w:rFonts w:ascii="Times New Roman" w:hAnsi="Times New Roman"/>
          <w:sz w:val="24"/>
          <w:szCs w:val="21"/>
        </w:rPr>
        <w:t>30.45</w:t>
      </w:r>
      <w:r w:rsidR="002C78FB" w:rsidRPr="002C78FB">
        <w:rPr>
          <w:rFonts w:hint="eastAsia"/>
          <w:sz w:val="24"/>
          <w:szCs w:val="21"/>
        </w:rPr>
        <w:t>万</w:t>
      </w:r>
      <w:r w:rsidR="002C78FB" w:rsidRPr="00E552C1">
        <w:rPr>
          <w:rFonts w:ascii="Times New Roman" w:hAnsi="Times New Roman"/>
          <w:sz w:val="24"/>
          <w:szCs w:val="21"/>
        </w:rPr>
        <w:t>TEU</w:t>
      </w:r>
      <w:r w:rsidR="00E552C1">
        <w:rPr>
          <w:rFonts w:hint="eastAsia"/>
          <w:sz w:val="24"/>
          <w:szCs w:val="21"/>
        </w:rPr>
        <w:t>、</w:t>
      </w:r>
      <w:r w:rsidR="002C78FB" w:rsidRPr="00E552C1">
        <w:rPr>
          <w:rFonts w:ascii="Times New Roman" w:hAnsi="Times New Roman"/>
          <w:sz w:val="24"/>
          <w:szCs w:val="21"/>
        </w:rPr>
        <w:t>9.88</w:t>
      </w:r>
      <w:r w:rsidR="002C78FB" w:rsidRPr="002C78FB">
        <w:rPr>
          <w:rFonts w:hint="eastAsia"/>
          <w:sz w:val="24"/>
          <w:szCs w:val="21"/>
        </w:rPr>
        <w:t>万吨，业务量呈现稳定上涨趋势。其次，公</w:t>
      </w:r>
      <w:r w:rsidR="002C78FB" w:rsidRPr="002C78FB">
        <w:rPr>
          <w:rFonts w:hint="eastAsia"/>
          <w:sz w:val="24"/>
          <w:szCs w:val="21"/>
        </w:rPr>
        <w:lastRenderedPageBreak/>
        <w:t>司持续完善起运港与目的港两端的关仓</w:t>
      </w:r>
      <w:proofErr w:type="gramStart"/>
      <w:r w:rsidR="002C78FB" w:rsidRPr="002C78FB">
        <w:rPr>
          <w:rFonts w:hint="eastAsia"/>
          <w:sz w:val="24"/>
          <w:szCs w:val="21"/>
        </w:rPr>
        <w:t>配服务</w:t>
      </w:r>
      <w:proofErr w:type="gramEnd"/>
      <w:r w:rsidR="002C78FB" w:rsidRPr="002C78FB">
        <w:rPr>
          <w:rFonts w:hint="eastAsia"/>
          <w:sz w:val="24"/>
          <w:szCs w:val="21"/>
        </w:rPr>
        <w:t>体系，延伸服务链条，为公司带来更多的直接客户，公司客户总量实现了连续增长，直接客户数量占比超过</w:t>
      </w:r>
      <w:r w:rsidR="002C78FB" w:rsidRPr="00E552C1">
        <w:rPr>
          <w:rFonts w:ascii="Times New Roman" w:hAnsi="Times New Roman"/>
          <w:sz w:val="24"/>
          <w:szCs w:val="21"/>
        </w:rPr>
        <w:t>50%</w:t>
      </w:r>
      <w:r w:rsidR="002C78FB" w:rsidRPr="002C78FB">
        <w:rPr>
          <w:rFonts w:hint="eastAsia"/>
          <w:sz w:val="24"/>
          <w:szCs w:val="21"/>
        </w:rPr>
        <w:t>。最后，公司立足相对稳定的存量客源积累，持续深挖不同细分行业高增长性潜力客户，目前公司已在新能源、汽车工业、精密电子、化工医药等细分高价值领域完成了行业头部客户的“破冰”与“深化”。公司对高成长性细分行业的覆盖度也将在一定程度上对冲宏观经济周期及国际航运周期对公司业绩的影响。感谢您的关注。</w:t>
      </w:r>
    </w:p>
    <w:p w14:paraId="0913E975" w14:textId="1C61788D" w:rsidR="0018174D" w:rsidRDefault="0018174D" w:rsidP="0018174D">
      <w:pPr>
        <w:spacing w:line="360" w:lineRule="auto"/>
        <w:ind w:firstLineChars="200" w:firstLine="480"/>
        <w:rPr>
          <w:sz w:val="24"/>
          <w:szCs w:val="21"/>
        </w:rPr>
      </w:pPr>
      <w:r w:rsidRPr="0018174D">
        <w:rPr>
          <w:rFonts w:ascii="Times New Roman" w:hAnsi="Times New Roman"/>
          <w:sz w:val="24"/>
          <w:szCs w:val="21"/>
        </w:rPr>
        <w:t>3</w:t>
      </w:r>
      <w:r w:rsidRPr="0018174D">
        <w:rPr>
          <w:rFonts w:ascii="Times New Roman" w:hAnsi="Times New Roman"/>
          <w:sz w:val="24"/>
          <w:szCs w:val="21"/>
        </w:rPr>
        <w:t>、</w:t>
      </w:r>
      <w:r w:rsidRPr="0018174D">
        <w:rPr>
          <w:rFonts w:hint="eastAsia"/>
          <w:sz w:val="24"/>
          <w:szCs w:val="21"/>
        </w:rPr>
        <w:t>近年来地缘冲突、大国贸易冲突等国际争端对外贸、国际物流领域的影响日益显现。请问公司未来有无打算，借助现有海外子公司平台搭建并扩大第三国与第三国物流服务，以规避未来可能的国际争端对公司的负面影响，同时更好的融入未来的国际供应链体系。</w:t>
      </w:r>
    </w:p>
    <w:p w14:paraId="3E6B64BD" w14:textId="341F6109" w:rsidR="0018174D" w:rsidRPr="00F02389" w:rsidRDefault="0018174D" w:rsidP="005A1819">
      <w:pPr>
        <w:spacing w:afterLines="50" w:after="156" w:line="360" w:lineRule="auto"/>
        <w:ind w:firstLineChars="200" w:firstLine="480"/>
        <w:rPr>
          <w:sz w:val="24"/>
          <w:szCs w:val="21"/>
        </w:rPr>
      </w:pPr>
      <w:r>
        <w:rPr>
          <w:rFonts w:hint="eastAsia"/>
          <w:sz w:val="24"/>
          <w:szCs w:val="21"/>
        </w:rPr>
        <w:t>回复：</w:t>
      </w:r>
      <w:r w:rsidR="00F32F27" w:rsidRPr="00F32F27">
        <w:rPr>
          <w:rFonts w:hint="eastAsia"/>
          <w:sz w:val="24"/>
          <w:szCs w:val="21"/>
        </w:rPr>
        <w:t>尊敬的投资者，您好！在当前的经济环境中，中国企业出海、中国品牌全球化是一个必然的趋势，这亦给海程邦达带来了新的发展机遇。公司持续重点发展</w:t>
      </w:r>
      <w:proofErr w:type="gramStart"/>
      <w:r w:rsidR="00F32F27" w:rsidRPr="00F32F27">
        <w:rPr>
          <w:rFonts w:hint="eastAsia"/>
          <w:sz w:val="24"/>
          <w:szCs w:val="21"/>
        </w:rPr>
        <w:t>海外端全</w:t>
      </w:r>
      <w:proofErr w:type="gramEnd"/>
      <w:r w:rsidR="00F32F27" w:rsidRPr="00F32F27">
        <w:rPr>
          <w:rFonts w:hint="eastAsia"/>
          <w:sz w:val="24"/>
          <w:szCs w:val="21"/>
        </w:rPr>
        <w:t>功能网点建设，目前，已在东南亚、日韩、欧美等地区的主要国家设立分支机构，通过自采及自营方式搭建属地的关仓</w:t>
      </w:r>
      <w:proofErr w:type="gramStart"/>
      <w:r w:rsidR="00F32F27" w:rsidRPr="00F32F27">
        <w:rPr>
          <w:rFonts w:hint="eastAsia"/>
          <w:sz w:val="24"/>
          <w:szCs w:val="21"/>
        </w:rPr>
        <w:t>配服务</w:t>
      </w:r>
      <w:proofErr w:type="gramEnd"/>
      <w:r w:rsidR="00F32F27" w:rsidRPr="00F32F27">
        <w:rPr>
          <w:rFonts w:hint="eastAsia"/>
          <w:sz w:val="24"/>
          <w:szCs w:val="21"/>
        </w:rPr>
        <w:t>体系，为海程邦达伴随中国企业“走出去”提供硬条件支撑，同时也为公司未来在海外国家开展物流业务奠定了基础。感谢您的关注。</w:t>
      </w:r>
    </w:p>
    <w:p w14:paraId="7C634107" w14:textId="499E9F26" w:rsidR="00D51EF7" w:rsidRPr="00EA0D3E" w:rsidRDefault="00E06D05" w:rsidP="0076558C">
      <w:pPr>
        <w:spacing w:beforeLines="50" w:before="156" w:line="360" w:lineRule="auto"/>
        <w:ind w:firstLineChars="200" w:firstLine="480"/>
        <w:rPr>
          <w:sz w:val="24"/>
          <w:szCs w:val="21"/>
        </w:rPr>
      </w:pPr>
      <w:r>
        <w:rPr>
          <w:rFonts w:ascii="Times New Roman" w:hAnsi="Times New Roman"/>
          <w:sz w:val="24"/>
          <w:szCs w:val="21"/>
        </w:rPr>
        <w:t>4</w:t>
      </w:r>
      <w:r w:rsidR="003277C0">
        <w:rPr>
          <w:rFonts w:hint="eastAsia"/>
          <w:sz w:val="24"/>
          <w:szCs w:val="21"/>
        </w:rPr>
        <w:t>、</w:t>
      </w:r>
      <w:r w:rsidR="00736A40" w:rsidRPr="00736A40">
        <w:rPr>
          <w:rFonts w:hint="eastAsia"/>
          <w:sz w:val="24"/>
          <w:szCs w:val="21"/>
        </w:rPr>
        <w:t>公司增收不增利的主要原因是？</w:t>
      </w:r>
    </w:p>
    <w:p w14:paraId="07A803CE" w14:textId="3F1CDF96" w:rsidR="00D51EF7" w:rsidRDefault="00D51EF7" w:rsidP="00D51EF7">
      <w:pPr>
        <w:spacing w:afterLines="50" w:after="156" w:line="360" w:lineRule="auto"/>
        <w:ind w:firstLineChars="200" w:firstLine="480"/>
        <w:rPr>
          <w:sz w:val="24"/>
          <w:szCs w:val="21"/>
        </w:rPr>
      </w:pPr>
      <w:r>
        <w:rPr>
          <w:sz w:val="24"/>
          <w:szCs w:val="21"/>
        </w:rPr>
        <w:t>回复：</w:t>
      </w:r>
      <w:r w:rsidR="00114F28">
        <w:rPr>
          <w:rFonts w:hint="eastAsia"/>
          <w:sz w:val="24"/>
          <w:szCs w:val="21"/>
        </w:rPr>
        <w:t>尊敬的投资者，您好！</w:t>
      </w:r>
      <w:r w:rsidR="00114F28" w:rsidRPr="00114F28">
        <w:rPr>
          <w:rFonts w:ascii="Times New Roman" w:hAnsi="Times New Roman"/>
          <w:sz w:val="24"/>
          <w:szCs w:val="21"/>
        </w:rPr>
        <w:t>2024</w:t>
      </w:r>
      <w:r w:rsidR="00114F28" w:rsidRPr="00114F28">
        <w:rPr>
          <w:rFonts w:hint="eastAsia"/>
          <w:sz w:val="24"/>
          <w:szCs w:val="21"/>
        </w:rPr>
        <w:t>年上半年，公司实现营业收入</w:t>
      </w:r>
      <w:r w:rsidR="00114F28" w:rsidRPr="00114F28">
        <w:rPr>
          <w:rFonts w:ascii="Times New Roman" w:hAnsi="Times New Roman"/>
          <w:sz w:val="24"/>
          <w:szCs w:val="21"/>
        </w:rPr>
        <w:t>45.13</w:t>
      </w:r>
      <w:r w:rsidR="00114F28">
        <w:rPr>
          <w:rFonts w:hint="eastAsia"/>
          <w:sz w:val="24"/>
          <w:szCs w:val="21"/>
        </w:rPr>
        <w:t>亿元，同比增加</w:t>
      </w:r>
      <w:r w:rsidR="00114F28" w:rsidRPr="00114F28">
        <w:rPr>
          <w:rFonts w:ascii="Times New Roman" w:hAnsi="Times New Roman"/>
          <w:sz w:val="24"/>
          <w:szCs w:val="21"/>
        </w:rPr>
        <w:t>58.20%</w:t>
      </w:r>
      <w:r w:rsidR="00114F28">
        <w:rPr>
          <w:rFonts w:hint="eastAsia"/>
          <w:sz w:val="24"/>
          <w:szCs w:val="21"/>
        </w:rPr>
        <w:t>，</w:t>
      </w:r>
      <w:r w:rsidR="00114F28" w:rsidRPr="00114F28">
        <w:rPr>
          <w:rFonts w:hint="eastAsia"/>
          <w:sz w:val="24"/>
          <w:szCs w:val="21"/>
        </w:rPr>
        <w:t>主要</w:t>
      </w:r>
      <w:proofErr w:type="gramStart"/>
      <w:r w:rsidR="00114F28" w:rsidRPr="00114F28">
        <w:rPr>
          <w:rFonts w:hint="eastAsia"/>
          <w:sz w:val="24"/>
          <w:szCs w:val="21"/>
        </w:rPr>
        <w:t>系报告</w:t>
      </w:r>
      <w:proofErr w:type="gramEnd"/>
      <w:r w:rsidR="00114F28" w:rsidRPr="00114F28">
        <w:rPr>
          <w:rFonts w:hint="eastAsia"/>
          <w:sz w:val="24"/>
          <w:szCs w:val="21"/>
        </w:rPr>
        <w:t>期内业务量增加以及受红海危机、海外贸易商补库存等因素影响，跨境物流所涉及</w:t>
      </w:r>
      <w:r w:rsidR="00114F28">
        <w:rPr>
          <w:rFonts w:hint="eastAsia"/>
          <w:sz w:val="24"/>
          <w:szCs w:val="21"/>
        </w:rPr>
        <w:t>的海运运价水平较去年同期显著上行，导致收入同比上升，毛利同比增加</w:t>
      </w:r>
      <w:r w:rsidR="00114F28" w:rsidRPr="00114F28">
        <w:rPr>
          <w:rFonts w:ascii="Times New Roman" w:hAnsi="Times New Roman"/>
          <w:sz w:val="24"/>
          <w:szCs w:val="21"/>
        </w:rPr>
        <w:t>53.00%</w:t>
      </w:r>
      <w:r w:rsidR="00114F28" w:rsidRPr="00114F28">
        <w:rPr>
          <w:rFonts w:hint="eastAsia"/>
          <w:sz w:val="24"/>
          <w:szCs w:val="21"/>
        </w:rPr>
        <w:t>。随着收入规模的增长，应收款项余额</w:t>
      </w:r>
      <w:r w:rsidR="00114F28">
        <w:rPr>
          <w:rFonts w:hint="eastAsia"/>
          <w:sz w:val="24"/>
          <w:szCs w:val="21"/>
        </w:rPr>
        <w:t>也随之增长，公司严格执行《</w:t>
      </w:r>
      <w:r w:rsidR="00114F28" w:rsidRPr="00114F28">
        <w:rPr>
          <w:rFonts w:hint="eastAsia"/>
          <w:sz w:val="24"/>
          <w:szCs w:val="21"/>
        </w:rPr>
        <w:t>企业会计准则》及公司相关会计制度规定，按照信</w:t>
      </w:r>
      <w:r w:rsidR="00114F28">
        <w:rPr>
          <w:rFonts w:hint="eastAsia"/>
          <w:sz w:val="24"/>
          <w:szCs w:val="21"/>
        </w:rPr>
        <w:t>用风险组合计提预期信用损失，导致本期计提的信用减值损失同比增加；</w:t>
      </w:r>
      <w:r w:rsidR="00114F28" w:rsidRPr="00114F28">
        <w:rPr>
          <w:rFonts w:hint="eastAsia"/>
          <w:sz w:val="24"/>
          <w:szCs w:val="21"/>
        </w:rPr>
        <w:t>同时，公司结合战略规划，提升集团总部职能和布局海内外网点，相关管理费用保持投入。感谢您的关注。</w:t>
      </w:r>
    </w:p>
    <w:p w14:paraId="726DD84C" w14:textId="3A49CEEF" w:rsidR="007A2886" w:rsidRPr="00EA0D3E" w:rsidRDefault="00E06D05" w:rsidP="007A2886">
      <w:pPr>
        <w:spacing w:line="360" w:lineRule="auto"/>
        <w:ind w:firstLineChars="200" w:firstLine="480"/>
        <w:rPr>
          <w:sz w:val="24"/>
          <w:szCs w:val="21"/>
        </w:rPr>
      </w:pPr>
      <w:r>
        <w:rPr>
          <w:rFonts w:ascii="Times New Roman" w:hAnsi="Times New Roman"/>
          <w:sz w:val="24"/>
          <w:szCs w:val="21"/>
        </w:rPr>
        <w:t>5</w:t>
      </w:r>
      <w:r w:rsidR="00D51EF7" w:rsidRPr="00EA0D3E">
        <w:rPr>
          <w:rFonts w:hint="eastAsia"/>
          <w:sz w:val="24"/>
          <w:szCs w:val="21"/>
        </w:rPr>
        <w:t>、</w:t>
      </w:r>
      <w:r w:rsidR="00D41239" w:rsidRPr="00D41239">
        <w:rPr>
          <w:rFonts w:hint="eastAsia"/>
          <w:sz w:val="24"/>
          <w:szCs w:val="21"/>
        </w:rPr>
        <w:t>公司二季度应收款项为何大幅增加，何时能收回？如何降低坏账风险？</w:t>
      </w:r>
    </w:p>
    <w:p w14:paraId="07D4200D" w14:textId="4E528108" w:rsidR="00FA689B" w:rsidRDefault="00924B56" w:rsidP="00902753">
      <w:pPr>
        <w:spacing w:afterLines="50" w:after="156" w:line="360" w:lineRule="auto"/>
        <w:ind w:firstLineChars="200" w:firstLine="480"/>
        <w:rPr>
          <w:sz w:val="24"/>
          <w:szCs w:val="21"/>
        </w:rPr>
      </w:pPr>
      <w:r>
        <w:rPr>
          <w:sz w:val="24"/>
          <w:szCs w:val="21"/>
        </w:rPr>
        <w:t>回复</w:t>
      </w:r>
      <w:r w:rsidR="007A2886">
        <w:rPr>
          <w:sz w:val="24"/>
          <w:szCs w:val="21"/>
        </w:rPr>
        <w:t>：</w:t>
      </w:r>
      <w:r w:rsidR="00EF2C66" w:rsidRPr="00EF2C66">
        <w:rPr>
          <w:rFonts w:hint="eastAsia"/>
          <w:sz w:val="24"/>
          <w:szCs w:val="21"/>
        </w:rPr>
        <w:t>尊敬的投资者，您好！</w:t>
      </w:r>
      <w:r w:rsidR="00EF2C66" w:rsidRPr="00EF2C66">
        <w:rPr>
          <w:rFonts w:ascii="Times New Roman" w:hAnsi="Times New Roman"/>
          <w:sz w:val="24"/>
          <w:szCs w:val="21"/>
        </w:rPr>
        <w:t>2024</w:t>
      </w:r>
      <w:r w:rsidR="00EF2C66" w:rsidRPr="00EF2C66">
        <w:rPr>
          <w:rFonts w:hint="eastAsia"/>
          <w:sz w:val="24"/>
          <w:szCs w:val="21"/>
        </w:rPr>
        <w:t>年二季度（尤其是</w:t>
      </w:r>
      <w:r w:rsidR="00EF2C66" w:rsidRPr="00EF2C66">
        <w:rPr>
          <w:rFonts w:ascii="Times New Roman" w:hAnsi="Times New Roman"/>
          <w:sz w:val="24"/>
          <w:szCs w:val="21"/>
        </w:rPr>
        <w:t>5</w:t>
      </w:r>
      <w:r w:rsidR="00EF2C66" w:rsidRPr="00EF2C66">
        <w:rPr>
          <w:rFonts w:hint="eastAsia"/>
          <w:sz w:val="24"/>
          <w:szCs w:val="21"/>
        </w:rPr>
        <w:t>、</w:t>
      </w:r>
      <w:r w:rsidR="00EF2C66" w:rsidRPr="00EF2C66">
        <w:rPr>
          <w:rFonts w:ascii="Times New Roman" w:hAnsi="Times New Roman"/>
          <w:sz w:val="24"/>
          <w:szCs w:val="21"/>
        </w:rPr>
        <w:t>6</w:t>
      </w:r>
      <w:r w:rsidR="00EF2C66" w:rsidRPr="00EF2C66">
        <w:rPr>
          <w:rFonts w:hint="eastAsia"/>
          <w:sz w:val="24"/>
          <w:szCs w:val="21"/>
        </w:rPr>
        <w:t>月），受红海危机</w:t>
      </w:r>
      <w:r w:rsidR="00EF2C66" w:rsidRPr="00EF2C66">
        <w:rPr>
          <w:rFonts w:hint="eastAsia"/>
          <w:sz w:val="24"/>
          <w:szCs w:val="21"/>
        </w:rPr>
        <w:lastRenderedPageBreak/>
        <w:t>以及海外贸易商补库等因素影响，海运运价显著上升，以反映即期市场的上海出口集装箱综合指数（</w:t>
      </w:r>
      <w:r w:rsidR="00EF2C66" w:rsidRPr="00EF2C66">
        <w:rPr>
          <w:rFonts w:ascii="Times New Roman" w:hAnsi="Times New Roman"/>
          <w:sz w:val="24"/>
          <w:szCs w:val="21"/>
        </w:rPr>
        <w:t>SCFI</w:t>
      </w:r>
      <w:r w:rsidR="00EF2C66">
        <w:rPr>
          <w:rFonts w:hint="eastAsia"/>
          <w:sz w:val="24"/>
          <w:szCs w:val="21"/>
        </w:rPr>
        <w:t>）的平均值来看，</w:t>
      </w:r>
      <w:r w:rsidR="00EF2C66" w:rsidRPr="00EF2C66">
        <w:rPr>
          <w:rFonts w:ascii="Times New Roman" w:hAnsi="Times New Roman"/>
          <w:sz w:val="24"/>
          <w:szCs w:val="21"/>
        </w:rPr>
        <w:t>5</w:t>
      </w:r>
      <w:r w:rsidR="00EF2C66" w:rsidRPr="00EF2C66">
        <w:rPr>
          <w:rFonts w:hint="eastAsia"/>
          <w:sz w:val="24"/>
          <w:szCs w:val="21"/>
        </w:rPr>
        <w:t>月</w:t>
      </w:r>
      <w:r w:rsidR="00EF2C66" w:rsidRPr="00552E26">
        <w:rPr>
          <w:rFonts w:ascii="Times New Roman" w:hAnsi="Times New Roman"/>
          <w:sz w:val="24"/>
          <w:szCs w:val="21"/>
        </w:rPr>
        <w:t>SCFI</w:t>
      </w:r>
      <w:r w:rsidR="00EF2C66" w:rsidRPr="00EF2C66">
        <w:rPr>
          <w:rFonts w:hint="eastAsia"/>
          <w:sz w:val="24"/>
          <w:szCs w:val="21"/>
        </w:rPr>
        <w:t>指数</w:t>
      </w:r>
      <w:proofErr w:type="gramStart"/>
      <w:r w:rsidR="00EF2C66" w:rsidRPr="00EF2C66">
        <w:rPr>
          <w:rFonts w:hint="eastAsia"/>
          <w:sz w:val="24"/>
          <w:szCs w:val="21"/>
        </w:rPr>
        <w:t>均值环</w:t>
      </w:r>
      <w:proofErr w:type="gramEnd"/>
      <w:r w:rsidR="00EF2C66" w:rsidRPr="00EF2C66">
        <w:rPr>
          <w:rFonts w:hint="eastAsia"/>
          <w:sz w:val="24"/>
          <w:szCs w:val="21"/>
        </w:rPr>
        <w:t>比增长</w:t>
      </w:r>
      <w:r w:rsidR="00EF2C66" w:rsidRPr="00552E26">
        <w:rPr>
          <w:rFonts w:ascii="Times New Roman" w:hAnsi="Times New Roman"/>
          <w:sz w:val="24"/>
          <w:szCs w:val="21"/>
        </w:rPr>
        <w:t>46.6%</w:t>
      </w:r>
      <w:r w:rsidR="00EF2C66" w:rsidRPr="00EF2C66">
        <w:rPr>
          <w:rFonts w:hint="eastAsia"/>
          <w:sz w:val="24"/>
          <w:szCs w:val="21"/>
        </w:rPr>
        <w:t>，</w:t>
      </w:r>
      <w:r w:rsidR="00EF2C66" w:rsidRPr="00552E26">
        <w:rPr>
          <w:rFonts w:ascii="Times New Roman" w:hAnsi="Times New Roman"/>
          <w:sz w:val="24"/>
          <w:szCs w:val="21"/>
        </w:rPr>
        <w:t>6</w:t>
      </w:r>
      <w:r w:rsidR="00EF2C66" w:rsidRPr="00EF2C66">
        <w:rPr>
          <w:rFonts w:hint="eastAsia"/>
          <w:sz w:val="24"/>
          <w:szCs w:val="21"/>
        </w:rPr>
        <w:t>月环比增长</w:t>
      </w:r>
      <w:r w:rsidR="00EF2C66" w:rsidRPr="00552E26">
        <w:rPr>
          <w:rFonts w:ascii="Times New Roman" w:hAnsi="Times New Roman"/>
          <w:sz w:val="24"/>
          <w:szCs w:val="21"/>
        </w:rPr>
        <w:t>30.06%</w:t>
      </w:r>
      <w:r w:rsidR="00EF2C66" w:rsidRPr="00EF2C66">
        <w:rPr>
          <w:rFonts w:hint="eastAsia"/>
          <w:sz w:val="24"/>
          <w:szCs w:val="21"/>
        </w:rPr>
        <w:t>，因此随着运价的上涨及公司业务量的增加，公司的营收规模随之增长，应收账款也相应增加。公司基于与客户的合作关系情况，将客户归类分级，设置不同信用账期，因此，截至</w:t>
      </w:r>
      <w:r w:rsidR="00EF2C66" w:rsidRPr="00552E26">
        <w:rPr>
          <w:rFonts w:ascii="Times New Roman" w:hAnsi="Times New Roman"/>
          <w:sz w:val="24"/>
          <w:szCs w:val="21"/>
        </w:rPr>
        <w:t>2024</w:t>
      </w:r>
      <w:r w:rsidR="00EF2C66" w:rsidRPr="00EF2C66">
        <w:rPr>
          <w:rFonts w:hint="eastAsia"/>
          <w:sz w:val="24"/>
          <w:szCs w:val="21"/>
        </w:rPr>
        <w:t>年</w:t>
      </w:r>
      <w:r w:rsidR="00EF2C66" w:rsidRPr="00552E26">
        <w:rPr>
          <w:rFonts w:ascii="Times New Roman" w:hAnsi="Times New Roman"/>
          <w:sz w:val="24"/>
          <w:szCs w:val="21"/>
        </w:rPr>
        <w:t>6</w:t>
      </w:r>
      <w:r w:rsidR="00EF2C66" w:rsidRPr="00EF2C66">
        <w:rPr>
          <w:rFonts w:hint="eastAsia"/>
          <w:sz w:val="24"/>
          <w:szCs w:val="21"/>
        </w:rPr>
        <w:t>月</w:t>
      </w:r>
      <w:r w:rsidR="00EF2C66" w:rsidRPr="00552E26">
        <w:rPr>
          <w:rFonts w:ascii="Times New Roman" w:hAnsi="Times New Roman"/>
          <w:sz w:val="24"/>
          <w:szCs w:val="21"/>
        </w:rPr>
        <w:t>30</w:t>
      </w:r>
      <w:r w:rsidR="00EF2C66" w:rsidRPr="00EF2C66">
        <w:rPr>
          <w:rFonts w:hint="eastAsia"/>
          <w:sz w:val="24"/>
          <w:szCs w:val="21"/>
        </w:rPr>
        <w:t>日应收账款余额的增加与公司销售规模以及客户</w:t>
      </w:r>
      <w:proofErr w:type="gramStart"/>
      <w:r w:rsidR="00EF2C66" w:rsidRPr="00EF2C66">
        <w:rPr>
          <w:rFonts w:hint="eastAsia"/>
          <w:sz w:val="24"/>
          <w:szCs w:val="21"/>
        </w:rPr>
        <w:t>信用账期是</w:t>
      </w:r>
      <w:proofErr w:type="gramEnd"/>
      <w:r w:rsidR="00EF2C66" w:rsidRPr="00EF2C66">
        <w:rPr>
          <w:rFonts w:hint="eastAsia"/>
          <w:sz w:val="24"/>
          <w:szCs w:val="21"/>
        </w:rPr>
        <w:t>相匹配的。公司一直高度重视并持续加强应收账款管理，强化回款考核机制，制定并优化账款催收措施，加速应收账款的回收，降低坏账风险。感谢您的关注。</w:t>
      </w:r>
    </w:p>
    <w:p w14:paraId="783F429A" w14:textId="286667F1" w:rsidR="00902753" w:rsidRPr="00902753" w:rsidRDefault="00E06D05" w:rsidP="00902753">
      <w:pPr>
        <w:spacing w:line="360" w:lineRule="auto"/>
        <w:ind w:firstLineChars="200" w:firstLine="480"/>
        <w:rPr>
          <w:rFonts w:ascii="Times New Roman" w:hAnsi="Times New Roman"/>
          <w:sz w:val="24"/>
          <w:szCs w:val="21"/>
        </w:rPr>
      </w:pPr>
      <w:r>
        <w:rPr>
          <w:rFonts w:ascii="Times New Roman" w:hAnsi="Times New Roman"/>
          <w:sz w:val="24"/>
          <w:szCs w:val="21"/>
        </w:rPr>
        <w:t>6</w:t>
      </w:r>
      <w:r w:rsidR="00902753" w:rsidRPr="00902753">
        <w:rPr>
          <w:rFonts w:ascii="Times New Roman" w:hAnsi="Times New Roman"/>
          <w:sz w:val="24"/>
          <w:szCs w:val="21"/>
        </w:rPr>
        <w:t>、</w:t>
      </w:r>
      <w:r w:rsidR="00EF2C66" w:rsidRPr="00EF2C66">
        <w:rPr>
          <w:rFonts w:ascii="Times New Roman" w:hAnsi="Times New Roman" w:hint="eastAsia"/>
          <w:sz w:val="24"/>
          <w:szCs w:val="21"/>
        </w:rPr>
        <w:t>请介绍下公司关仓配一体化服务，谢谢！</w:t>
      </w:r>
    </w:p>
    <w:p w14:paraId="6FDD2479" w14:textId="5A589AAA" w:rsidR="00902753" w:rsidRPr="00A5270B" w:rsidRDefault="00902753" w:rsidP="00A5270B">
      <w:pPr>
        <w:spacing w:afterLines="50" w:after="156" w:line="360" w:lineRule="auto"/>
        <w:ind w:firstLineChars="200" w:firstLine="480"/>
        <w:rPr>
          <w:sz w:val="24"/>
          <w:szCs w:val="21"/>
        </w:rPr>
      </w:pPr>
      <w:r>
        <w:rPr>
          <w:rFonts w:hint="eastAsia"/>
          <w:sz w:val="24"/>
          <w:szCs w:val="21"/>
        </w:rPr>
        <w:t>回复：</w:t>
      </w:r>
      <w:r w:rsidR="00A5270B" w:rsidRPr="00A5270B">
        <w:rPr>
          <w:rFonts w:hint="eastAsia"/>
          <w:sz w:val="24"/>
          <w:szCs w:val="21"/>
        </w:rPr>
        <w:t>尊敬的投资者，您好！公司基于国际航线运力体系建设，以客户需求为导向，围绕国内贸易主体聚集地与全球贸易主要通道口岸，以自营或</w:t>
      </w:r>
      <w:proofErr w:type="gramStart"/>
      <w:r w:rsidR="00A5270B" w:rsidRPr="00A5270B">
        <w:rPr>
          <w:rFonts w:hint="eastAsia"/>
          <w:sz w:val="24"/>
          <w:szCs w:val="21"/>
        </w:rPr>
        <w:t>直采相关</w:t>
      </w:r>
      <w:proofErr w:type="gramEnd"/>
      <w:r w:rsidR="00A5270B" w:rsidRPr="00A5270B">
        <w:rPr>
          <w:rFonts w:hint="eastAsia"/>
          <w:sz w:val="24"/>
          <w:szCs w:val="21"/>
        </w:rPr>
        <w:t>配套服务的方式，为客户提供起运地与目的地两端的关务、仓储及拖车运输服务。关仓配一体化服务体系的搭建，不仅增强了公司在</w:t>
      </w:r>
      <w:proofErr w:type="gramStart"/>
      <w:r w:rsidR="00A5270B" w:rsidRPr="00A5270B">
        <w:rPr>
          <w:rFonts w:hint="eastAsia"/>
          <w:sz w:val="24"/>
          <w:szCs w:val="21"/>
        </w:rPr>
        <w:t>核心口岸</w:t>
      </w:r>
      <w:proofErr w:type="gramEnd"/>
      <w:r w:rsidR="00167DA1">
        <w:rPr>
          <w:rFonts w:hint="eastAsia"/>
          <w:sz w:val="24"/>
          <w:szCs w:val="21"/>
        </w:rPr>
        <w:t>进出口货物的集散分拨能力，保障业务的整体运行效率与单位成本优势；</w:t>
      </w:r>
      <w:r w:rsidR="00A5270B" w:rsidRPr="00A5270B">
        <w:rPr>
          <w:rFonts w:hint="eastAsia"/>
          <w:sz w:val="24"/>
          <w:szCs w:val="21"/>
        </w:rPr>
        <w:t>同时，也有效满足直接客户“一站式跨境物流服务”的需求，提升直接客户粘性。未来配合中国品牌出海需求，公司将重点发展</w:t>
      </w:r>
      <w:proofErr w:type="gramStart"/>
      <w:r w:rsidR="00A5270B" w:rsidRPr="00A5270B">
        <w:rPr>
          <w:rFonts w:hint="eastAsia"/>
          <w:sz w:val="24"/>
          <w:szCs w:val="21"/>
        </w:rPr>
        <w:t>海外端全</w:t>
      </w:r>
      <w:proofErr w:type="gramEnd"/>
      <w:r w:rsidR="00A5270B" w:rsidRPr="00A5270B">
        <w:rPr>
          <w:rFonts w:hint="eastAsia"/>
          <w:sz w:val="24"/>
          <w:szCs w:val="21"/>
        </w:rPr>
        <w:t>功能网点建设。感谢您的关注。</w:t>
      </w:r>
    </w:p>
    <w:p w14:paraId="7A3AFDE8" w14:textId="77777777" w:rsidR="0016395E" w:rsidRDefault="0016395E" w:rsidP="007A2886">
      <w:pPr>
        <w:spacing w:line="360" w:lineRule="auto"/>
        <w:ind w:firstLineChars="200" w:firstLine="480"/>
        <w:rPr>
          <w:sz w:val="24"/>
          <w:szCs w:val="21"/>
        </w:rPr>
      </w:pPr>
    </w:p>
    <w:p w14:paraId="0BF8EC58" w14:textId="524C4004" w:rsidR="00FA689B" w:rsidRDefault="00FA689B" w:rsidP="00FA689B">
      <w:pPr>
        <w:spacing w:line="360" w:lineRule="auto"/>
        <w:ind w:firstLineChars="200" w:firstLine="480"/>
        <w:jc w:val="right"/>
        <w:rPr>
          <w:sz w:val="24"/>
          <w:szCs w:val="21"/>
        </w:rPr>
      </w:pPr>
      <w:r w:rsidRPr="00FA689B">
        <w:rPr>
          <w:rFonts w:hint="eastAsia"/>
          <w:sz w:val="24"/>
          <w:szCs w:val="21"/>
        </w:rPr>
        <w:t>海程邦达供应链管理股份有限公司</w:t>
      </w:r>
    </w:p>
    <w:p w14:paraId="5240BF6E" w14:textId="16E39CCD" w:rsidR="00FA689B" w:rsidRPr="00C77482" w:rsidRDefault="00FA689B" w:rsidP="00C77482">
      <w:pPr>
        <w:widowControl/>
        <w:spacing w:line="360" w:lineRule="auto"/>
        <w:ind w:firstLineChars="2300" w:firstLine="5520"/>
        <w:rPr>
          <w:rFonts w:ascii="宋体" w:hAnsi="宋体"/>
          <w:bCs/>
          <w:sz w:val="24"/>
        </w:rPr>
      </w:pPr>
      <w:r w:rsidRPr="00001523">
        <w:rPr>
          <w:rFonts w:ascii="Times New Roman" w:hAnsi="Times New Roman" w:hint="eastAsia"/>
          <w:bCs/>
          <w:sz w:val="24"/>
        </w:rPr>
        <w:t>2</w:t>
      </w:r>
      <w:r w:rsidRPr="00001523">
        <w:rPr>
          <w:rFonts w:ascii="Times New Roman" w:hAnsi="Times New Roman"/>
          <w:bCs/>
          <w:sz w:val="24"/>
        </w:rPr>
        <w:t>02</w:t>
      </w:r>
      <w:r w:rsidR="003277C0">
        <w:rPr>
          <w:rFonts w:ascii="Times New Roman" w:hAnsi="Times New Roman"/>
          <w:bCs/>
          <w:sz w:val="24"/>
        </w:rPr>
        <w:t>4</w:t>
      </w:r>
      <w:r w:rsidRPr="00C77482">
        <w:rPr>
          <w:rFonts w:ascii="宋体" w:hAnsi="宋体" w:hint="eastAsia"/>
          <w:bCs/>
          <w:sz w:val="24"/>
        </w:rPr>
        <w:t>年</w:t>
      </w:r>
      <w:r w:rsidR="00D0464E">
        <w:rPr>
          <w:rFonts w:ascii="Times New Roman" w:hAnsi="Times New Roman"/>
          <w:bCs/>
          <w:sz w:val="24"/>
        </w:rPr>
        <w:t>8</w:t>
      </w:r>
      <w:r w:rsidRPr="00C77482">
        <w:rPr>
          <w:rFonts w:ascii="宋体" w:hAnsi="宋体" w:hint="eastAsia"/>
          <w:bCs/>
          <w:sz w:val="24"/>
        </w:rPr>
        <w:t>月</w:t>
      </w:r>
      <w:r w:rsidR="00D0464E">
        <w:rPr>
          <w:rFonts w:ascii="Times New Roman" w:hAnsi="Times New Roman"/>
          <w:bCs/>
          <w:sz w:val="24"/>
        </w:rPr>
        <w:t>30</w:t>
      </w:r>
      <w:r w:rsidRPr="00C77482">
        <w:rPr>
          <w:rFonts w:ascii="宋体" w:hAnsi="宋体" w:hint="eastAsia"/>
          <w:bCs/>
          <w:sz w:val="24"/>
        </w:rPr>
        <w:t>日</w:t>
      </w:r>
    </w:p>
    <w:sectPr w:rsidR="00FA689B" w:rsidRPr="00C77482" w:rsidSect="005A1819">
      <w:headerReference w:type="default" r:id="rId7"/>
      <w:pgSz w:w="11906" w:h="16838"/>
      <w:pgMar w:top="1440" w:right="1797" w:bottom="1440" w:left="1797" w:header="737"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0D1BF" w14:textId="77777777" w:rsidR="00192909" w:rsidRDefault="00192909">
      <w:r>
        <w:separator/>
      </w:r>
    </w:p>
  </w:endnote>
  <w:endnote w:type="continuationSeparator" w:id="0">
    <w:p w14:paraId="4AB28963" w14:textId="77777777" w:rsidR="00192909" w:rsidRDefault="0019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84E58" w14:textId="77777777" w:rsidR="00192909" w:rsidRDefault="00192909">
      <w:r>
        <w:separator/>
      </w:r>
    </w:p>
  </w:footnote>
  <w:footnote w:type="continuationSeparator" w:id="0">
    <w:p w14:paraId="2F92BFB2" w14:textId="77777777" w:rsidR="00192909" w:rsidRDefault="00192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CB1C" w14:textId="77777777" w:rsidR="00D64424" w:rsidRDefault="00F81BB7">
    <w:pPr>
      <w:pStyle w:val="a4"/>
      <w:jc w:val="both"/>
    </w:pPr>
    <w:r w:rsidRPr="00F41373">
      <w:rPr>
        <w:rFonts w:ascii="宋体" w:hAnsi="宋体"/>
        <w:noProof/>
        <w:sz w:val="21"/>
        <w:szCs w:val="21"/>
      </w:rPr>
      <w:drawing>
        <wp:anchor distT="0" distB="0" distL="114300" distR="114300" simplePos="0" relativeHeight="251659264" behindDoc="0" locked="0" layoutInCell="1" allowOverlap="0" wp14:anchorId="55AB932C" wp14:editId="3239EE41">
          <wp:simplePos x="0" y="0"/>
          <wp:positionH relativeFrom="margin">
            <wp:posOffset>3996411</wp:posOffset>
          </wp:positionH>
          <wp:positionV relativeFrom="page">
            <wp:posOffset>319405</wp:posOffset>
          </wp:positionV>
          <wp:extent cx="1281600" cy="295200"/>
          <wp:effectExtent l="0" t="0" r="0" b="0"/>
          <wp:wrapNone/>
          <wp:docPr id="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1600" cy="295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167"/>
    <w:rsid w:val="00001523"/>
    <w:rsid w:val="00004450"/>
    <w:rsid w:val="00004E08"/>
    <w:rsid w:val="0003699D"/>
    <w:rsid w:val="00037382"/>
    <w:rsid w:val="00044A8C"/>
    <w:rsid w:val="00053C3D"/>
    <w:rsid w:val="00053C65"/>
    <w:rsid w:val="000557CB"/>
    <w:rsid w:val="00060EC2"/>
    <w:rsid w:val="0006462C"/>
    <w:rsid w:val="00086803"/>
    <w:rsid w:val="00087466"/>
    <w:rsid w:val="000935B7"/>
    <w:rsid w:val="000A194C"/>
    <w:rsid w:val="000A1F23"/>
    <w:rsid w:val="000B653A"/>
    <w:rsid w:val="000C40DB"/>
    <w:rsid w:val="000D0065"/>
    <w:rsid w:val="000E32FF"/>
    <w:rsid w:val="000F401F"/>
    <w:rsid w:val="000F5B41"/>
    <w:rsid w:val="00101ED7"/>
    <w:rsid w:val="00113E0B"/>
    <w:rsid w:val="00114F28"/>
    <w:rsid w:val="00126D19"/>
    <w:rsid w:val="00130E2A"/>
    <w:rsid w:val="0016395E"/>
    <w:rsid w:val="00167DA1"/>
    <w:rsid w:val="0018174D"/>
    <w:rsid w:val="00192909"/>
    <w:rsid w:val="00193795"/>
    <w:rsid w:val="001B2413"/>
    <w:rsid w:val="001C20EA"/>
    <w:rsid w:val="001D0848"/>
    <w:rsid w:val="001D5BC7"/>
    <w:rsid w:val="001E043B"/>
    <w:rsid w:val="001E6F88"/>
    <w:rsid w:val="00233B70"/>
    <w:rsid w:val="0023486B"/>
    <w:rsid w:val="002915A4"/>
    <w:rsid w:val="002961B7"/>
    <w:rsid w:val="002A0533"/>
    <w:rsid w:val="002B3622"/>
    <w:rsid w:val="002C78FB"/>
    <w:rsid w:val="002D40E3"/>
    <w:rsid w:val="002F2014"/>
    <w:rsid w:val="00302659"/>
    <w:rsid w:val="003277C0"/>
    <w:rsid w:val="00340242"/>
    <w:rsid w:val="003448C7"/>
    <w:rsid w:val="0035341F"/>
    <w:rsid w:val="00377342"/>
    <w:rsid w:val="00386A5D"/>
    <w:rsid w:val="003A2980"/>
    <w:rsid w:val="003A3059"/>
    <w:rsid w:val="003B49E1"/>
    <w:rsid w:val="003C32D4"/>
    <w:rsid w:val="003C34DC"/>
    <w:rsid w:val="003E0DEE"/>
    <w:rsid w:val="00403DEC"/>
    <w:rsid w:val="00412B3C"/>
    <w:rsid w:val="00422B11"/>
    <w:rsid w:val="004356A6"/>
    <w:rsid w:val="00446372"/>
    <w:rsid w:val="00447317"/>
    <w:rsid w:val="00450316"/>
    <w:rsid w:val="004523E5"/>
    <w:rsid w:val="00454C4B"/>
    <w:rsid w:val="00470539"/>
    <w:rsid w:val="0048117D"/>
    <w:rsid w:val="0049046A"/>
    <w:rsid w:val="0049650C"/>
    <w:rsid w:val="004D086C"/>
    <w:rsid w:val="004D5BEA"/>
    <w:rsid w:val="004E34B5"/>
    <w:rsid w:val="004F049A"/>
    <w:rsid w:val="004F1C65"/>
    <w:rsid w:val="004F7478"/>
    <w:rsid w:val="0050763D"/>
    <w:rsid w:val="00507FFD"/>
    <w:rsid w:val="00522C42"/>
    <w:rsid w:val="005242D2"/>
    <w:rsid w:val="005263C2"/>
    <w:rsid w:val="0053020D"/>
    <w:rsid w:val="00535C6D"/>
    <w:rsid w:val="00550EA7"/>
    <w:rsid w:val="00552D48"/>
    <w:rsid w:val="00552E26"/>
    <w:rsid w:val="00554042"/>
    <w:rsid w:val="005618FB"/>
    <w:rsid w:val="005765A6"/>
    <w:rsid w:val="00583648"/>
    <w:rsid w:val="005A1819"/>
    <w:rsid w:val="00607E8B"/>
    <w:rsid w:val="00622609"/>
    <w:rsid w:val="00625065"/>
    <w:rsid w:val="00625BE0"/>
    <w:rsid w:val="006343BA"/>
    <w:rsid w:val="00642946"/>
    <w:rsid w:val="00686BF4"/>
    <w:rsid w:val="00694273"/>
    <w:rsid w:val="00695211"/>
    <w:rsid w:val="006A6F23"/>
    <w:rsid w:val="006E166A"/>
    <w:rsid w:val="006F0744"/>
    <w:rsid w:val="00700268"/>
    <w:rsid w:val="00702654"/>
    <w:rsid w:val="00722A71"/>
    <w:rsid w:val="007274BF"/>
    <w:rsid w:val="00736A40"/>
    <w:rsid w:val="0076558C"/>
    <w:rsid w:val="00767BDC"/>
    <w:rsid w:val="0079344F"/>
    <w:rsid w:val="00795800"/>
    <w:rsid w:val="007A2886"/>
    <w:rsid w:val="007A652A"/>
    <w:rsid w:val="007B356F"/>
    <w:rsid w:val="007D4AC0"/>
    <w:rsid w:val="007F4707"/>
    <w:rsid w:val="007F550E"/>
    <w:rsid w:val="00801566"/>
    <w:rsid w:val="008127E3"/>
    <w:rsid w:val="00817613"/>
    <w:rsid w:val="0085799B"/>
    <w:rsid w:val="00860E21"/>
    <w:rsid w:val="008B1C89"/>
    <w:rsid w:val="008B2181"/>
    <w:rsid w:val="008E1CA9"/>
    <w:rsid w:val="008F56B5"/>
    <w:rsid w:val="008F5F02"/>
    <w:rsid w:val="008F7D33"/>
    <w:rsid w:val="00902753"/>
    <w:rsid w:val="00924B56"/>
    <w:rsid w:val="00930F96"/>
    <w:rsid w:val="009310BD"/>
    <w:rsid w:val="00933396"/>
    <w:rsid w:val="00935F07"/>
    <w:rsid w:val="009429CA"/>
    <w:rsid w:val="00975059"/>
    <w:rsid w:val="009931E3"/>
    <w:rsid w:val="00997D5D"/>
    <w:rsid w:val="009A1FE6"/>
    <w:rsid w:val="009B4A4D"/>
    <w:rsid w:val="009F3634"/>
    <w:rsid w:val="00A212C7"/>
    <w:rsid w:val="00A27513"/>
    <w:rsid w:val="00A40DA0"/>
    <w:rsid w:val="00A5270B"/>
    <w:rsid w:val="00A55ECB"/>
    <w:rsid w:val="00A7063E"/>
    <w:rsid w:val="00A72166"/>
    <w:rsid w:val="00A727C5"/>
    <w:rsid w:val="00A92973"/>
    <w:rsid w:val="00A94D7A"/>
    <w:rsid w:val="00AA3E75"/>
    <w:rsid w:val="00AD15EB"/>
    <w:rsid w:val="00AF1AED"/>
    <w:rsid w:val="00B020A4"/>
    <w:rsid w:val="00B06FA1"/>
    <w:rsid w:val="00B30215"/>
    <w:rsid w:val="00B44423"/>
    <w:rsid w:val="00B5182F"/>
    <w:rsid w:val="00B647E3"/>
    <w:rsid w:val="00B663BF"/>
    <w:rsid w:val="00B67800"/>
    <w:rsid w:val="00B704AD"/>
    <w:rsid w:val="00B724A4"/>
    <w:rsid w:val="00B7635A"/>
    <w:rsid w:val="00B87438"/>
    <w:rsid w:val="00B8793F"/>
    <w:rsid w:val="00B97B92"/>
    <w:rsid w:val="00BA01FA"/>
    <w:rsid w:val="00BA277C"/>
    <w:rsid w:val="00BB6EAD"/>
    <w:rsid w:val="00BC324F"/>
    <w:rsid w:val="00BD1167"/>
    <w:rsid w:val="00BD5867"/>
    <w:rsid w:val="00BD68E5"/>
    <w:rsid w:val="00C05C68"/>
    <w:rsid w:val="00C06CC5"/>
    <w:rsid w:val="00C07E57"/>
    <w:rsid w:val="00C350C8"/>
    <w:rsid w:val="00C4503A"/>
    <w:rsid w:val="00C67C2A"/>
    <w:rsid w:val="00C77482"/>
    <w:rsid w:val="00C96909"/>
    <w:rsid w:val="00CA4615"/>
    <w:rsid w:val="00CA7A8B"/>
    <w:rsid w:val="00CC58C7"/>
    <w:rsid w:val="00CD4B6F"/>
    <w:rsid w:val="00CE2291"/>
    <w:rsid w:val="00CF7890"/>
    <w:rsid w:val="00D03C73"/>
    <w:rsid w:val="00D0464E"/>
    <w:rsid w:val="00D35B95"/>
    <w:rsid w:val="00D41239"/>
    <w:rsid w:val="00D4436E"/>
    <w:rsid w:val="00D44E5F"/>
    <w:rsid w:val="00D51EF7"/>
    <w:rsid w:val="00D54EA9"/>
    <w:rsid w:val="00D5707E"/>
    <w:rsid w:val="00D64424"/>
    <w:rsid w:val="00D8222B"/>
    <w:rsid w:val="00D945BD"/>
    <w:rsid w:val="00DA6E7A"/>
    <w:rsid w:val="00DF1C74"/>
    <w:rsid w:val="00E05418"/>
    <w:rsid w:val="00E06D05"/>
    <w:rsid w:val="00E07246"/>
    <w:rsid w:val="00E3501F"/>
    <w:rsid w:val="00E41520"/>
    <w:rsid w:val="00E42B3E"/>
    <w:rsid w:val="00E552C1"/>
    <w:rsid w:val="00E55441"/>
    <w:rsid w:val="00E56F63"/>
    <w:rsid w:val="00E612AD"/>
    <w:rsid w:val="00E9271E"/>
    <w:rsid w:val="00E93AD7"/>
    <w:rsid w:val="00EA0D3E"/>
    <w:rsid w:val="00EA6812"/>
    <w:rsid w:val="00EC4DBE"/>
    <w:rsid w:val="00EC71EC"/>
    <w:rsid w:val="00ED3367"/>
    <w:rsid w:val="00EE33AB"/>
    <w:rsid w:val="00EF2C66"/>
    <w:rsid w:val="00EF7494"/>
    <w:rsid w:val="00F02389"/>
    <w:rsid w:val="00F064B2"/>
    <w:rsid w:val="00F130B0"/>
    <w:rsid w:val="00F17FD1"/>
    <w:rsid w:val="00F26997"/>
    <w:rsid w:val="00F32F27"/>
    <w:rsid w:val="00F34ED6"/>
    <w:rsid w:val="00F40147"/>
    <w:rsid w:val="00F424E0"/>
    <w:rsid w:val="00F7530C"/>
    <w:rsid w:val="00F81BB7"/>
    <w:rsid w:val="00F825B9"/>
    <w:rsid w:val="00F837C0"/>
    <w:rsid w:val="00F8725F"/>
    <w:rsid w:val="00FA214A"/>
    <w:rsid w:val="00FA689B"/>
    <w:rsid w:val="00FB3454"/>
    <w:rsid w:val="00FC634E"/>
    <w:rsid w:val="00FC6A5B"/>
    <w:rsid w:val="00FD3A9C"/>
    <w:rsid w:val="00FF05F1"/>
    <w:rsid w:val="00FF40F5"/>
    <w:rsid w:val="4FC95DEC"/>
    <w:rsid w:val="57516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ADE46"/>
  <w15:docId w15:val="{9F28BB4E-05ED-4E69-9AC0-6CAA6074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 w:type="paragraph" w:styleId="a5">
    <w:name w:val="Revision"/>
    <w:hidden/>
    <w:uiPriority w:val="99"/>
    <w:semiHidden/>
    <w:rsid w:val="00ED3367"/>
    <w:rPr>
      <w:rFonts w:ascii="Calibri" w:eastAsia="宋体" w:hAnsi="Calibri" w:cs="Times New Roman"/>
      <w:kern w:val="2"/>
      <w:sz w:val="21"/>
      <w:szCs w:val="24"/>
    </w:rPr>
  </w:style>
  <w:style w:type="character" w:styleId="a6">
    <w:name w:val="annotation reference"/>
    <w:basedOn w:val="a0"/>
    <w:uiPriority w:val="99"/>
    <w:semiHidden/>
    <w:unhideWhenUsed/>
    <w:rsid w:val="00E9271E"/>
    <w:rPr>
      <w:sz w:val="21"/>
      <w:szCs w:val="21"/>
    </w:rPr>
  </w:style>
  <w:style w:type="paragraph" w:styleId="a7">
    <w:name w:val="annotation text"/>
    <w:basedOn w:val="a"/>
    <w:link w:val="Char1"/>
    <w:uiPriority w:val="99"/>
    <w:semiHidden/>
    <w:unhideWhenUsed/>
    <w:rsid w:val="00E9271E"/>
    <w:pPr>
      <w:jc w:val="left"/>
    </w:pPr>
  </w:style>
  <w:style w:type="character" w:customStyle="1" w:styleId="Char1">
    <w:name w:val="批注文字 Char"/>
    <w:basedOn w:val="a0"/>
    <w:link w:val="a7"/>
    <w:uiPriority w:val="99"/>
    <w:semiHidden/>
    <w:rsid w:val="00E9271E"/>
    <w:rPr>
      <w:rFonts w:ascii="Calibri" w:eastAsia="宋体" w:hAnsi="Calibri" w:cs="Times New Roman"/>
      <w:kern w:val="2"/>
      <w:sz w:val="21"/>
      <w:szCs w:val="24"/>
    </w:rPr>
  </w:style>
  <w:style w:type="paragraph" w:styleId="a8">
    <w:name w:val="annotation subject"/>
    <w:basedOn w:val="a7"/>
    <w:next w:val="a7"/>
    <w:link w:val="Char2"/>
    <w:uiPriority w:val="99"/>
    <w:semiHidden/>
    <w:unhideWhenUsed/>
    <w:rsid w:val="00E9271E"/>
    <w:rPr>
      <w:b/>
      <w:bCs/>
    </w:rPr>
  </w:style>
  <w:style w:type="character" w:customStyle="1" w:styleId="Char2">
    <w:name w:val="批注主题 Char"/>
    <w:basedOn w:val="Char1"/>
    <w:link w:val="a8"/>
    <w:uiPriority w:val="99"/>
    <w:semiHidden/>
    <w:rsid w:val="00E9271E"/>
    <w:rPr>
      <w:rFonts w:ascii="Calibri" w:eastAsia="宋体" w:hAnsi="Calibri" w:cs="Times New Roman"/>
      <w:b/>
      <w:bCs/>
      <w:kern w:val="2"/>
      <w:sz w:val="21"/>
      <w:szCs w:val="24"/>
    </w:rPr>
  </w:style>
  <w:style w:type="paragraph" w:styleId="a9">
    <w:name w:val="Balloon Text"/>
    <w:basedOn w:val="a"/>
    <w:link w:val="Char3"/>
    <w:uiPriority w:val="99"/>
    <w:semiHidden/>
    <w:unhideWhenUsed/>
    <w:rsid w:val="00C77482"/>
    <w:rPr>
      <w:sz w:val="18"/>
      <w:szCs w:val="18"/>
    </w:rPr>
  </w:style>
  <w:style w:type="character" w:customStyle="1" w:styleId="Char3">
    <w:name w:val="批注框文本 Char"/>
    <w:basedOn w:val="a0"/>
    <w:link w:val="a9"/>
    <w:uiPriority w:val="99"/>
    <w:semiHidden/>
    <w:rsid w:val="00C77482"/>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qyf</dc:creator>
  <cp:lastModifiedBy>Ping.zhang</cp:lastModifiedBy>
  <cp:revision>2</cp:revision>
  <dcterms:created xsi:type="dcterms:W3CDTF">2024-08-30T03:30:00Z</dcterms:created>
  <dcterms:modified xsi:type="dcterms:W3CDTF">2024-08-30T03:30:00Z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