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AE23" w14:textId="77777777" w:rsidR="001D3071" w:rsidRDefault="001D3071">
      <w:pPr>
        <w:pStyle w:val="a5"/>
        <w:rPr>
          <w:lang w:val="en-US"/>
        </w:rPr>
      </w:pPr>
    </w:p>
    <w:p w14:paraId="7D3F6448" w14:textId="77777777" w:rsidR="001D3071" w:rsidRDefault="00000000">
      <w:pPr>
        <w:pStyle w:val="a5"/>
      </w:pPr>
      <w:r>
        <w:rPr>
          <w:rFonts w:hint="eastAsia"/>
          <w:lang w:val="en-US"/>
        </w:rPr>
        <w:t>中饮巴比食品</w:t>
      </w:r>
      <w:r>
        <w:t>股份有限公司投资者关系活动记录表</w:t>
      </w:r>
    </w:p>
    <w:p w14:paraId="03F709D5" w14:textId="77777777" w:rsidR="001D3071" w:rsidRDefault="00000000">
      <w:pPr>
        <w:spacing w:before="155" w:after="21"/>
        <w:ind w:right="510"/>
        <w:jc w:val="right"/>
        <w:rPr>
          <w:sz w:val="21"/>
        </w:rPr>
      </w:pPr>
      <w:r>
        <w:rPr>
          <w:rFonts w:hint="eastAsia"/>
          <w:sz w:val="21"/>
        </w:rPr>
        <w:t>编号：2</w:t>
      </w:r>
      <w:r>
        <w:rPr>
          <w:sz w:val="21"/>
        </w:rPr>
        <w:t>024-0</w:t>
      </w:r>
      <w:r>
        <w:rPr>
          <w:rFonts w:hint="eastAsia"/>
          <w:sz w:val="21"/>
        </w:rPr>
        <w:t>8</w:t>
      </w:r>
      <w:r>
        <w:rPr>
          <w:sz w:val="21"/>
        </w:rPr>
        <w:t>0</w:t>
      </w:r>
      <w:r>
        <w:rPr>
          <w:rFonts w:hint="eastAsia"/>
          <w:sz w:val="21"/>
        </w:rPr>
        <w:t>5</w:t>
      </w:r>
    </w:p>
    <w:tbl>
      <w:tblPr>
        <w:tblStyle w:val="ae"/>
        <w:tblW w:w="0" w:type="auto"/>
        <w:tblInd w:w="-5" w:type="dxa"/>
        <w:tblLook w:val="04A0" w:firstRow="1" w:lastRow="0" w:firstColumn="1" w:lastColumn="0" w:noHBand="0" w:noVBand="1"/>
      </w:tblPr>
      <w:tblGrid>
        <w:gridCol w:w="1418"/>
        <w:gridCol w:w="6887"/>
      </w:tblGrid>
      <w:tr w:rsidR="001D3071" w14:paraId="0B23DB2F" w14:textId="77777777">
        <w:tc>
          <w:tcPr>
            <w:tcW w:w="1418" w:type="dxa"/>
            <w:vAlign w:val="center"/>
          </w:tcPr>
          <w:p w14:paraId="3740E49B" w14:textId="77777777" w:rsidR="001D3071" w:rsidRDefault="00000000">
            <w:pPr>
              <w:spacing w:line="360" w:lineRule="exact"/>
              <w:jc w:val="center"/>
            </w:pPr>
            <w:r>
              <w:rPr>
                <w:b/>
                <w:sz w:val="21"/>
                <w:szCs w:val="21"/>
              </w:rPr>
              <w:t>投资者关系活动类别</w:t>
            </w:r>
          </w:p>
        </w:tc>
        <w:tc>
          <w:tcPr>
            <w:tcW w:w="6887" w:type="dxa"/>
            <w:vAlign w:val="center"/>
          </w:tcPr>
          <w:p w14:paraId="4F8ED8F0" w14:textId="77777777" w:rsidR="001D3071" w:rsidRDefault="00000000">
            <w:pPr>
              <w:pStyle w:val="TableParagraph"/>
              <w:spacing w:before="0" w:line="360" w:lineRule="exact"/>
              <w:ind w:left="107"/>
            </w:pPr>
            <w:r>
              <w:sym w:font="Wingdings 2" w:char="0052"/>
            </w:r>
            <w:r>
              <w:t xml:space="preserve">特定对象调研  □分析师会议  □媒体采访     </w:t>
            </w:r>
          </w:p>
          <w:p w14:paraId="362545BB" w14:textId="77777777" w:rsidR="001D3071" w:rsidRDefault="00000000">
            <w:pPr>
              <w:pStyle w:val="TableParagraph"/>
              <w:spacing w:before="0" w:line="360" w:lineRule="exact"/>
              <w:ind w:left="107"/>
              <w:rPr>
                <w:spacing w:val="-1"/>
              </w:rPr>
            </w:pPr>
            <w:r>
              <w:rPr>
                <w:spacing w:val="-1"/>
              </w:rPr>
              <w:t xml:space="preserve">□业绩说明会    □新闻发布会  □路演活动 </w:t>
            </w:r>
          </w:p>
          <w:p w14:paraId="4EF0E8E8" w14:textId="77777777" w:rsidR="001D3071" w:rsidRDefault="00000000">
            <w:pPr>
              <w:pStyle w:val="TableParagraph"/>
              <w:spacing w:before="0" w:line="360" w:lineRule="exact"/>
              <w:ind w:left="107"/>
            </w:pPr>
            <w:r>
              <w:rPr>
                <w:spacing w:val="-1"/>
              </w:rPr>
              <w:t>□</w:t>
            </w:r>
            <w:r>
              <w:t xml:space="preserve">现场参观      </w:t>
            </w:r>
            <w:r>
              <w:sym w:font="Wingdings 2" w:char="0052"/>
            </w:r>
            <w:r>
              <w:t>其他</w:t>
            </w:r>
            <w:r>
              <w:rPr>
                <w:rFonts w:hint="eastAsia"/>
                <w:lang w:val="en-US"/>
              </w:rPr>
              <w:t xml:space="preserve"> </w:t>
            </w:r>
            <w:r>
              <w:rPr>
                <w:u w:val="single"/>
              </w:rPr>
              <w:t xml:space="preserve"> </w:t>
            </w:r>
            <w:r>
              <w:rPr>
                <w:rFonts w:hint="eastAsia"/>
                <w:u w:val="single"/>
              </w:rPr>
              <w:t xml:space="preserve">线上电话会议 </w:t>
            </w:r>
            <w:r>
              <w:rPr>
                <w:u w:val="single"/>
              </w:rPr>
              <w:t xml:space="preserve"> </w:t>
            </w:r>
            <w:r>
              <w:t xml:space="preserve"> </w:t>
            </w:r>
          </w:p>
        </w:tc>
      </w:tr>
      <w:tr w:rsidR="001D3071" w14:paraId="1DE1B315" w14:textId="77777777">
        <w:tc>
          <w:tcPr>
            <w:tcW w:w="1418" w:type="dxa"/>
            <w:vAlign w:val="center"/>
          </w:tcPr>
          <w:p w14:paraId="799C57D0" w14:textId="77777777" w:rsidR="001D3071" w:rsidRDefault="00000000">
            <w:pPr>
              <w:spacing w:line="360" w:lineRule="exact"/>
              <w:jc w:val="center"/>
              <w:rPr>
                <w:b/>
                <w:sz w:val="21"/>
                <w:szCs w:val="21"/>
              </w:rPr>
            </w:pPr>
            <w:r>
              <w:rPr>
                <w:b/>
                <w:sz w:val="21"/>
                <w:szCs w:val="21"/>
              </w:rPr>
              <w:t>参与单位</w:t>
            </w:r>
          </w:p>
          <w:p w14:paraId="7DE1BA2C" w14:textId="77777777" w:rsidR="001D3071" w:rsidRDefault="00000000">
            <w:pPr>
              <w:spacing w:line="360" w:lineRule="exact"/>
              <w:jc w:val="center"/>
            </w:pPr>
            <w:r>
              <w:rPr>
                <w:b/>
                <w:sz w:val="21"/>
                <w:szCs w:val="21"/>
              </w:rPr>
              <w:t>名称</w:t>
            </w:r>
          </w:p>
        </w:tc>
        <w:tc>
          <w:tcPr>
            <w:tcW w:w="6887" w:type="dxa"/>
            <w:vAlign w:val="center"/>
          </w:tcPr>
          <w:p w14:paraId="57B034AD" w14:textId="670B3BD7" w:rsidR="001D3071" w:rsidRDefault="00000000">
            <w:pPr>
              <w:pStyle w:val="TOC2"/>
            </w:pPr>
            <w:r>
              <w:rPr>
                <w:rFonts w:hint="eastAsia"/>
              </w:rPr>
              <w:t>慎知资产</w:t>
            </w:r>
            <w:r>
              <w:t>、</w:t>
            </w:r>
            <w:r>
              <w:rPr>
                <w:rFonts w:hint="eastAsia"/>
              </w:rPr>
              <w:t>上海牧毅投资</w:t>
            </w:r>
            <w:r>
              <w:t>、</w:t>
            </w:r>
            <w:r>
              <w:rPr>
                <w:rFonts w:hint="eastAsia"/>
              </w:rPr>
              <w:t>中金公司</w:t>
            </w:r>
            <w:r>
              <w:t>、</w:t>
            </w:r>
            <w:r>
              <w:rPr>
                <w:rFonts w:hint="eastAsia"/>
              </w:rPr>
              <w:t>中信建投</w:t>
            </w:r>
            <w:r>
              <w:t>、</w:t>
            </w:r>
            <w:r>
              <w:rPr>
                <w:rFonts w:hint="eastAsia"/>
              </w:rPr>
              <w:t>光大证券</w:t>
            </w:r>
            <w:r>
              <w:t>、</w:t>
            </w:r>
            <w:r>
              <w:rPr>
                <w:rFonts w:hint="eastAsia"/>
              </w:rPr>
              <w:t>国泰君安</w:t>
            </w:r>
            <w:r>
              <w:t>、</w:t>
            </w:r>
            <w:r>
              <w:rPr>
                <w:rFonts w:hint="eastAsia"/>
              </w:rPr>
              <w:t>华创证券</w:t>
            </w:r>
            <w:r>
              <w:t>、</w:t>
            </w:r>
            <w:r>
              <w:rPr>
                <w:rFonts w:hint="eastAsia"/>
              </w:rPr>
              <w:t>民生证券</w:t>
            </w:r>
            <w:r>
              <w:t>、</w:t>
            </w:r>
            <w:r>
              <w:rPr>
                <w:rFonts w:hint="eastAsia"/>
              </w:rPr>
              <w:t>山西证券</w:t>
            </w:r>
            <w:r>
              <w:t>、</w:t>
            </w:r>
            <w:r>
              <w:rPr>
                <w:rFonts w:hint="eastAsia"/>
              </w:rPr>
              <w:t>华鑫证券</w:t>
            </w:r>
            <w:r>
              <w:t>、</w:t>
            </w:r>
            <w:r>
              <w:rPr>
                <w:rFonts w:hint="eastAsia"/>
              </w:rPr>
              <w:t>中泰证券</w:t>
            </w:r>
            <w:r>
              <w:t>、</w:t>
            </w:r>
            <w:r>
              <w:rPr>
                <w:rFonts w:hint="eastAsia"/>
              </w:rPr>
              <w:t>国金证券</w:t>
            </w:r>
            <w:r>
              <w:t>、</w:t>
            </w:r>
            <w:r>
              <w:rPr>
                <w:rFonts w:hint="eastAsia"/>
              </w:rPr>
              <w:t>国信证券</w:t>
            </w:r>
            <w:r>
              <w:t>、</w:t>
            </w:r>
            <w:r>
              <w:rPr>
                <w:rFonts w:hint="eastAsia"/>
              </w:rPr>
              <w:t>天风证券</w:t>
            </w:r>
            <w:r>
              <w:t>、</w:t>
            </w:r>
            <w:r>
              <w:rPr>
                <w:rFonts w:hint="eastAsia"/>
              </w:rPr>
              <w:t>华西证券</w:t>
            </w:r>
            <w:r>
              <w:t>、</w:t>
            </w:r>
            <w:r>
              <w:rPr>
                <w:rFonts w:hint="eastAsia"/>
              </w:rPr>
              <w:t>太平洋证券</w:t>
            </w:r>
            <w:r>
              <w:t>、</w:t>
            </w:r>
            <w:r>
              <w:rPr>
                <w:rFonts w:hint="eastAsia"/>
              </w:rPr>
              <w:t>财通证券</w:t>
            </w:r>
            <w:r>
              <w:t>、</w:t>
            </w:r>
            <w:r>
              <w:rPr>
                <w:rFonts w:hint="eastAsia"/>
              </w:rPr>
              <w:t>华金证券</w:t>
            </w:r>
            <w:r>
              <w:t>、</w:t>
            </w:r>
            <w:r>
              <w:rPr>
                <w:rFonts w:hint="eastAsia"/>
              </w:rPr>
              <w:t>国投安信期货</w:t>
            </w:r>
            <w:r>
              <w:t>、</w:t>
            </w:r>
            <w:r>
              <w:rPr>
                <w:rFonts w:hint="eastAsia"/>
              </w:rPr>
              <w:t>信达证券</w:t>
            </w:r>
            <w:r>
              <w:t>、</w:t>
            </w:r>
            <w:r>
              <w:rPr>
                <w:rFonts w:hint="eastAsia"/>
              </w:rPr>
              <w:t>兴业证券</w:t>
            </w:r>
            <w:r>
              <w:t>、</w:t>
            </w:r>
            <w:r>
              <w:rPr>
                <w:rFonts w:hint="eastAsia"/>
              </w:rPr>
              <w:t>海通证券</w:t>
            </w:r>
            <w:r>
              <w:t>、</w:t>
            </w:r>
            <w:r>
              <w:rPr>
                <w:rFonts w:hint="eastAsia"/>
              </w:rPr>
              <w:t>国盛证券</w:t>
            </w:r>
            <w:r>
              <w:t>、</w:t>
            </w:r>
            <w:r>
              <w:rPr>
                <w:rFonts w:hint="eastAsia"/>
              </w:rPr>
              <w:t>平安证券</w:t>
            </w:r>
            <w:r>
              <w:t>、</w:t>
            </w:r>
            <w:r>
              <w:rPr>
                <w:rFonts w:hint="eastAsia"/>
              </w:rPr>
              <w:t>东海证券</w:t>
            </w:r>
            <w:r>
              <w:t>、</w:t>
            </w:r>
            <w:r>
              <w:rPr>
                <w:rFonts w:hint="eastAsia"/>
              </w:rPr>
              <w:t>招商证券</w:t>
            </w:r>
            <w:r>
              <w:t>、</w:t>
            </w:r>
            <w:r>
              <w:rPr>
                <w:rFonts w:hint="eastAsia"/>
              </w:rPr>
              <w:t>天合资产</w:t>
            </w:r>
            <w:r>
              <w:t>、</w:t>
            </w:r>
            <w:r>
              <w:rPr>
                <w:rFonts w:hint="eastAsia"/>
              </w:rPr>
              <w:t>禾丰正则</w:t>
            </w:r>
            <w:r>
              <w:t>、</w:t>
            </w:r>
            <w:r>
              <w:rPr>
                <w:rFonts w:hint="eastAsia"/>
              </w:rPr>
              <w:t>国华兴益保险</w:t>
            </w:r>
            <w:r>
              <w:t>、</w:t>
            </w:r>
            <w:r>
              <w:rPr>
                <w:rFonts w:hint="eastAsia"/>
              </w:rPr>
              <w:t>申万宏源</w:t>
            </w:r>
            <w:r>
              <w:t>、</w:t>
            </w:r>
            <w:r>
              <w:rPr>
                <w:rFonts w:hint="eastAsia"/>
              </w:rPr>
              <w:t>华泰保兴基金</w:t>
            </w:r>
            <w:r>
              <w:t>、</w:t>
            </w:r>
            <w:r>
              <w:rPr>
                <w:rFonts w:hint="eastAsia"/>
              </w:rPr>
              <w:t>国海证券</w:t>
            </w:r>
            <w:r>
              <w:t>、</w:t>
            </w:r>
            <w:r>
              <w:rPr>
                <w:rFonts w:hint="eastAsia"/>
              </w:rPr>
              <w:t>上海元泓投资</w:t>
            </w:r>
            <w:r>
              <w:t>、</w:t>
            </w:r>
            <w:r>
              <w:rPr>
                <w:rFonts w:hint="eastAsia"/>
              </w:rPr>
              <w:t>北京乐正资本</w:t>
            </w:r>
            <w:r>
              <w:t>、</w:t>
            </w:r>
            <w:r>
              <w:rPr>
                <w:rFonts w:hint="eastAsia"/>
              </w:rPr>
              <w:t>昆仑保险资管</w:t>
            </w:r>
            <w:r>
              <w:t>、</w:t>
            </w:r>
            <w:r>
              <w:rPr>
                <w:rFonts w:hint="eastAsia"/>
              </w:rPr>
              <w:t>中邮证券</w:t>
            </w:r>
            <w:r>
              <w:t>、</w:t>
            </w:r>
            <w:r>
              <w:rPr>
                <w:rFonts w:hint="eastAsia"/>
              </w:rPr>
              <w:t>北京金百镕</w:t>
            </w:r>
            <w:r>
              <w:t>、</w:t>
            </w:r>
            <w:r>
              <w:rPr>
                <w:rFonts w:hint="eastAsia"/>
              </w:rPr>
              <w:t>绝了基金</w:t>
            </w:r>
            <w:r>
              <w:t>、</w:t>
            </w:r>
            <w:r>
              <w:rPr>
                <w:rFonts w:hint="eastAsia"/>
              </w:rPr>
              <w:t>原点资产</w:t>
            </w:r>
            <w:r>
              <w:t>、</w:t>
            </w:r>
            <w:r>
              <w:rPr>
                <w:rFonts w:hint="eastAsia"/>
              </w:rPr>
              <w:t>欧力士</w:t>
            </w:r>
            <w:r>
              <w:t>、</w:t>
            </w:r>
            <w:r>
              <w:rPr>
                <w:rFonts w:hint="eastAsia"/>
              </w:rPr>
              <w:t>景千投资</w:t>
            </w:r>
            <w:r>
              <w:t>、</w:t>
            </w:r>
            <w:r>
              <w:rPr>
                <w:rFonts w:hint="eastAsia"/>
              </w:rPr>
              <w:t>中天国富</w:t>
            </w:r>
            <w:r>
              <w:t>、</w:t>
            </w:r>
            <w:r>
              <w:rPr>
                <w:rFonts w:hint="eastAsia"/>
              </w:rPr>
              <w:t>恒睿投资</w:t>
            </w:r>
            <w:r>
              <w:t>、</w:t>
            </w:r>
            <w:r>
              <w:rPr>
                <w:rFonts w:hint="eastAsia"/>
              </w:rPr>
              <w:t>德邦证券</w:t>
            </w:r>
            <w:r>
              <w:t>、</w:t>
            </w:r>
            <w:r>
              <w:rPr>
                <w:rFonts w:hint="eastAsia"/>
              </w:rPr>
              <w:t>羊角基金</w:t>
            </w:r>
            <w:r>
              <w:t>、</w:t>
            </w:r>
            <w:r>
              <w:rPr>
                <w:rFonts w:hint="eastAsia"/>
              </w:rPr>
              <w:t>中意资产</w:t>
            </w:r>
            <w:r>
              <w:t>、</w:t>
            </w:r>
            <w:r>
              <w:rPr>
                <w:rFonts w:hint="eastAsia"/>
              </w:rPr>
              <w:t>东吴证券</w:t>
            </w:r>
            <w:r>
              <w:t>、</w:t>
            </w:r>
            <w:r>
              <w:rPr>
                <w:rFonts w:hint="eastAsia"/>
              </w:rPr>
              <w:t>长江证券</w:t>
            </w:r>
            <w:r>
              <w:t>、</w:t>
            </w:r>
            <w:r>
              <w:rPr>
                <w:rFonts w:hint="eastAsia"/>
              </w:rPr>
              <w:t>西南证券</w:t>
            </w:r>
          </w:p>
        </w:tc>
      </w:tr>
      <w:tr w:rsidR="001D3071" w14:paraId="196227D3" w14:textId="77777777">
        <w:trPr>
          <w:trHeight w:val="525"/>
        </w:trPr>
        <w:tc>
          <w:tcPr>
            <w:tcW w:w="1418" w:type="dxa"/>
            <w:vAlign w:val="center"/>
          </w:tcPr>
          <w:p w14:paraId="769FE51F" w14:textId="77777777" w:rsidR="001D3071" w:rsidRDefault="00000000">
            <w:pPr>
              <w:spacing w:line="360" w:lineRule="exact"/>
              <w:jc w:val="center"/>
            </w:pPr>
            <w:r>
              <w:rPr>
                <w:b/>
                <w:sz w:val="21"/>
                <w:szCs w:val="21"/>
              </w:rPr>
              <w:t>时间</w:t>
            </w:r>
          </w:p>
        </w:tc>
        <w:tc>
          <w:tcPr>
            <w:tcW w:w="6887" w:type="dxa"/>
            <w:vAlign w:val="center"/>
          </w:tcPr>
          <w:p w14:paraId="6F25D4D0" w14:textId="77777777" w:rsidR="001D3071" w:rsidRDefault="00000000">
            <w:pPr>
              <w:spacing w:before="35"/>
            </w:pPr>
            <w:r>
              <w:t>2024 年</w:t>
            </w:r>
            <w:r>
              <w:rPr>
                <w:rFonts w:hint="eastAsia"/>
              </w:rPr>
              <w:t xml:space="preserve"> 8</w:t>
            </w:r>
            <w:r>
              <w:t xml:space="preserve"> 月</w:t>
            </w:r>
            <w:r>
              <w:rPr>
                <w:rFonts w:hint="eastAsia"/>
              </w:rPr>
              <w:t xml:space="preserve"> 30 日 </w:t>
            </w:r>
            <w:r>
              <w:t>10</w:t>
            </w:r>
            <w:r>
              <w:rPr>
                <w:rFonts w:hint="eastAsia"/>
              </w:rPr>
              <w:t>:</w:t>
            </w:r>
            <w:r>
              <w:t>00 – 11</w:t>
            </w:r>
            <w:r>
              <w:rPr>
                <w:rFonts w:hint="eastAsia"/>
              </w:rPr>
              <w:t>:0</w:t>
            </w:r>
            <w:r>
              <w:t>0</w:t>
            </w:r>
          </w:p>
        </w:tc>
      </w:tr>
      <w:tr w:rsidR="001D3071" w14:paraId="29A27ED4" w14:textId="77777777">
        <w:trPr>
          <w:trHeight w:val="547"/>
        </w:trPr>
        <w:tc>
          <w:tcPr>
            <w:tcW w:w="1418" w:type="dxa"/>
            <w:vAlign w:val="center"/>
          </w:tcPr>
          <w:p w14:paraId="659E91A8" w14:textId="77777777" w:rsidR="001D3071" w:rsidRDefault="00000000">
            <w:pPr>
              <w:spacing w:line="360" w:lineRule="exact"/>
              <w:jc w:val="center"/>
            </w:pPr>
            <w:r>
              <w:rPr>
                <w:b/>
                <w:sz w:val="21"/>
                <w:szCs w:val="21"/>
              </w:rPr>
              <w:t>地点</w:t>
            </w:r>
          </w:p>
        </w:tc>
        <w:tc>
          <w:tcPr>
            <w:tcW w:w="6887" w:type="dxa"/>
            <w:vAlign w:val="center"/>
          </w:tcPr>
          <w:p w14:paraId="0F46C93A" w14:textId="77777777" w:rsidR="001D3071" w:rsidRDefault="00000000">
            <w:pPr>
              <w:spacing w:before="35"/>
            </w:pPr>
            <w:r>
              <w:rPr>
                <w:rFonts w:hint="eastAsia"/>
              </w:rPr>
              <w:t>线上方式</w:t>
            </w:r>
          </w:p>
        </w:tc>
      </w:tr>
      <w:tr w:rsidR="001D3071" w14:paraId="6852BACA" w14:textId="77777777">
        <w:tc>
          <w:tcPr>
            <w:tcW w:w="1418" w:type="dxa"/>
            <w:vAlign w:val="center"/>
          </w:tcPr>
          <w:p w14:paraId="59E84CCD" w14:textId="77777777" w:rsidR="001D3071" w:rsidRDefault="00000000">
            <w:pPr>
              <w:spacing w:line="360" w:lineRule="exact"/>
              <w:jc w:val="cente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3FD740BF" w14:textId="77777777" w:rsidR="001D3071" w:rsidRDefault="00000000">
            <w:pPr>
              <w:spacing w:before="35"/>
              <w:rPr>
                <w:lang w:val="en-US"/>
              </w:rPr>
            </w:pPr>
            <w:r>
              <w:rPr>
                <w:rFonts w:hint="eastAsia"/>
                <w:lang w:val="en-US"/>
              </w:rPr>
              <w:t>财务总监、董事会秘书 苏爽</w:t>
            </w:r>
          </w:p>
          <w:p w14:paraId="3FDBA4EC" w14:textId="77777777" w:rsidR="001D3071" w:rsidRDefault="00000000">
            <w:pPr>
              <w:spacing w:before="35"/>
              <w:rPr>
                <w:lang w:val="en-US"/>
              </w:rPr>
            </w:pPr>
            <w:r>
              <w:rPr>
                <w:rFonts w:hint="eastAsia"/>
                <w:lang w:val="en-US"/>
              </w:rPr>
              <w:t>证券事务代表 马晓琳</w:t>
            </w:r>
          </w:p>
        </w:tc>
      </w:tr>
      <w:tr w:rsidR="001D3071" w14:paraId="4F3CAF48" w14:textId="77777777">
        <w:tc>
          <w:tcPr>
            <w:tcW w:w="1418" w:type="dxa"/>
            <w:vAlign w:val="center"/>
          </w:tcPr>
          <w:p w14:paraId="48D4B50B" w14:textId="77777777" w:rsidR="001D3071" w:rsidRDefault="00000000">
            <w:pPr>
              <w:spacing w:before="35"/>
              <w:jc w:val="center"/>
              <w:rPr>
                <w:b/>
                <w:sz w:val="21"/>
                <w:szCs w:val="21"/>
              </w:rPr>
            </w:pPr>
            <w:r>
              <w:rPr>
                <w:rFonts w:hint="eastAsia"/>
                <w:b/>
                <w:sz w:val="21"/>
                <w:szCs w:val="21"/>
                <w:lang w:val="en-US"/>
              </w:rPr>
              <w:t>投资者关系活动</w:t>
            </w:r>
            <w:r>
              <w:rPr>
                <w:b/>
                <w:sz w:val="21"/>
                <w:szCs w:val="21"/>
              </w:rPr>
              <w:t>主要内容介绍</w:t>
            </w:r>
          </w:p>
        </w:tc>
        <w:tc>
          <w:tcPr>
            <w:tcW w:w="6887" w:type="dxa"/>
          </w:tcPr>
          <w:p w14:paraId="233242C9" w14:textId="77777777" w:rsidR="001D3071" w:rsidRDefault="00000000">
            <w:pPr>
              <w:autoSpaceDE/>
              <w:autoSpaceDN/>
              <w:spacing w:beforeLines="50" w:before="120" w:afterLines="30" w:after="72"/>
              <w:jc w:val="both"/>
              <w:rPr>
                <w:b/>
                <w:bCs/>
              </w:rPr>
            </w:pPr>
            <w:r>
              <w:rPr>
                <w:rFonts w:hint="eastAsia"/>
                <w:b/>
                <w:bCs/>
              </w:rPr>
              <w:t>一、</w:t>
            </w:r>
            <w:r>
              <w:rPr>
                <w:b/>
                <w:bCs/>
              </w:rPr>
              <w:t>公司202</w:t>
            </w:r>
            <w:r>
              <w:rPr>
                <w:rFonts w:hint="eastAsia"/>
                <w:b/>
                <w:bCs/>
              </w:rPr>
              <w:t>4</w:t>
            </w:r>
            <w:r>
              <w:rPr>
                <w:b/>
                <w:bCs/>
              </w:rPr>
              <w:t>年</w:t>
            </w:r>
            <w:r>
              <w:rPr>
                <w:rFonts w:hint="eastAsia"/>
                <w:b/>
                <w:bCs/>
              </w:rPr>
              <w:t>半</w:t>
            </w:r>
            <w:r>
              <w:rPr>
                <w:b/>
                <w:bCs/>
              </w:rPr>
              <w:t>年度经营成果介绍</w:t>
            </w:r>
          </w:p>
          <w:p w14:paraId="5A38E00D" w14:textId="77777777" w:rsidR="001D3071" w:rsidRDefault="00000000">
            <w:pPr>
              <w:autoSpaceDE/>
              <w:autoSpaceDN/>
              <w:spacing w:beforeLines="20" w:before="48" w:afterLines="20" w:after="48"/>
              <w:ind w:firstLineChars="200" w:firstLine="440"/>
              <w:jc w:val="both"/>
            </w:pPr>
            <w:r>
              <w:t>2024年上半年</w:t>
            </w:r>
            <w:r>
              <w:rPr>
                <w:rFonts w:hint="eastAsia"/>
              </w:rPr>
              <w:t>，公司</w:t>
            </w:r>
            <w:r>
              <w:t>实现营业收入7.64亿元，同比增长3.56%；归属于上市公司股东的净利润1.11亿元，同比增长36.04%；归属于上市公司股东的扣除非经常性损益的净利润0.88亿元，同比增长31.42%。</w:t>
            </w:r>
            <w:r>
              <w:rPr>
                <w:rFonts w:hint="eastAsia"/>
              </w:rPr>
              <w:t>报告期公司</w:t>
            </w:r>
            <w:r>
              <w:t>实现</w:t>
            </w:r>
            <w:r>
              <w:rPr>
                <w:rFonts w:hint="eastAsia"/>
              </w:rPr>
              <w:t>营业收入与净利润</w:t>
            </w:r>
            <w:r>
              <w:t>双增长。</w:t>
            </w:r>
          </w:p>
          <w:p w14:paraId="52F8340E" w14:textId="54640571" w:rsidR="001D3071" w:rsidRDefault="00000000">
            <w:pPr>
              <w:autoSpaceDE/>
              <w:autoSpaceDN/>
              <w:spacing w:beforeLines="20" w:before="48" w:afterLines="20" w:after="48"/>
              <w:ind w:firstLineChars="200" w:firstLine="440"/>
              <w:jc w:val="both"/>
            </w:pPr>
            <w:r>
              <w:rPr>
                <w:rFonts w:hint="eastAsia"/>
              </w:rPr>
              <w:t>由于受门店业务单店收入</w:t>
            </w:r>
            <w:r w:rsidR="00780903">
              <w:rPr>
                <w:rFonts w:hint="eastAsia"/>
                <w:lang w:val="en-US"/>
              </w:rPr>
              <w:t>下降</w:t>
            </w:r>
            <w:r>
              <w:rPr>
                <w:rFonts w:hint="eastAsia"/>
              </w:rPr>
              <w:t>的影响，第二季度营业收入同比小幅度减少1.9%。公司持续推进提质增效的系列举措，毛利率环比呈提升趋势，销售费用率、管理费用率持续下降，扣非净利润率持续同比提升。</w:t>
            </w:r>
          </w:p>
          <w:p w14:paraId="16F1D50E" w14:textId="77777777" w:rsidR="001D3071" w:rsidRDefault="00000000">
            <w:pPr>
              <w:autoSpaceDE/>
              <w:autoSpaceDN/>
              <w:spacing w:beforeLines="20" w:before="48" w:afterLines="20" w:after="48"/>
              <w:ind w:firstLineChars="200" w:firstLine="440"/>
              <w:jc w:val="both"/>
            </w:pPr>
            <w:r>
              <w:rPr>
                <w:rFonts w:hint="eastAsia"/>
              </w:rPr>
              <w:t>（一）在</w:t>
            </w:r>
            <w:r>
              <w:t>门店业务</w:t>
            </w:r>
            <w:r>
              <w:rPr>
                <w:rFonts w:hint="eastAsia"/>
              </w:rPr>
              <w:t>方面：</w:t>
            </w:r>
          </w:p>
          <w:p w14:paraId="56873700" w14:textId="77777777" w:rsidR="001D3071" w:rsidRDefault="00000000">
            <w:pPr>
              <w:autoSpaceDE/>
              <w:autoSpaceDN/>
              <w:spacing w:beforeLines="20" w:before="48" w:afterLines="20" w:after="48"/>
              <w:ind w:firstLineChars="200" w:firstLine="440"/>
              <w:jc w:val="both"/>
            </w:pPr>
            <w:r>
              <w:t>1、</w:t>
            </w:r>
            <w:r>
              <w:rPr>
                <w:rFonts w:hint="eastAsia"/>
              </w:rPr>
              <w:t>报告期内公司</w:t>
            </w:r>
            <w:r>
              <w:t>重点聚焦单店模型的改善和单店收入的修复，着力提升加盟门店的经营质量</w:t>
            </w:r>
            <w:r>
              <w:rPr>
                <w:rFonts w:hint="eastAsia"/>
              </w:rPr>
              <w:t>：</w:t>
            </w:r>
            <w:r>
              <w:t>从门店产品结构、产品质量、门店布局、门店形象和门店广告营销方面采取一系列措施，力求通过各种经营举措，提升单店销售额，目前各项措施</w:t>
            </w:r>
            <w:r>
              <w:rPr>
                <w:rFonts w:hint="eastAsia"/>
              </w:rPr>
              <w:t>将</w:t>
            </w:r>
            <w:r>
              <w:t>稳步推进落地；</w:t>
            </w:r>
          </w:p>
          <w:p w14:paraId="27B2C129" w14:textId="09B7A867" w:rsidR="001D3071" w:rsidRDefault="00000000" w:rsidP="000B5701">
            <w:pPr>
              <w:autoSpaceDE/>
              <w:autoSpaceDN/>
              <w:spacing w:beforeLines="20" w:before="48" w:afterLines="20" w:after="48"/>
              <w:ind w:firstLineChars="200" w:firstLine="440"/>
              <w:jc w:val="both"/>
              <w:rPr>
                <w:rFonts w:hint="eastAsia"/>
              </w:rPr>
            </w:pPr>
            <w:r>
              <w:t>2、</w:t>
            </w:r>
            <w:r>
              <w:rPr>
                <w:rFonts w:hint="eastAsia"/>
              </w:rPr>
              <w:t>公司通过</w:t>
            </w:r>
            <w:r>
              <w:t>内生外延</w:t>
            </w:r>
            <w:r>
              <w:rPr>
                <w:rFonts w:hint="eastAsia"/>
              </w:rPr>
              <w:t>结合</w:t>
            </w:r>
            <w:r>
              <w:t>有序推进门店拓展：报告期内稳步开拓463家巴比品牌加盟门店，门店拓展</w:t>
            </w:r>
            <w:r>
              <w:rPr>
                <w:rFonts w:hint="eastAsia"/>
              </w:rPr>
              <w:t>情况</w:t>
            </w:r>
            <w:r>
              <w:t>基本符合年初预期及公司当前经营计划。在</w:t>
            </w:r>
            <w:r>
              <w:rPr>
                <w:rFonts w:hint="eastAsia"/>
              </w:rPr>
              <w:t>内生拓店</w:t>
            </w:r>
            <w:r>
              <w:t>方面，为保障门店</w:t>
            </w:r>
            <w:r>
              <w:rPr>
                <w:rFonts w:hint="eastAsia"/>
              </w:rPr>
              <w:t>经营</w:t>
            </w:r>
            <w:r>
              <w:t>质量，</w:t>
            </w:r>
            <w:r>
              <w:rPr>
                <w:rFonts w:hint="eastAsia"/>
              </w:rPr>
              <w:t>公司</w:t>
            </w:r>
            <w:r>
              <w:t>更加审慎评估前期门店选址可行性，精细预测门店持续经营和盈利情况，确保开店的成功率。</w:t>
            </w:r>
            <w:r>
              <w:rPr>
                <w:rFonts w:hint="eastAsia"/>
              </w:rPr>
              <w:t>在</w:t>
            </w:r>
            <w:r>
              <w:t>外延方面</w:t>
            </w:r>
            <w:r>
              <w:rPr>
                <w:rFonts w:hint="eastAsia"/>
              </w:rPr>
              <w:t>并购</w:t>
            </w:r>
            <w:r>
              <w:t>了南京的“蒸全味”品牌，向行业整合发展又迈出了坚实的一步，有利于提升公司在南京等周边市场的占有率。</w:t>
            </w:r>
          </w:p>
          <w:p w14:paraId="0FA918F7" w14:textId="77777777" w:rsidR="001D3071" w:rsidRDefault="00000000">
            <w:pPr>
              <w:autoSpaceDE/>
              <w:autoSpaceDN/>
              <w:spacing w:beforeLines="20" w:before="48" w:afterLines="20" w:after="48"/>
              <w:ind w:firstLineChars="200" w:firstLine="440"/>
              <w:jc w:val="both"/>
            </w:pPr>
            <w:r>
              <w:rPr>
                <w:rFonts w:hint="eastAsia"/>
              </w:rPr>
              <w:t>（二）</w:t>
            </w:r>
            <w:r>
              <w:t>团餐业务方面：</w:t>
            </w:r>
          </w:p>
          <w:p w14:paraId="652F71C0" w14:textId="77777777" w:rsidR="001D3071" w:rsidRDefault="00000000">
            <w:pPr>
              <w:autoSpaceDE/>
              <w:autoSpaceDN/>
              <w:spacing w:beforeLines="20" w:before="48" w:afterLines="20" w:after="48"/>
              <w:ind w:firstLineChars="200" w:firstLine="440"/>
              <w:jc w:val="both"/>
            </w:pPr>
            <w:r>
              <w:rPr>
                <w:rFonts w:hint="eastAsia"/>
              </w:rPr>
              <w:t>1、公司通过扎实打造差异产品服务，全面发力大客户及零售各</w:t>
            </w:r>
            <w:r>
              <w:rPr>
                <w:rFonts w:hint="eastAsia"/>
              </w:rPr>
              <w:lastRenderedPageBreak/>
              <w:t>业务渠道深耕，凭借品牌优势和定制化服务的优势，上半年大客户零售业务销售收入同比增长</w:t>
            </w:r>
            <w:r>
              <w:t>10.45%。</w:t>
            </w:r>
          </w:p>
          <w:p w14:paraId="682BD187" w14:textId="77777777" w:rsidR="001D3071" w:rsidRDefault="00000000">
            <w:pPr>
              <w:autoSpaceDE/>
              <w:autoSpaceDN/>
              <w:spacing w:beforeLines="20" w:before="48" w:afterLines="20" w:after="48"/>
              <w:ind w:firstLineChars="200" w:firstLine="440"/>
              <w:jc w:val="both"/>
            </w:pPr>
            <w:r>
              <w:rPr>
                <w:rFonts w:hint="eastAsia"/>
              </w:rPr>
              <w:t>2、公司持续进行渠道的深耕，一方面通过充分利用丰富的产品矩阵及强大的提供定制化产品及服务的能力，深挖客户需求拓展更多客户；另一方面积极挖掘特渠客户</w:t>
            </w:r>
            <w:r>
              <w:rPr>
                <w:rFonts w:hint="eastAsia"/>
                <w:lang w:val="en-US"/>
              </w:rPr>
              <w:t>和进行</w:t>
            </w:r>
            <w:r>
              <w:rPr>
                <w:rFonts w:hint="eastAsia"/>
              </w:rPr>
              <w:t>渠道下沉和，如新开拓了养老院、医院等注重高品质客户，在下沉市场开拓方面</w:t>
            </w:r>
            <w:r>
              <w:rPr>
                <w:rFonts w:hint="eastAsia"/>
                <w:lang w:val="en-US"/>
              </w:rPr>
              <w:t>也</w:t>
            </w:r>
            <w:r>
              <w:rPr>
                <w:rFonts w:hint="eastAsia"/>
              </w:rPr>
              <w:t>取得了一定成果。</w:t>
            </w:r>
          </w:p>
          <w:p w14:paraId="74120EC4" w14:textId="77777777" w:rsidR="001D3071" w:rsidRDefault="00000000">
            <w:pPr>
              <w:autoSpaceDE/>
              <w:autoSpaceDN/>
              <w:spacing w:beforeLines="20" w:before="48" w:afterLines="20" w:after="48"/>
              <w:ind w:firstLineChars="200" w:firstLine="440"/>
              <w:jc w:val="both"/>
            </w:pPr>
            <w:r>
              <w:rPr>
                <w:rFonts w:hint="eastAsia"/>
              </w:rPr>
              <w:t>3、在产品方面推出了馄饨、水饺、饼类等非包点类的馅料产品和半成品菜的销售，进一步丰富了销售渠道。</w:t>
            </w:r>
          </w:p>
          <w:p w14:paraId="73CD7687" w14:textId="77777777" w:rsidR="001D3071" w:rsidRDefault="00000000">
            <w:pPr>
              <w:autoSpaceDE/>
              <w:autoSpaceDN/>
              <w:spacing w:beforeLines="20" w:before="48" w:afterLines="20" w:after="48"/>
              <w:ind w:firstLineChars="200" w:firstLine="440"/>
              <w:jc w:val="both"/>
            </w:pPr>
            <w:r>
              <w:rPr>
                <w:rFonts w:hint="eastAsia"/>
                <w:lang w:val="en-US"/>
              </w:rPr>
              <w:t>整体而言，</w:t>
            </w:r>
            <w:r>
              <w:rPr>
                <w:rFonts w:hint="eastAsia"/>
              </w:rPr>
              <w:t>大客户零售业务在新渠道</w:t>
            </w:r>
            <w:r>
              <w:rPr>
                <w:rFonts w:hint="eastAsia"/>
                <w:lang w:val="en-US"/>
              </w:rPr>
              <w:t>拓展</w:t>
            </w:r>
            <w:r>
              <w:rPr>
                <w:rFonts w:hint="eastAsia"/>
              </w:rPr>
              <w:t>、外区业务方面实现</w:t>
            </w:r>
            <w:r>
              <w:rPr>
                <w:rFonts w:hint="eastAsia"/>
                <w:lang w:val="en-US"/>
              </w:rPr>
              <w:t>了</w:t>
            </w:r>
            <w:r>
              <w:rPr>
                <w:rFonts w:hint="eastAsia"/>
              </w:rPr>
              <w:t>持续良性增长。</w:t>
            </w:r>
          </w:p>
          <w:p w14:paraId="2C4906AA" w14:textId="77777777" w:rsidR="001D3071" w:rsidRDefault="00000000">
            <w:pPr>
              <w:autoSpaceDE/>
              <w:autoSpaceDN/>
              <w:spacing w:beforeLines="20" w:before="48" w:afterLines="20" w:after="48"/>
              <w:ind w:firstLineChars="200" w:firstLine="440"/>
              <w:jc w:val="both"/>
            </w:pPr>
            <w:r>
              <w:rPr>
                <w:rFonts w:hint="eastAsia"/>
              </w:rPr>
              <w:t>（三）</w:t>
            </w:r>
            <w:r>
              <w:t>在成本费用</w:t>
            </w:r>
            <w:r>
              <w:rPr>
                <w:rFonts w:hint="eastAsia"/>
              </w:rPr>
              <w:t>方面</w:t>
            </w:r>
            <w:r>
              <w:t>：</w:t>
            </w:r>
          </w:p>
          <w:p w14:paraId="089177B6" w14:textId="6097C27B" w:rsidR="001D3071" w:rsidRDefault="00000000">
            <w:pPr>
              <w:autoSpaceDE/>
              <w:autoSpaceDN/>
              <w:spacing w:beforeLines="20" w:before="48" w:afterLines="20" w:after="48"/>
              <w:ind w:firstLineChars="200" w:firstLine="440"/>
              <w:jc w:val="both"/>
            </w:pPr>
            <w:r>
              <w:rPr>
                <w:rFonts w:hint="eastAsia"/>
              </w:rPr>
              <w:t>报告期内猪肉原材料的采购成本低于去年同期，同时面粉、油脂价格下行，公司毛利率保持</w:t>
            </w:r>
            <w:r>
              <w:t>26.38%的较好水平。同时，公司运营效率继续提升，费用率下降，一二季度扣非净利润率</w:t>
            </w:r>
            <w:r>
              <w:rPr>
                <w:rFonts w:hint="eastAsia"/>
              </w:rPr>
              <w:t>优</w:t>
            </w:r>
            <w:r>
              <w:t>于去年同期，二季度</w:t>
            </w:r>
            <w:r w:rsidR="00B75C99">
              <w:t>扣非净利润率</w:t>
            </w:r>
            <w:r>
              <w:t>12.24%，公司经营质量持续向好。</w:t>
            </w:r>
          </w:p>
          <w:p w14:paraId="4FAA2D53" w14:textId="77777777" w:rsidR="001D3071" w:rsidRDefault="00000000">
            <w:pPr>
              <w:autoSpaceDE/>
              <w:autoSpaceDN/>
              <w:spacing w:beforeLines="20" w:before="48" w:afterLines="20" w:after="48"/>
              <w:ind w:firstLineChars="200" w:firstLine="440"/>
              <w:jc w:val="both"/>
            </w:pPr>
            <w:r>
              <w:rPr>
                <w:rFonts w:hint="eastAsia"/>
              </w:rPr>
              <w:t>综上，公司在当前消费环境整体需求下降、竞争加剧、门店业务的核心市场需求减少的情况下，上半年度在营业收入和扣非净利润率方面仍保持较好增长态势。公司相信，凭借领先行业的竞争优势以及上半年各项提质增效的举措继续全面落实，修好内功，公司各项业务将保持可持续发展。</w:t>
            </w:r>
          </w:p>
          <w:p w14:paraId="4E99A96F" w14:textId="77777777" w:rsidR="001D3071" w:rsidRDefault="00000000">
            <w:pPr>
              <w:autoSpaceDE/>
              <w:autoSpaceDN/>
              <w:spacing w:beforeLines="100" w:before="240" w:line="360" w:lineRule="auto"/>
              <w:jc w:val="both"/>
              <w:rPr>
                <w:b/>
                <w:bCs/>
              </w:rPr>
            </w:pPr>
            <w:r>
              <w:rPr>
                <w:rFonts w:hint="eastAsia"/>
                <w:b/>
                <w:bCs/>
              </w:rPr>
              <w:t>二、互动交流环节</w:t>
            </w:r>
          </w:p>
          <w:p w14:paraId="7805F0D2" w14:textId="4DB635EB" w:rsidR="001D3071" w:rsidRDefault="00000000">
            <w:pPr>
              <w:pStyle w:val="TOC2"/>
              <w:spacing w:beforeLines="20" w:before="48" w:afterLines="20" w:after="48"/>
              <w:rPr>
                <w:b/>
                <w:bCs/>
              </w:rPr>
            </w:pPr>
            <w:r>
              <w:rPr>
                <w:rFonts w:hint="eastAsia"/>
                <w:b/>
                <w:bCs/>
              </w:rPr>
              <w:t>1、在开店方面，我们看到公司上半年基本按期推进年初制定的全年新开</w:t>
            </w:r>
            <w:r>
              <w:rPr>
                <w:b/>
                <w:bCs/>
              </w:rPr>
              <w:t>1000家</w:t>
            </w:r>
            <w:r>
              <w:rPr>
                <w:rFonts w:hint="eastAsia"/>
                <w:b/>
                <w:bCs/>
              </w:rPr>
              <w:t>门店的</w:t>
            </w:r>
            <w:r>
              <w:rPr>
                <w:b/>
                <w:bCs/>
              </w:rPr>
              <w:t>规划，</w:t>
            </w:r>
            <w:r>
              <w:rPr>
                <w:rFonts w:hint="eastAsia"/>
                <w:b/>
                <w:bCs/>
              </w:rPr>
              <w:t>请问</w:t>
            </w:r>
            <w:r>
              <w:rPr>
                <w:b/>
                <w:bCs/>
              </w:rPr>
              <w:t>公司2024年下半年的开店规划是怎样的？</w:t>
            </w:r>
          </w:p>
          <w:p w14:paraId="16F49EE7" w14:textId="77777777" w:rsidR="001D3071" w:rsidRDefault="00000000">
            <w:pPr>
              <w:pStyle w:val="TOC2"/>
              <w:spacing w:beforeLines="20" w:before="48" w:afterLines="20" w:after="48"/>
            </w:pPr>
            <w:r>
              <w:rPr>
                <w:rFonts w:hint="eastAsia"/>
                <w:b/>
                <w:bCs/>
              </w:rPr>
              <w:t>回复</w:t>
            </w:r>
            <w:r>
              <w:rPr>
                <w:b/>
                <w:bCs/>
              </w:rPr>
              <w:t>：</w:t>
            </w:r>
            <w:r>
              <w:rPr>
                <w:rFonts w:hint="eastAsia"/>
              </w:rPr>
              <w:t>2024</w:t>
            </w:r>
            <w:r>
              <w:t>上半年</w:t>
            </w:r>
            <w:r>
              <w:rPr>
                <w:rFonts w:hint="eastAsia"/>
              </w:rPr>
              <w:t>公司新开</w:t>
            </w:r>
            <w:r>
              <w:t>46</w:t>
            </w:r>
            <w:r>
              <w:rPr>
                <w:rFonts w:hint="eastAsia"/>
              </w:rPr>
              <w:t>3</w:t>
            </w:r>
            <w:r>
              <w:t>家</w:t>
            </w:r>
            <w:r>
              <w:rPr>
                <w:rFonts w:hint="eastAsia"/>
              </w:rPr>
              <w:t>巴比品牌加盟</w:t>
            </w:r>
            <w:r>
              <w:t>门店，</w:t>
            </w:r>
            <w:r>
              <w:rPr>
                <w:rFonts w:hint="eastAsia"/>
              </w:rPr>
              <w:t>开店进度</w:t>
            </w:r>
            <w:r>
              <w:t>基本符合</w:t>
            </w:r>
            <w:r>
              <w:rPr>
                <w:rFonts w:hint="eastAsia"/>
              </w:rPr>
              <w:t>年初</w:t>
            </w:r>
            <w:r>
              <w:t>计划。</w:t>
            </w:r>
            <w:r>
              <w:rPr>
                <w:rFonts w:hint="eastAsia"/>
              </w:rPr>
              <w:t>截至目前，公司认为仍</w:t>
            </w:r>
            <w:r>
              <w:t>有希望完成全年目标，但</w:t>
            </w:r>
            <w:r>
              <w:rPr>
                <w:rFonts w:hint="eastAsia"/>
              </w:rPr>
              <w:t>同时观察到加盟商</w:t>
            </w:r>
            <w:r>
              <w:t>投资热情较年初</w:t>
            </w:r>
            <w:r>
              <w:rPr>
                <w:rFonts w:hint="eastAsia"/>
              </w:rPr>
              <w:t>继续有所</w:t>
            </w:r>
            <w:r>
              <w:t>下降，因此实现</w:t>
            </w:r>
            <w:r>
              <w:rPr>
                <w:rFonts w:hint="eastAsia"/>
              </w:rPr>
              <w:t>全年</w:t>
            </w:r>
            <w:r>
              <w:t>开店目标</w:t>
            </w:r>
            <w:r>
              <w:rPr>
                <w:rFonts w:hint="eastAsia"/>
              </w:rPr>
              <w:t>仍</w:t>
            </w:r>
            <w:r>
              <w:t>存在一定压力。</w:t>
            </w:r>
          </w:p>
          <w:p w14:paraId="4180CC13" w14:textId="77777777" w:rsidR="001D3071" w:rsidRDefault="001D3071">
            <w:pPr>
              <w:spacing w:before="20" w:after="20"/>
              <w:jc w:val="both"/>
            </w:pPr>
          </w:p>
          <w:p w14:paraId="0521CBAC" w14:textId="77777777" w:rsidR="001D3071" w:rsidRDefault="00000000">
            <w:pPr>
              <w:pStyle w:val="TOC2"/>
              <w:spacing w:beforeLines="20" w:before="48" w:afterLines="20" w:after="48"/>
              <w:rPr>
                <w:b/>
                <w:bCs/>
              </w:rPr>
            </w:pPr>
            <w:r>
              <w:rPr>
                <w:rFonts w:hint="eastAsia"/>
                <w:b/>
                <w:bCs/>
              </w:rPr>
              <w:t>2、</w:t>
            </w:r>
            <w:r>
              <w:rPr>
                <w:b/>
                <w:bCs/>
              </w:rPr>
              <w:t>新区域的开店情况如何</w:t>
            </w:r>
            <w:r>
              <w:rPr>
                <w:rFonts w:hint="eastAsia"/>
                <w:b/>
                <w:bCs/>
              </w:rPr>
              <w:t>，</w:t>
            </w:r>
            <w:r>
              <w:rPr>
                <w:b/>
                <w:bCs/>
              </w:rPr>
              <w:t>尤其是河北、湖南和安徽的进展如何？</w:t>
            </w:r>
            <w:r>
              <w:rPr>
                <w:rFonts w:hint="eastAsia"/>
                <w:b/>
                <w:bCs/>
              </w:rPr>
              <w:t>公司</w:t>
            </w:r>
            <w:r>
              <w:rPr>
                <w:b/>
                <w:bCs/>
              </w:rPr>
              <w:t>短期内是否有进一步开拓新省份的计划？</w:t>
            </w:r>
          </w:p>
          <w:p w14:paraId="7C8F45FF" w14:textId="7613089A" w:rsidR="001D3071" w:rsidRDefault="00000000">
            <w:pPr>
              <w:pStyle w:val="TOC2"/>
              <w:spacing w:beforeLines="20" w:before="48" w:afterLines="20" w:after="48"/>
            </w:pPr>
            <w:r>
              <w:rPr>
                <w:rFonts w:hint="eastAsia"/>
                <w:b/>
                <w:bCs/>
              </w:rPr>
              <w:t>回复</w:t>
            </w:r>
            <w:r>
              <w:rPr>
                <w:b/>
                <w:bCs/>
              </w:rPr>
              <w:t>：</w:t>
            </w:r>
            <w:r>
              <w:rPr>
                <w:rFonts w:hint="eastAsia"/>
              </w:rPr>
              <w:t>（1）</w:t>
            </w:r>
            <w:r>
              <w:t>河北是</w:t>
            </w:r>
            <w:r>
              <w:rPr>
                <w:rFonts w:hint="eastAsia"/>
              </w:rPr>
              <w:t>公司</w:t>
            </w:r>
            <w:r>
              <w:t>今年新</w:t>
            </w:r>
            <w:r>
              <w:rPr>
                <w:rFonts w:hint="eastAsia"/>
              </w:rPr>
              <w:t>开拓</w:t>
            </w:r>
            <w:r>
              <w:t>的</w:t>
            </w:r>
            <w:r>
              <w:rPr>
                <w:rFonts w:hint="eastAsia"/>
              </w:rPr>
              <w:t>市场</w:t>
            </w:r>
            <w:r>
              <w:t>区域，目前</w:t>
            </w:r>
            <w:r>
              <w:rPr>
                <w:rFonts w:hint="eastAsia"/>
              </w:rPr>
              <w:t>有8</w:t>
            </w:r>
            <w:r>
              <w:t>家门店</w:t>
            </w:r>
            <w:r>
              <w:rPr>
                <w:rFonts w:hint="eastAsia"/>
              </w:rPr>
              <w:t>在</w:t>
            </w:r>
            <w:r>
              <w:t>尝试新的堂食店型</w:t>
            </w:r>
            <w:r>
              <w:rPr>
                <w:rFonts w:hint="eastAsia"/>
              </w:rPr>
              <w:t>；</w:t>
            </w:r>
            <w:r>
              <w:t>安徽</w:t>
            </w:r>
            <w:r>
              <w:rPr>
                <w:rFonts w:hint="eastAsia"/>
              </w:rPr>
              <w:t>自</w:t>
            </w:r>
            <w:r>
              <w:t>去年一直处于稳步发展的状态</w:t>
            </w:r>
            <w:r>
              <w:rPr>
                <w:rFonts w:hint="eastAsia"/>
              </w:rPr>
              <w:t>；</w:t>
            </w:r>
            <w:r>
              <w:t>湖南今年上半年的开店速度较去年下半年有所下降，</w:t>
            </w:r>
            <w:r>
              <w:rPr>
                <w:rFonts w:hint="eastAsia"/>
              </w:rPr>
              <w:t>主要因为公司今年</w:t>
            </w:r>
            <w:r>
              <w:t>主动</w:t>
            </w:r>
            <w:r w:rsidR="009D7714">
              <w:rPr>
                <w:rFonts w:hint="eastAsia"/>
              </w:rPr>
              <w:t>调低了</w:t>
            </w:r>
            <w:r>
              <w:t>新扩张区域的市场投放政策。</w:t>
            </w:r>
            <w:r>
              <w:rPr>
                <w:rFonts w:hint="eastAsia"/>
              </w:rPr>
              <w:t>（2）目前公司</w:t>
            </w:r>
            <w:r>
              <w:t>短期内没有开拓新省份</w:t>
            </w:r>
            <w:r>
              <w:rPr>
                <w:rFonts w:hint="eastAsia"/>
              </w:rPr>
              <w:t>市场</w:t>
            </w:r>
            <w:r>
              <w:t>的计划。</w:t>
            </w:r>
          </w:p>
          <w:p w14:paraId="1F7D308A" w14:textId="77777777" w:rsidR="001D3071" w:rsidRDefault="001D3071">
            <w:pPr>
              <w:pStyle w:val="TOC2"/>
              <w:spacing w:before="20" w:after="20"/>
            </w:pPr>
          </w:p>
          <w:p w14:paraId="20BBDD00" w14:textId="77777777" w:rsidR="001D3071" w:rsidRDefault="00000000">
            <w:pPr>
              <w:pStyle w:val="TOC2"/>
              <w:spacing w:beforeLines="20" w:before="48" w:afterLines="20" w:after="48"/>
              <w:rPr>
                <w:b/>
                <w:bCs/>
              </w:rPr>
            </w:pPr>
            <w:r>
              <w:rPr>
                <w:rFonts w:hint="eastAsia"/>
                <w:b/>
                <w:bCs/>
              </w:rPr>
              <w:t>3、上半年</w:t>
            </w:r>
            <w:r>
              <w:rPr>
                <w:b/>
                <w:bCs/>
              </w:rPr>
              <w:t>公司闭店情况如何？是否有特定区域或店龄的趋势？下半年闭店率的展望如何？</w:t>
            </w:r>
          </w:p>
          <w:p w14:paraId="621A0BAF" w14:textId="150576A1" w:rsidR="001D3071" w:rsidRDefault="00000000">
            <w:pPr>
              <w:pStyle w:val="TOC2"/>
              <w:spacing w:beforeLines="20" w:before="48" w:afterLines="20" w:after="48"/>
            </w:pPr>
            <w:r>
              <w:rPr>
                <w:rFonts w:hint="eastAsia"/>
                <w:b/>
                <w:bCs/>
              </w:rPr>
              <w:t>回复</w:t>
            </w:r>
            <w:r>
              <w:rPr>
                <w:b/>
                <w:bCs/>
              </w:rPr>
              <w:t>：</w:t>
            </w:r>
            <w:r>
              <w:rPr>
                <w:rFonts w:hint="eastAsia"/>
              </w:rPr>
              <w:t>上半年巴比品牌门店</w:t>
            </w:r>
            <w:r>
              <w:t>闭店数量较去年同期增加了1</w:t>
            </w:r>
            <w:r>
              <w:rPr>
                <w:rFonts w:hint="eastAsia"/>
                <w:lang w:val="en-US"/>
              </w:rPr>
              <w:t>4</w:t>
            </w:r>
            <w:r>
              <w:t>%，</w:t>
            </w:r>
            <w:r>
              <w:rPr>
                <w:rFonts w:hint="eastAsia"/>
              </w:rPr>
              <w:t>主要因为在当前单店收入较去年同期进一步下降的情况下，</w:t>
            </w:r>
            <w:r>
              <w:t>单店</w:t>
            </w:r>
            <w:r>
              <w:rPr>
                <w:rFonts w:hint="eastAsia"/>
              </w:rPr>
              <w:t>营业额</w:t>
            </w:r>
            <w:r>
              <w:t>不及预期</w:t>
            </w:r>
            <w:r>
              <w:rPr>
                <w:rFonts w:hint="eastAsia"/>
              </w:rPr>
              <w:t>的加盟商选择闭店。同时，由于公司上半年开店数量较去年同期有所放缓，上半年整体闭店率较去年同期小幅提升不到0.3个百分点。公司认为当前闭店率仍</w:t>
            </w:r>
            <w:r>
              <w:t>在可控范围内</w:t>
            </w:r>
            <w:r>
              <w:rPr>
                <w:rFonts w:hint="eastAsia"/>
              </w:rPr>
              <w:t>，</w:t>
            </w:r>
            <w:r>
              <w:t>闭店的区域和店龄结构与</w:t>
            </w:r>
            <w:r>
              <w:lastRenderedPageBreak/>
              <w:t>往年相比没有显著变化，属于正常经营节奏。预计下半年开店热情与上半年持平或微降，</w:t>
            </w:r>
            <w:r>
              <w:rPr>
                <w:rFonts w:hint="eastAsia"/>
                <w:lang w:val="en-US"/>
              </w:rPr>
              <w:t>因新开店</w:t>
            </w:r>
            <w:r w:rsidR="002E61C5">
              <w:rPr>
                <w:rFonts w:hint="eastAsia"/>
                <w:lang w:val="en-US"/>
              </w:rPr>
              <w:t>数量</w:t>
            </w:r>
            <w:r>
              <w:rPr>
                <w:rFonts w:hint="eastAsia"/>
                <w:lang w:val="en-US"/>
              </w:rPr>
              <w:t>减少，整体</w:t>
            </w:r>
            <w:r>
              <w:t>闭店率</w:t>
            </w:r>
            <w:r>
              <w:rPr>
                <w:rFonts w:hint="eastAsia"/>
                <w:lang w:val="en-US"/>
              </w:rPr>
              <w:t>会有小幅上升</w:t>
            </w:r>
            <w:r>
              <w:t>。</w:t>
            </w:r>
          </w:p>
          <w:p w14:paraId="1C3F2BBE" w14:textId="77777777" w:rsidR="001D3071" w:rsidRDefault="001D3071">
            <w:pPr>
              <w:spacing w:beforeLines="20" w:before="48" w:afterLines="20" w:after="48"/>
              <w:jc w:val="both"/>
            </w:pPr>
          </w:p>
          <w:p w14:paraId="3E7DD278" w14:textId="77777777" w:rsidR="001D3071" w:rsidRDefault="00000000">
            <w:pPr>
              <w:pStyle w:val="TOC2"/>
              <w:spacing w:beforeLines="20" w:before="48" w:afterLines="20" w:after="48"/>
              <w:rPr>
                <w:b/>
                <w:bCs/>
              </w:rPr>
            </w:pPr>
            <w:r>
              <w:rPr>
                <w:rFonts w:hint="eastAsia"/>
                <w:b/>
                <w:bCs/>
              </w:rPr>
              <w:t>4、</w:t>
            </w:r>
            <w:r>
              <w:rPr>
                <w:b/>
                <w:bCs/>
              </w:rPr>
              <w:t>上半年单店收入的情况如何？不同地区单店收入的差异结构是否有变化？</w:t>
            </w:r>
            <w:r>
              <w:rPr>
                <w:rFonts w:hint="eastAsia"/>
                <w:b/>
                <w:bCs/>
              </w:rPr>
              <w:t>公司是否可以预计判断单店收入下降的底线为何？</w:t>
            </w:r>
          </w:p>
          <w:p w14:paraId="7C001324" w14:textId="77777777" w:rsidR="001D3071" w:rsidRDefault="00000000">
            <w:pPr>
              <w:pStyle w:val="TOC2"/>
              <w:spacing w:beforeLines="20" w:before="48" w:afterLines="20" w:after="48"/>
            </w:pPr>
            <w:r>
              <w:rPr>
                <w:rFonts w:hint="eastAsia"/>
                <w:b/>
                <w:bCs/>
              </w:rPr>
              <w:t>回复</w:t>
            </w:r>
            <w:r>
              <w:rPr>
                <w:b/>
                <w:bCs/>
              </w:rPr>
              <w:t>：</w:t>
            </w:r>
            <w:r>
              <w:rPr>
                <w:rFonts w:hint="eastAsia"/>
              </w:rPr>
              <w:t>（1）</w:t>
            </w:r>
            <w:r>
              <w:t>一季度受到去年同期低基数的影响，单店收入表现良好，但二季度单店收入出现缺口扩大的趋势</w:t>
            </w:r>
            <w:r>
              <w:rPr>
                <w:rFonts w:hint="eastAsia"/>
              </w:rPr>
              <w:t>。</w:t>
            </w:r>
            <w:r>
              <w:t>目前，单店收入的缺口</w:t>
            </w:r>
            <w:r>
              <w:rPr>
                <w:rFonts w:hint="eastAsia"/>
              </w:rPr>
              <w:t>已呈现</w:t>
            </w:r>
            <w:r>
              <w:t>企稳</w:t>
            </w:r>
            <w:r>
              <w:rPr>
                <w:rFonts w:hint="eastAsia"/>
              </w:rPr>
              <w:t>收窄</w:t>
            </w:r>
            <w:r>
              <w:t>态势</w:t>
            </w:r>
            <w:r>
              <w:rPr>
                <w:rFonts w:hint="eastAsia"/>
              </w:rPr>
              <w:t>。</w:t>
            </w:r>
          </w:p>
          <w:p w14:paraId="29EB4C35" w14:textId="77777777" w:rsidR="001D3071" w:rsidRDefault="00000000">
            <w:pPr>
              <w:pStyle w:val="TOC2"/>
              <w:spacing w:beforeLines="20" w:before="48" w:afterLines="20" w:after="48"/>
              <w:ind w:firstLineChars="200" w:firstLine="440"/>
            </w:pPr>
            <w:r>
              <w:rPr>
                <w:rFonts w:hint="eastAsia"/>
              </w:rPr>
              <w:t>（2）上半年</w:t>
            </w:r>
            <w:r>
              <w:t>各区域单店收入缺口</w:t>
            </w:r>
            <w:r>
              <w:rPr>
                <w:rFonts w:hint="eastAsia"/>
              </w:rPr>
              <w:t>均</w:t>
            </w:r>
            <w:r>
              <w:t>在10%左右的浮动，区域间的结构性差异没有</w:t>
            </w:r>
            <w:r>
              <w:rPr>
                <w:rFonts w:hint="eastAsia"/>
              </w:rPr>
              <w:t>显著</w:t>
            </w:r>
            <w:r>
              <w:t>变化。</w:t>
            </w:r>
          </w:p>
          <w:p w14:paraId="42D7581C" w14:textId="61C6B5BD" w:rsidR="001D3071" w:rsidRDefault="00000000">
            <w:pPr>
              <w:pStyle w:val="TOC2"/>
              <w:spacing w:beforeLines="20" w:before="48" w:afterLines="20" w:after="48"/>
              <w:ind w:firstLineChars="200" w:firstLine="440"/>
            </w:pPr>
            <w:r>
              <w:rPr>
                <w:rFonts w:hint="eastAsia"/>
              </w:rPr>
              <w:t>（3）通过对比分析今年上半年和去年同期</w:t>
            </w:r>
            <w:r>
              <w:t>全国</w:t>
            </w:r>
            <w:r>
              <w:rPr>
                <w:rFonts w:hint="eastAsia"/>
              </w:rPr>
              <w:t>餐饮企业闭店数据及其他正餐餐饮业态的同店收入下降数据可以发现</w:t>
            </w:r>
            <w:r>
              <w:t>，</w:t>
            </w:r>
            <w:r>
              <w:rPr>
                <w:rFonts w:hint="eastAsia"/>
              </w:rPr>
              <w:t>公司</w:t>
            </w:r>
            <w:r>
              <w:t>在闭店数量和单店</w:t>
            </w:r>
            <w:r>
              <w:rPr>
                <w:rFonts w:hint="eastAsia"/>
              </w:rPr>
              <w:t>收入</w:t>
            </w:r>
            <w:r>
              <w:t>下滑幅度</w:t>
            </w:r>
            <w:r>
              <w:rPr>
                <w:rFonts w:hint="eastAsia"/>
              </w:rPr>
              <w:t>方面</w:t>
            </w:r>
            <w:r>
              <w:t>表现</w:t>
            </w:r>
            <w:r>
              <w:rPr>
                <w:rFonts w:hint="eastAsia"/>
              </w:rPr>
              <w:t>仍</w:t>
            </w:r>
            <w:r>
              <w:t>优于整体餐饮行业</w:t>
            </w:r>
            <w:r>
              <w:rPr>
                <w:rFonts w:hint="eastAsia"/>
              </w:rPr>
              <w:t>，体现了公司经营业态的商业模式极具韧性。一方面公司的产品具备刚需、低客单价、高品质的健康主食属性，能够满足居民的日常刚性需求。另一方面，公司坚持单店加盟模式，</w:t>
            </w:r>
            <w:r w:rsidR="009D7714" w:rsidRPr="009D7714">
              <w:rPr>
                <w:rFonts w:hint="eastAsia"/>
              </w:rPr>
              <w:t>加盟商既是门店经营者，也是劳动者。加盟商对于门店营业额的预期也会随市场环境变化及时调整。</w:t>
            </w:r>
            <w:r>
              <w:rPr>
                <w:rFonts w:hint="eastAsia"/>
              </w:rPr>
              <w:t>因此闭店情况不会发生显著变化</w:t>
            </w:r>
            <w:r>
              <w:t>。</w:t>
            </w:r>
            <w:r>
              <w:rPr>
                <w:rFonts w:hint="eastAsia"/>
              </w:rPr>
              <w:t>以上两点构成了公司在门店业务方面销售收入的底线支撑。</w:t>
            </w:r>
          </w:p>
          <w:p w14:paraId="5A5BEF41" w14:textId="77777777" w:rsidR="001D3071" w:rsidRDefault="001D3071">
            <w:pPr>
              <w:spacing w:before="20" w:after="20"/>
              <w:jc w:val="both"/>
            </w:pPr>
          </w:p>
          <w:p w14:paraId="13F67C97" w14:textId="77777777" w:rsidR="001D3071" w:rsidRDefault="00000000">
            <w:pPr>
              <w:pStyle w:val="TOC2"/>
              <w:spacing w:beforeLines="20" w:before="48" w:afterLines="20" w:after="48"/>
              <w:rPr>
                <w:b/>
                <w:bCs/>
              </w:rPr>
            </w:pPr>
            <w:r>
              <w:rPr>
                <w:rFonts w:hint="eastAsia"/>
                <w:b/>
                <w:bCs/>
              </w:rPr>
              <w:t>5、</w:t>
            </w:r>
            <w:r>
              <w:rPr>
                <w:b/>
                <w:bCs/>
              </w:rPr>
              <w:t>公司二季度</w:t>
            </w:r>
            <w:r>
              <w:rPr>
                <w:rFonts w:hint="eastAsia"/>
                <w:b/>
                <w:bCs/>
              </w:rPr>
              <w:t>以来</w:t>
            </w:r>
            <w:r>
              <w:rPr>
                <w:b/>
                <w:bCs/>
              </w:rPr>
              <w:t>采取了哪些门店优化措施？这些措施对业绩的影响如何？</w:t>
            </w:r>
          </w:p>
          <w:p w14:paraId="72165683" w14:textId="22082668" w:rsidR="001D3071" w:rsidRDefault="00000000">
            <w:pPr>
              <w:pStyle w:val="TOC2"/>
              <w:spacing w:beforeLines="20" w:before="48" w:afterLines="20" w:after="48"/>
            </w:pPr>
            <w:r>
              <w:rPr>
                <w:rFonts w:hint="eastAsia"/>
                <w:b/>
                <w:bCs/>
              </w:rPr>
              <w:t>回复</w:t>
            </w:r>
            <w:r>
              <w:rPr>
                <w:b/>
                <w:bCs/>
              </w:rPr>
              <w:t>：</w:t>
            </w:r>
            <w:r>
              <w:t>二季度以来，公司通过提升产品品质</w:t>
            </w:r>
            <w:r>
              <w:rPr>
                <w:rFonts w:hint="eastAsia"/>
              </w:rPr>
              <w:t>和消费体验</w:t>
            </w:r>
            <w:r>
              <w:t>而非价格调整来吸引客流</w:t>
            </w:r>
            <w:r>
              <w:rPr>
                <w:rFonts w:hint="eastAsia"/>
              </w:rPr>
              <w:t>，从门店产品结构、产品质量、门店布局、门店形象和门店广告营销方面采取了一系列措施。在市场竞争加剧及有效需求不足的情况下</w:t>
            </w:r>
            <w:r>
              <w:t>，公司</w:t>
            </w:r>
            <w:r>
              <w:rPr>
                <w:rFonts w:hint="eastAsia"/>
              </w:rPr>
              <w:t>坚定选择回归餐饮经营的本质，</w:t>
            </w:r>
            <w:r>
              <w:t>坚持“鲜食好吃”战略，保持产品的高品质。尽管难以量化每项措施的具体效果，但目前单店收入的下滑已</w:t>
            </w:r>
            <w:r w:rsidR="009D7714" w:rsidRPr="009D7714">
              <w:rPr>
                <w:rFonts w:hint="eastAsia"/>
              </w:rPr>
              <w:t>呈现企稳收窄态势</w:t>
            </w:r>
            <w:r>
              <w:t>。公司希望通过这些举措和门店覆盖率的提升，实现单店收入的企稳和回升。</w:t>
            </w:r>
          </w:p>
          <w:p w14:paraId="5E01DF7E" w14:textId="77777777" w:rsidR="001D3071" w:rsidRDefault="001D3071">
            <w:pPr>
              <w:spacing w:beforeLines="20" w:before="48" w:afterLines="20" w:after="48"/>
              <w:jc w:val="both"/>
            </w:pPr>
          </w:p>
          <w:p w14:paraId="08E7C104" w14:textId="77777777" w:rsidR="001D3071" w:rsidRDefault="00000000">
            <w:pPr>
              <w:spacing w:beforeLines="20" w:before="48" w:afterLines="20" w:after="48"/>
              <w:jc w:val="both"/>
              <w:rPr>
                <w:b/>
                <w:bCs/>
              </w:rPr>
            </w:pPr>
            <w:r>
              <w:rPr>
                <w:rFonts w:hint="eastAsia"/>
                <w:b/>
                <w:bCs/>
              </w:rPr>
              <w:t>6、公司华东区域上半年新并购的“蒸全味”品牌门店对公司</w:t>
            </w:r>
            <w:r>
              <w:rPr>
                <w:b/>
                <w:bCs/>
              </w:rPr>
              <w:t>单店</w:t>
            </w:r>
            <w:r>
              <w:rPr>
                <w:rFonts w:hint="eastAsia"/>
                <w:b/>
                <w:bCs/>
              </w:rPr>
              <w:t>收入</w:t>
            </w:r>
            <w:r>
              <w:rPr>
                <w:b/>
                <w:bCs/>
              </w:rPr>
              <w:t>贡献与</w:t>
            </w:r>
            <w:r>
              <w:rPr>
                <w:rFonts w:hint="eastAsia"/>
                <w:b/>
                <w:bCs/>
              </w:rPr>
              <w:t>其他巴比</w:t>
            </w:r>
            <w:r>
              <w:rPr>
                <w:b/>
                <w:bCs/>
              </w:rPr>
              <w:t>门店相比大概是</w:t>
            </w:r>
            <w:r>
              <w:rPr>
                <w:rFonts w:hint="eastAsia"/>
                <w:b/>
                <w:bCs/>
              </w:rPr>
              <w:t>怎样的水平</w:t>
            </w:r>
            <w:r>
              <w:rPr>
                <w:b/>
                <w:bCs/>
              </w:rPr>
              <w:t>？</w:t>
            </w:r>
            <w:r>
              <w:rPr>
                <w:rFonts w:hint="eastAsia"/>
                <w:b/>
                <w:bCs/>
              </w:rPr>
              <w:t>对南京工厂的产能利用率水平提升有何影响？</w:t>
            </w:r>
          </w:p>
          <w:p w14:paraId="3DE45A92" w14:textId="2DB620ED" w:rsidR="001D3071" w:rsidRDefault="00000000">
            <w:pPr>
              <w:spacing w:beforeLines="20" w:before="48" w:afterLines="20" w:after="48"/>
              <w:jc w:val="both"/>
            </w:pPr>
            <w:r>
              <w:rPr>
                <w:rFonts w:hint="eastAsia"/>
                <w:b/>
                <w:bCs/>
              </w:rPr>
              <w:t>回复</w:t>
            </w:r>
            <w:r>
              <w:rPr>
                <w:b/>
                <w:bCs/>
              </w:rPr>
              <w:t>：</w:t>
            </w:r>
            <w:r>
              <w:rPr>
                <w:rFonts w:hint="eastAsia"/>
              </w:rPr>
              <w:t>（1）蒸全味品牌</w:t>
            </w:r>
            <w:r>
              <w:t>门店单店</w:t>
            </w:r>
            <w:r>
              <w:rPr>
                <w:rFonts w:hint="eastAsia"/>
              </w:rPr>
              <w:t>收入</w:t>
            </w:r>
            <w:r>
              <w:t>贡献</w:t>
            </w:r>
            <w:r>
              <w:rPr>
                <w:rFonts w:hint="eastAsia"/>
              </w:rPr>
              <w:t>类似</w:t>
            </w:r>
            <w:r>
              <w:t>华南的</w:t>
            </w:r>
            <w:r>
              <w:rPr>
                <w:rFonts w:hint="eastAsia"/>
              </w:rPr>
              <w:t>巴比</w:t>
            </w:r>
            <w:r>
              <w:t>品牌</w:t>
            </w:r>
            <w:r>
              <w:rPr>
                <w:rFonts w:hint="eastAsia"/>
              </w:rPr>
              <w:t>门店，未达到华东巴比门店单店收入水平</w:t>
            </w:r>
            <w:r>
              <w:t>。</w:t>
            </w:r>
            <w:r>
              <w:rPr>
                <w:rFonts w:hint="eastAsia"/>
              </w:rPr>
              <w:t>（2）蒸全味目前对南京工厂</w:t>
            </w:r>
            <w:r>
              <w:t>现有</w:t>
            </w:r>
            <w:r>
              <w:rPr>
                <w:rFonts w:hint="eastAsia"/>
                <w:lang w:val="en-US"/>
              </w:rPr>
              <w:t>收入</w:t>
            </w:r>
            <w:r>
              <w:t>贡献</w:t>
            </w:r>
            <w:r>
              <w:rPr>
                <w:rFonts w:hint="eastAsia"/>
              </w:rPr>
              <w:t>约为</w:t>
            </w:r>
            <w:r>
              <w:t>10%。</w:t>
            </w:r>
          </w:p>
          <w:p w14:paraId="7C735BA4" w14:textId="77777777" w:rsidR="001D3071" w:rsidRDefault="001D3071">
            <w:pPr>
              <w:spacing w:beforeLines="20" w:before="48" w:afterLines="20" w:after="48"/>
              <w:jc w:val="both"/>
            </w:pPr>
          </w:p>
          <w:p w14:paraId="708FA327" w14:textId="77777777" w:rsidR="001D3071" w:rsidRDefault="00000000">
            <w:pPr>
              <w:pStyle w:val="TOC2"/>
              <w:spacing w:before="20" w:after="20"/>
              <w:rPr>
                <w:b/>
                <w:bCs/>
              </w:rPr>
            </w:pPr>
            <w:r>
              <w:rPr>
                <w:rFonts w:hint="eastAsia"/>
                <w:b/>
                <w:bCs/>
              </w:rPr>
              <w:t>7、我们看到公司上半年在团餐业务方面保持了较好的增长，营业收入增长同比超10%，请公司拆分介绍下</w:t>
            </w:r>
            <w:r>
              <w:rPr>
                <w:b/>
                <w:bCs/>
              </w:rPr>
              <w:t>传统渠道和新渠道的业务增长情况如何？下半年展望如何？</w:t>
            </w:r>
          </w:p>
          <w:p w14:paraId="517303AE" w14:textId="77777777" w:rsidR="001D3071" w:rsidRDefault="00000000">
            <w:pPr>
              <w:pStyle w:val="TOC2"/>
              <w:spacing w:before="20" w:after="20"/>
            </w:pPr>
            <w:r>
              <w:rPr>
                <w:rFonts w:hint="eastAsia"/>
                <w:b/>
                <w:bCs/>
              </w:rPr>
              <w:t>回复</w:t>
            </w:r>
            <w:r>
              <w:rPr>
                <w:b/>
                <w:bCs/>
              </w:rPr>
              <w:t>：</w:t>
            </w:r>
            <w:r>
              <w:rPr>
                <w:rFonts w:hint="eastAsia"/>
              </w:rPr>
              <w:t>上半年</w:t>
            </w:r>
            <w:r>
              <w:t>新渠道</w:t>
            </w:r>
            <w:r>
              <w:rPr>
                <w:rFonts w:hint="eastAsia"/>
              </w:rPr>
              <w:t>业务仍</w:t>
            </w:r>
            <w:r>
              <w:t>保持20%至30%以上的增速，传统渠道二季度</w:t>
            </w:r>
            <w:r>
              <w:rPr>
                <w:rFonts w:hint="eastAsia"/>
              </w:rPr>
              <w:t>存在</w:t>
            </w:r>
            <w:r>
              <w:t>小个位数</w:t>
            </w:r>
            <w:r>
              <w:rPr>
                <w:rFonts w:hint="eastAsia"/>
              </w:rPr>
              <w:t>同比</w:t>
            </w:r>
            <w:r>
              <w:t>下降，</w:t>
            </w:r>
            <w:r>
              <w:rPr>
                <w:rFonts w:hint="eastAsia"/>
              </w:rPr>
              <w:t>公司判断</w:t>
            </w:r>
            <w:r>
              <w:t>主要</w:t>
            </w:r>
            <w:r>
              <w:rPr>
                <w:rFonts w:hint="eastAsia"/>
              </w:rPr>
              <w:t>因为</w:t>
            </w:r>
            <w:r>
              <w:t>下游需求</w:t>
            </w:r>
            <w:r>
              <w:rPr>
                <w:rFonts w:hint="eastAsia"/>
              </w:rPr>
              <w:t>减少所致</w:t>
            </w:r>
            <w:r>
              <w:t>。</w:t>
            </w:r>
            <w:r>
              <w:rPr>
                <w:rFonts w:hint="eastAsia"/>
              </w:rPr>
              <w:t>目前公司观察到终端客户需求已有小幅回升趋势，</w:t>
            </w:r>
            <w:r>
              <w:t>预计全年</w:t>
            </w:r>
            <w:r>
              <w:rPr>
                <w:rFonts w:hint="eastAsia"/>
              </w:rPr>
              <w:t>大客户和零售渠道业务增速仍保持稳健。</w:t>
            </w:r>
          </w:p>
          <w:p w14:paraId="4461156F" w14:textId="77777777" w:rsidR="001D3071" w:rsidRDefault="001D3071">
            <w:pPr>
              <w:autoSpaceDE/>
              <w:autoSpaceDN/>
              <w:spacing w:beforeLines="50" w:before="120" w:afterLines="30" w:after="72"/>
              <w:jc w:val="both"/>
            </w:pPr>
          </w:p>
          <w:p w14:paraId="5B801A64" w14:textId="77777777" w:rsidR="001D3071" w:rsidRDefault="00000000">
            <w:pPr>
              <w:pStyle w:val="TOC2"/>
              <w:spacing w:before="20" w:after="20"/>
              <w:rPr>
                <w:b/>
                <w:bCs/>
              </w:rPr>
            </w:pPr>
            <w:r>
              <w:rPr>
                <w:rFonts w:hint="eastAsia"/>
                <w:b/>
                <w:bCs/>
              </w:rPr>
              <w:lastRenderedPageBreak/>
              <w:t>8、</w:t>
            </w:r>
            <w:r>
              <w:rPr>
                <w:b/>
                <w:bCs/>
              </w:rPr>
              <w:t>团餐业务</w:t>
            </w:r>
            <w:r>
              <w:rPr>
                <w:rFonts w:hint="eastAsia"/>
                <w:b/>
                <w:bCs/>
              </w:rPr>
              <w:t>在华东以外区域的占比和变化情况如何？</w:t>
            </w:r>
            <w:r>
              <w:rPr>
                <w:b/>
                <w:bCs/>
              </w:rPr>
              <w:t xml:space="preserve">在不同区域的增长情况如何？ </w:t>
            </w:r>
          </w:p>
          <w:p w14:paraId="5C814AB7" w14:textId="77777777" w:rsidR="001D3071" w:rsidRDefault="00000000">
            <w:pPr>
              <w:pStyle w:val="TOC2"/>
              <w:spacing w:before="20" w:after="20"/>
            </w:pPr>
            <w:r>
              <w:rPr>
                <w:rFonts w:hint="eastAsia"/>
                <w:b/>
                <w:bCs/>
              </w:rPr>
              <w:t>回复</w:t>
            </w:r>
            <w:r>
              <w:rPr>
                <w:b/>
                <w:bCs/>
              </w:rPr>
              <w:t>：</w:t>
            </w:r>
            <w:r>
              <w:rPr>
                <w:rFonts w:hint="eastAsia"/>
              </w:rPr>
              <w:t>华东以外区域的团餐业务占比近年来持续提升，今年已从</w:t>
            </w:r>
            <w:r>
              <w:t>10%</w:t>
            </w:r>
            <w:r>
              <w:rPr>
                <w:rFonts w:hint="eastAsia"/>
              </w:rPr>
              <w:t>-</w:t>
            </w:r>
            <w:r>
              <w:t>15%提升至接近20%。华东区域</w:t>
            </w:r>
            <w:r>
              <w:rPr>
                <w:rFonts w:hint="eastAsia"/>
              </w:rPr>
              <w:t>团餐业务收入增速基本</w:t>
            </w:r>
            <w:r>
              <w:t>代表整体情况</w:t>
            </w:r>
            <w:r>
              <w:rPr>
                <w:rFonts w:hint="eastAsia"/>
              </w:rPr>
              <w:t>，</w:t>
            </w:r>
            <w:r>
              <w:t>其他区域由于基数较低过去两年一直保持高速增长的状态</w:t>
            </w:r>
            <w:r>
              <w:rPr>
                <w:rFonts w:hint="eastAsia"/>
              </w:rPr>
              <w:t>，今年以来</w:t>
            </w:r>
            <w:r>
              <w:t>这一趋势依然持续。</w:t>
            </w:r>
          </w:p>
          <w:p w14:paraId="671C26E5" w14:textId="77777777" w:rsidR="001D3071" w:rsidRDefault="001D3071">
            <w:pPr>
              <w:spacing w:before="20" w:after="20"/>
              <w:jc w:val="both"/>
            </w:pPr>
          </w:p>
          <w:p w14:paraId="3E0D05EB" w14:textId="77777777" w:rsidR="001D3071" w:rsidRDefault="00000000">
            <w:pPr>
              <w:pStyle w:val="TOC2"/>
              <w:spacing w:before="20" w:after="20"/>
              <w:rPr>
                <w:b/>
                <w:bCs/>
              </w:rPr>
            </w:pPr>
            <w:r>
              <w:rPr>
                <w:rFonts w:hint="eastAsia"/>
                <w:b/>
                <w:bCs/>
              </w:rPr>
              <w:t>9、据我们了解，今年以来整个大客户行业都存在价格竞争加剧的现象，想请问</w:t>
            </w:r>
            <w:r>
              <w:rPr>
                <w:b/>
                <w:bCs/>
              </w:rPr>
              <w:t>公司如何应对</w:t>
            </w:r>
            <w:r>
              <w:rPr>
                <w:rFonts w:hint="eastAsia"/>
                <w:b/>
                <w:bCs/>
              </w:rPr>
              <w:t>这种情况</w:t>
            </w:r>
            <w:r>
              <w:rPr>
                <w:b/>
                <w:bCs/>
              </w:rPr>
              <w:t>？</w:t>
            </w:r>
          </w:p>
          <w:p w14:paraId="14A8E356" w14:textId="77777777" w:rsidR="001D3071" w:rsidRDefault="00000000">
            <w:pPr>
              <w:pStyle w:val="TOC2"/>
              <w:spacing w:before="20" w:after="20"/>
            </w:pPr>
            <w:r>
              <w:rPr>
                <w:rFonts w:hint="eastAsia"/>
                <w:b/>
                <w:bCs/>
              </w:rPr>
              <w:t>回复</w:t>
            </w:r>
            <w:r>
              <w:rPr>
                <w:b/>
                <w:bCs/>
              </w:rPr>
              <w:t>：</w:t>
            </w:r>
            <w:r>
              <w:rPr>
                <w:rFonts w:hint="eastAsia"/>
              </w:rPr>
              <w:t>公司上半年</w:t>
            </w:r>
            <w:r>
              <w:t>大客户业务的主要挑战是客户端需求的下降，而非客户流失。公司</w:t>
            </w:r>
            <w:r>
              <w:rPr>
                <w:rFonts w:hint="eastAsia"/>
              </w:rPr>
              <w:t>历来不将</w:t>
            </w:r>
            <w:r>
              <w:t>低价竞争</w:t>
            </w:r>
            <w:r>
              <w:rPr>
                <w:rFonts w:hint="eastAsia"/>
              </w:rPr>
              <w:t>作为经营策略</w:t>
            </w:r>
            <w:r>
              <w:t>，而是坚持品质优先，通过贴近客户需求</w:t>
            </w:r>
            <w:r>
              <w:rPr>
                <w:rFonts w:hint="eastAsia"/>
              </w:rPr>
              <w:t>提供定制化产品和服务，实现</w:t>
            </w:r>
            <w:r>
              <w:t>差异化竞争策略</w:t>
            </w:r>
            <w:r>
              <w:rPr>
                <w:rFonts w:hint="eastAsia"/>
              </w:rPr>
              <w:t>。七月以来，公司大客户业务已回到正常的增长状态中。公司坚信，</w:t>
            </w:r>
            <w:r>
              <w:t>尽管市场竞争</w:t>
            </w:r>
            <w:r>
              <w:rPr>
                <w:rFonts w:hint="eastAsia"/>
              </w:rPr>
              <w:t>仍然激烈</w:t>
            </w:r>
            <w:r>
              <w:t>，</w:t>
            </w:r>
            <w:r>
              <w:rPr>
                <w:rFonts w:hint="eastAsia"/>
              </w:rPr>
              <w:t>公司坚持高品质的差异化竞争策略，可以保证公司在大客户业务领域行稳致远。</w:t>
            </w:r>
          </w:p>
          <w:p w14:paraId="2E26215A" w14:textId="77777777" w:rsidR="001D3071" w:rsidRDefault="001D3071">
            <w:pPr>
              <w:pStyle w:val="TOC2"/>
              <w:spacing w:before="20" w:after="20"/>
            </w:pPr>
          </w:p>
          <w:p w14:paraId="07DA3BA3" w14:textId="77777777" w:rsidR="001D3071" w:rsidRDefault="00000000">
            <w:pPr>
              <w:spacing w:before="20" w:after="20"/>
              <w:jc w:val="both"/>
              <w:rPr>
                <w:b/>
                <w:bCs/>
              </w:rPr>
            </w:pPr>
            <w:r>
              <w:rPr>
                <w:rFonts w:hint="eastAsia"/>
                <w:b/>
                <w:bCs/>
              </w:rPr>
              <w:t>10、我们看到公司上半年销售费用率和管理费用率有所下降，请具体介绍下原因？</w:t>
            </w:r>
          </w:p>
          <w:p w14:paraId="5A2E89B2" w14:textId="77777777" w:rsidR="001D3071" w:rsidRDefault="00000000">
            <w:pPr>
              <w:spacing w:before="20" w:after="20"/>
              <w:jc w:val="both"/>
            </w:pPr>
            <w:r>
              <w:rPr>
                <w:rFonts w:hint="eastAsia"/>
                <w:b/>
                <w:bCs/>
              </w:rPr>
              <w:t>回复</w:t>
            </w:r>
            <w:r>
              <w:rPr>
                <w:b/>
                <w:bCs/>
              </w:rPr>
              <w:t>：</w:t>
            </w:r>
            <w:r>
              <w:rPr>
                <w:rFonts w:hint="eastAsia"/>
              </w:rPr>
              <w:t>（1）</w:t>
            </w:r>
            <w:r>
              <w:t>销售费用</w:t>
            </w:r>
            <w:r>
              <w:rPr>
                <w:rFonts w:hint="eastAsia"/>
              </w:rPr>
              <w:t>率</w:t>
            </w:r>
            <w:r>
              <w:t>下降主要</w:t>
            </w:r>
            <w:r>
              <w:rPr>
                <w:rFonts w:hint="eastAsia"/>
              </w:rPr>
              <w:t>因为</w:t>
            </w:r>
            <w:r>
              <w:t>市场投放</w:t>
            </w:r>
            <w:r>
              <w:rPr>
                <w:rFonts w:hint="eastAsia"/>
              </w:rPr>
              <w:t>政策收窄、</w:t>
            </w:r>
            <w:r>
              <w:t>开店数量减少导致门店补贴和装修费用下降</w:t>
            </w:r>
            <w:r>
              <w:rPr>
                <w:rFonts w:hint="eastAsia"/>
              </w:rPr>
              <w:t>，以及存货周转效率提高从而</w:t>
            </w:r>
            <w:r>
              <w:t>外租仓储费用</w:t>
            </w:r>
            <w:r>
              <w:rPr>
                <w:rFonts w:hint="eastAsia"/>
              </w:rPr>
              <w:t>支出减少等因素</w:t>
            </w:r>
            <w:r>
              <w:t>。</w:t>
            </w:r>
          </w:p>
          <w:p w14:paraId="46655552" w14:textId="77777777" w:rsidR="001D3071" w:rsidRDefault="00000000">
            <w:pPr>
              <w:pStyle w:val="TOC2"/>
              <w:spacing w:beforeLines="20" w:before="48" w:afterLines="20" w:after="48"/>
              <w:ind w:firstLineChars="200" w:firstLine="440"/>
            </w:pPr>
            <w:r>
              <w:rPr>
                <w:rFonts w:hint="eastAsia"/>
              </w:rPr>
              <w:t>（2）管理费用率下降主要因为股份支付费用减少，公司根据实际经营情况重新调整股权激励可行权数量的最佳估计，因此冲销了部分前期计提费用。</w:t>
            </w:r>
          </w:p>
          <w:p w14:paraId="3886F498" w14:textId="77777777" w:rsidR="001D3071" w:rsidRDefault="001D3071">
            <w:pPr>
              <w:spacing w:before="20" w:after="20"/>
              <w:jc w:val="both"/>
            </w:pPr>
          </w:p>
          <w:p w14:paraId="2C6241D6" w14:textId="77777777" w:rsidR="001D3071" w:rsidRDefault="00000000">
            <w:pPr>
              <w:pStyle w:val="TOC2"/>
              <w:spacing w:before="20" w:after="20"/>
              <w:rPr>
                <w:b/>
                <w:bCs/>
              </w:rPr>
            </w:pPr>
            <w:r>
              <w:rPr>
                <w:rFonts w:hint="eastAsia"/>
                <w:b/>
                <w:bCs/>
              </w:rPr>
              <w:t>11、</w:t>
            </w:r>
            <w:r>
              <w:rPr>
                <w:b/>
                <w:bCs/>
              </w:rPr>
              <w:t>公司</w:t>
            </w:r>
            <w:r>
              <w:rPr>
                <w:rFonts w:hint="eastAsia"/>
                <w:b/>
                <w:bCs/>
              </w:rPr>
              <w:t>第</w:t>
            </w:r>
            <w:r>
              <w:rPr>
                <w:b/>
                <w:bCs/>
              </w:rPr>
              <w:t>二季度毛利率小幅下滑的原因是什么？</w:t>
            </w:r>
          </w:p>
          <w:p w14:paraId="508487AE" w14:textId="77777777" w:rsidR="001D3071" w:rsidRDefault="00000000">
            <w:pPr>
              <w:pStyle w:val="TOC2"/>
              <w:spacing w:before="20" w:after="20"/>
            </w:pPr>
            <w:r>
              <w:rPr>
                <w:rFonts w:hint="eastAsia"/>
                <w:b/>
                <w:bCs/>
              </w:rPr>
              <w:t>回复</w:t>
            </w:r>
            <w:r>
              <w:rPr>
                <w:b/>
                <w:bCs/>
              </w:rPr>
              <w:t>：</w:t>
            </w:r>
            <w:r>
              <w:rPr>
                <w:rFonts w:hint="eastAsia"/>
              </w:rPr>
              <w:t>公司第</w:t>
            </w:r>
            <w:r>
              <w:t>二季度毛利率</w:t>
            </w:r>
            <w:r>
              <w:rPr>
                <w:rFonts w:hint="eastAsia"/>
              </w:rPr>
              <w:t>同比下降</w:t>
            </w:r>
            <w:r>
              <w:t>0.3个百分点，</w:t>
            </w:r>
            <w:r>
              <w:rPr>
                <w:rFonts w:hint="eastAsia"/>
              </w:rPr>
              <w:t>一是因为</w:t>
            </w:r>
            <w:r>
              <w:t>6月份以来猪肉价格上涨对冲了部分原材料成本优势</w:t>
            </w:r>
            <w:r>
              <w:rPr>
                <w:rFonts w:hint="eastAsia"/>
              </w:rPr>
              <w:t>，二是</w:t>
            </w:r>
            <w:r>
              <w:t>收入的</w:t>
            </w:r>
            <w:r>
              <w:rPr>
                <w:rFonts w:hint="eastAsia"/>
              </w:rPr>
              <w:t>同比</w:t>
            </w:r>
            <w:r>
              <w:t>小幅</w:t>
            </w:r>
            <w:r>
              <w:rPr>
                <w:rFonts w:hint="eastAsia"/>
              </w:rPr>
              <w:t>下降</w:t>
            </w:r>
            <w:r>
              <w:t>影响了</w:t>
            </w:r>
            <w:r>
              <w:rPr>
                <w:rFonts w:hint="eastAsia"/>
              </w:rPr>
              <w:t>规模效应，三是因为</w:t>
            </w:r>
            <w:r>
              <w:t>东莞工厂的</w:t>
            </w:r>
            <w:r>
              <w:rPr>
                <w:rFonts w:hint="eastAsia"/>
              </w:rPr>
              <w:t>投产</w:t>
            </w:r>
            <w:r>
              <w:t>导致折旧费用增加。</w:t>
            </w:r>
          </w:p>
          <w:p w14:paraId="07560F5B" w14:textId="77777777" w:rsidR="001D3071" w:rsidRDefault="001D3071">
            <w:pPr>
              <w:spacing w:before="20" w:after="20"/>
              <w:jc w:val="both"/>
            </w:pPr>
          </w:p>
          <w:p w14:paraId="0B97D42D" w14:textId="77777777" w:rsidR="001D3071" w:rsidRDefault="00000000">
            <w:pPr>
              <w:pStyle w:val="TOC2"/>
              <w:spacing w:before="20" w:after="20"/>
              <w:rPr>
                <w:b/>
                <w:bCs/>
              </w:rPr>
            </w:pPr>
            <w:r>
              <w:rPr>
                <w:rFonts w:hint="eastAsia"/>
                <w:b/>
                <w:bCs/>
              </w:rPr>
              <w:t>12、</w:t>
            </w:r>
            <w:r>
              <w:rPr>
                <w:b/>
                <w:bCs/>
              </w:rPr>
              <w:t>公司各工厂的产能利用率和盈利能力如何？</w:t>
            </w:r>
          </w:p>
          <w:p w14:paraId="5AB38C13" w14:textId="77777777" w:rsidR="001D3071" w:rsidRDefault="00000000">
            <w:pPr>
              <w:pStyle w:val="TOC2"/>
              <w:spacing w:before="20" w:after="20"/>
            </w:pPr>
            <w:r>
              <w:rPr>
                <w:rFonts w:hint="eastAsia"/>
                <w:b/>
                <w:bCs/>
              </w:rPr>
              <w:t>回复</w:t>
            </w:r>
            <w:r>
              <w:rPr>
                <w:b/>
                <w:bCs/>
              </w:rPr>
              <w:t>：</w:t>
            </w:r>
            <w:r>
              <w:rPr>
                <w:rFonts w:hint="eastAsia"/>
              </w:rPr>
              <w:t>（1）在产能利用率方面，</w:t>
            </w:r>
            <w:r>
              <w:t>上海工厂的产能利用率接近90%</w:t>
            </w:r>
            <w:r>
              <w:rPr>
                <w:rFonts w:hint="eastAsia"/>
              </w:rPr>
              <w:t>；</w:t>
            </w:r>
            <w:r>
              <w:t>南京工厂的产能利用率在30%到40%之间</w:t>
            </w:r>
            <w:r>
              <w:rPr>
                <w:rFonts w:hint="eastAsia"/>
              </w:rPr>
              <w:t>；</w:t>
            </w:r>
            <w:r>
              <w:t>武汉</w:t>
            </w:r>
            <w:r>
              <w:rPr>
                <w:rFonts w:hint="eastAsia"/>
              </w:rPr>
              <w:t>目前租赁使用的小型</w:t>
            </w:r>
            <w:r>
              <w:t>工厂满负荷运转，急需</w:t>
            </w:r>
            <w:r>
              <w:rPr>
                <w:rFonts w:hint="eastAsia"/>
              </w:rPr>
              <w:t>在建产能</w:t>
            </w:r>
            <w:r>
              <w:t>的</w:t>
            </w:r>
            <w:r>
              <w:rPr>
                <w:rFonts w:hint="eastAsia"/>
              </w:rPr>
              <w:t>年底投放；</w:t>
            </w:r>
            <w:r>
              <w:t>东莞工厂的产能利用率约为30%，天津工厂的产能利用率不到30%。</w:t>
            </w:r>
          </w:p>
          <w:p w14:paraId="3511AAEA" w14:textId="77777777" w:rsidR="001D3071" w:rsidRDefault="00000000">
            <w:pPr>
              <w:pStyle w:val="TOC2"/>
              <w:spacing w:beforeLines="20" w:before="48" w:afterLines="20" w:after="48"/>
              <w:ind w:firstLineChars="200" w:firstLine="440"/>
            </w:pPr>
            <w:r>
              <w:rPr>
                <w:rFonts w:hint="eastAsia"/>
              </w:rPr>
              <w:t>（2）在盈利能力方面，上海工厂、南京工厂的盈利能力都处于良性健康的水平，武汉目前租赁使用的小型</w:t>
            </w:r>
            <w:r>
              <w:t>工厂</w:t>
            </w:r>
            <w:r>
              <w:rPr>
                <w:rFonts w:hint="eastAsia"/>
              </w:rPr>
              <w:t>和上海工厂盈利能力基本相当，东莞工厂和天津工厂目前都处于盈亏平衡状态。</w:t>
            </w:r>
          </w:p>
          <w:p w14:paraId="01D6B013" w14:textId="77777777" w:rsidR="001D3071" w:rsidRDefault="001D3071">
            <w:pPr>
              <w:spacing w:before="20" w:after="20"/>
              <w:jc w:val="both"/>
            </w:pPr>
          </w:p>
          <w:p w14:paraId="242D6CF2" w14:textId="77777777" w:rsidR="001D3071" w:rsidRDefault="00000000">
            <w:pPr>
              <w:pStyle w:val="TOC2"/>
              <w:spacing w:before="20" w:after="20"/>
              <w:rPr>
                <w:b/>
                <w:bCs/>
              </w:rPr>
            </w:pPr>
            <w:r>
              <w:rPr>
                <w:rFonts w:hint="eastAsia"/>
                <w:b/>
                <w:bCs/>
              </w:rPr>
              <w:t>13、公司如何预判</w:t>
            </w:r>
            <w:r>
              <w:rPr>
                <w:b/>
                <w:bCs/>
              </w:rPr>
              <w:t>下半年原材料价格</w:t>
            </w:r>
            <w:r>
              <w:rPr>
                <w:rFonts w:hint="eastAsia"/>
                <w:b/>
                <w:bCs/>
              </w:rPr>
              <w:t>走势</w:t>
            </w:r>
            <w:r>
              <w:rPr>
                <w:b/>
                <w:bCs/>
              </w:rPr>
              <w:t>？</w:t>
            </w:r>
            <w:r>
              <w:rPr>
                <w:rFonts w:hint="eastAsia"/>
                <w:b/>
                <w:bCs/>
              </w:rPr>
              <w:t>公司在原材料锁价方面采取了哪些措施？</w:t>
            </w:r>
          </w:p>
          <w:p w14:paraId="7DB9418D" w14:textId="77777777" w:rsidR="001D3071" w:rsidRDefault="00000000">
            <w:pPr>
              <w:pStyle w:val="TOC2"/>
              <w:spacing w:before="20" w:after="20"/>
            </w:pPr>
            <w:r>
              <w:rPr>
                <w:rFonts w:hint="eastAsia"/>
                <w:b/>
                <w:bCs/>
              </w:rPr>
              <w:t>回复</w:t>
            </w:r>
            <w:r>
              <w:rPr>
                <w:b/>
                <w:bCs/>
              </w:rPr>
              <w:t>：</w:t>
            </w:r>
            <w:r>
              <w:rPr>
                <w:rFonts w:hint="eastAsia"/>
              </w:rPr>
              <w:t>（1）公司</w:t>
            </w:r>
            <w:r>
              <w:t>上半年</w:t>
            </w:r>
            <w:r>
              <w:rPr>
                <w:rFonts w:hint="eastAsia"/>
              </w:rPr>
              <w:t>包括猪肉等</w:t>
            </w:r>
            <w:r>
              <w:t>大部分原材料</w:t>
            </w:r>
            <w:r>
              <w:rPr>
                <w:rFonts w:hint="eastAsia"/>
              </w:rPr>
              <w:t>采购</w:t>
            </w:r>
            <w:r>
              <w:t>价格</w:t>
            </w:r>
            <w:r>
              <w:rPr>
                <w:rFonts w:hint="eastAsia"/>
              </w:rPr>
              <w:t>基本</w:t>
            </w:r>
            <w:r>
              <w:t>同比下降，但猪肉价格二季度末</w:t>
            </w:r>
            <w:r>
              <w:rPr>
                <w:rFonts w:hint="eastAsia"/>
              </w:rPr>
              <w:t>出现</w:t>
            </w:r>
            <w:r>
              <w:t>反弹，6月</w:t>
            </w:r>
            <w:r>
              <w:rPr>
                <w:rFonts w:hint="eastAsia"/>
              </w:rPr>
              <w:t>份</w:t>
            </w:r>
            <w:r>
              <w:t>采购价格</w:t>
            </w:r>
            <w:r>
              <w:rPr>
                <w:rFonts w:hint="eastAsia"/>
              </w:rPr>
              <w:t>已</w:t>
            </w:r>
            <w:r>
              <w:t>高于去年同期。若猪肉价格持续高位，</w:t>
            </w:r>
            <w:r>
              <w:rPr>
                <w:rFonts w:hint="eastAsia"/>
              </w:rPr>
              <w:t>公司</w:t>
            </w:r>
            <w:r>
              <w:t>下半年</w:t>
            </w:r>
            <w:r>
              <w:rPr>
                <w:rFonts w:hint="eastAsia"/>
              </w:rPr>
              <w:t>原材料</w:t>
            </w:r>
            <w:r>
              <w:t>成本可能增加，对毛利率有不利影响</w:t>
            </w:r>
            <w:r>
              <w:rPr>
                <w:rFonts w:hint="eastAsia"/>
              </w:rPr>
              <w:t>。但是综合其他的原辅材料以及猪肉价格高企的持续性情况来看，公司研判下半年整体原材料成本的压力仍然稳健。</w:t>
            </w:r>
          </w:p>
          <w:p w14:paraId="4714B38F" w14:textId="77777777" w:rsidR="001D3071" w:rsidRDefault="00000000">
            <w:pPr>
              <w:pStyle w:val="TOC2"/>
              <w:spacing w:beforeLines="20" w:before="48" w:afterLines="20" w:after="48"/>
              <w:ind w:firstLineChars="200" w:firstLine="440"/>
            </w:pPr>
            <w:r>
              <w:rPr>
                <w:rFonts w:hint="eastAsia"/>
              </w:rPr>
              <w:t>（2）公司猪肉原材料的滚动锁价周期约为2个月，粮油的锁价周</w:t>
            </w:r>
            <w:r>
              <w:rPr>
                <w:rFonts w:hint="eastAsia"/>
              </w:rPr>
              <w:lastRenderedPageBreak/>
              <w:t>期约为1个月。对于价格波动较大的原材料，如猪肉、食用油和面粉，公司采取锁价措施以确保成本稳定。其他工业化生产的原材料则通过年度采购订单确定价格。</w:t>
            </w:r>
          </w:p>
          <w:p w14:paraId="0039602D" w14:textId="77777777" w:rsidR="001D3071" w:rsidRDefault="001D3071"/>
          <w:p w14:paraId="342B4F0D" w14:textId="77777777" w:rsidR="001D3071" w:rsidRDefault="00000000">
            <w:pPr>
              <w:pStyle w:val="TOC2"/>
              <w:rPr>
                <w:b/>
                <w:bCs/>
              </w:rPr>
            </w:pPr>
            <w:r>
              <w:rPr>
                <w:rFonts w:hint="eastAsia"/>
                <w:b/>
                <w:bCs/>
              </w:rPr>
              <w:t>14、公司</w:t>
            </w:r>
            <w:r>
              <w:rPr>
                <w:b/>
                <w:bCs/>
              </w:rPr>
              <w:t>未来的资本开支和现金分红计划</w:t>
            </w:r>
            <w:r>
              <w:rPr>
                <w:rFonts w:hint="eastAsia"/>
                <w:b/>
                <w:bCs/>
              </w:rPr>
              <w:t>如何</w:t>
            </w:r>
            <w:r>
              <w:rPr>
                <w:b/>
                <w:bCs/>
              </w:rPr>
              <w:t>？</w:t>
            </w:r>
          </w:p>
          <w:p w14:paraId="7C84821B" w14:textId="68276927" w:rsidR="001D3071" w:rsidRDefault="00000000">
            <w:pPr>
              <w:pStyle w:val="TOC2"/>
            </w:pPr>
            <w:r>
              <w:rPr>
                <w:rFonts w:hint="eastAsia"/>
                <w:b/>
                <w:bCs/>
              </w:rPr>
              <w:t>回复</w:t>
            </w:r>
            <w:r>
              <w:rPr>
                <w:b/>
                <w:bCs/>
              </w:rPr>
              <w:t>：</w:t>
            </w:r>
            <w:r>
              <w:rPr>
                <w:rFonts w:hint="eastAsia"/>
              </w:rPr>
              <w:t>公司当前</w:t>
            </w:r>
            <w:r>
              <w:t>的资本开支主要集中在武汉工厂，预计将使用近一亿</w:t>
            </w:r>
            <w:r>
              <w:rPr>
                <w:rFonts w:hint="eastAsia"/>
              </w:rPr>
              <w:t>元</w:t>
            </w:r>
            <w:r>
              <w:t>募集资金，</w:t>
            </w:r>
            <w:r>
              <w:rPr>
                <w:rFonts w:hint="eastAsia"/>
              </w:rPr>
              <w:t>预计今年</w:t>
            </w:r>
            <w:r>
              <w:t>年底</w:t>
            </w:r>
            <w:r>
              <w:rPr>
                <w:rFonts w:hint="eastAsia"/>
              </w:rPr>
              <w:t>可以投产</w:t>
            </w:r>
            <w:r>
              <w:t>。</w:t>
            </w:r>
            <w:r>
              <w:rPr>
                <w:rFonts w:hint="eastAsia"/>
              </w:rPr>
              <w:t>上海松江二厂的建设仍按期推进中，整体资本性开支预计约为两亿元，预计</w:t>
            </w:r>
            <w:r>
              <w:t>2026年上半年投放</w:t>
            </w:r>
            <w:r>
              <w:rPr>
                <w:rFonts w:hint="eastAsia"/>
              </w:rPr>
              <w:t>产能。除此之前，公司短期内</w:t>
            </w:r>
            <w:r>
              <w:t>没有新增产能计划，现金流</w:t>
            </w:r>
            <w:r>
              <w:rPr>
                <w:rFonts w:hint="eastAsia"/>
              </w:rPr>
              <w:t>仍然</w:t>
            </w:r>
            <w:r>
              <w:t>充沛</w:t>
            </w:r>
            <w:r>
              <w:rPr>
                <w:rFonts w:hint="eastAsia"/>
              </w:rPr>
              <w:t>。因此公司一方面逐年提高分红率和分红总金额，另一方面</w:t>
            </w:r>
            <w:r w:rsidR="00D32890">
              <w:rPr>
                <w:rFonts w:hint="eastAsia"/>
              </w:rPr>
              <w:t>于</w:t>
            </w:r>
            <w:r>
              <w:rPr>
                <w:rFonts w:hint="eastAsia"/>
              </w:rPr>
              <w:t>上半年推出了上限</w:t>
            </w:r>
            <w:r>
              <w:t>2亿元的回购计划</w:t>
            </w:r>
            <w:r>
              <w:rPr>
                <w:rFonts w:hint="eastAsia"/>
              </w:rPr>
              <w:t>。未来</w:t>
            </w:r>
            <w:r>
              <w:t>公司有能力也有意愿进一步提高分红比例和分红金额</w:t>
            </w:r>
            <w:r>
              <w:rPr>
                <w:rFonts w:hint="eastAsia"/>
              </w:rPr>
              <w:t>。</w:t>
            </w:r>
          </w:p>
          <w:p w14:paraId="028052FA" w14:textId="77777777" w:rsidR="001D3071" w:rsidRDefault="001D3071">
            <w:pPr>
              <w:pStyle w:val="TOC2"/>
            </w:pPr>
          </w:p>
          <w:p w14:paraId="0FFBFC64" w14:textId="77777777" w:rsidR="001D3071" w:rsidRDefault="001D3071"/>
          <w:p w14:paraId="510E4B51" w14:textId="77777777" w:rsidR="001D3071" w:rsidRDefault="001D3071"/>
          <w:p w14:paraId="2C6C3BBE" w14:textId="77777777" w:rsidR="001D3071" w:rsidRDefault="001D3071">
            <w:pPr>
              <w:pStyle w:val="TOC2"/>
            </w:pPr>
          </w:p>
        </w:tc>
      </w:tr>
    </w:tbl>
    <w:p w14:paraId="661D2D07" w14:textId="77777777" w:rsidR="001D3071" w:rsidRDefault="001D3071"/>
    <w:p w14:paraId="08555783" w14:textId="77777777" w:rsidR="001D3071" w:rsidRDefault="001D3071">
      <w:pPr>
        <w:pStyle w:val="TOC2"/>
      </w:pPr>
    </w:p>
    <w:sectPr w:rsidR="001D3071">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17BE" w14:textId="77777777" w:rsidR="00672E92" w:rsidRDefault="00672E92">
      <w:r>
        <w:separator/>
      </w:r>
    </w:p>
  </w:endnote>
  <w:endnote w:type="continuationSeparator" w:id="0">
    <w:p w14:paraId="421DF469" w14:textId="77777777" w:rsidR="00672E92" w:rsidRDefault="0067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7BA9" w14:textId="77777777" w:rsidR="00672E92" w:rsidRDefault="00672E92">
      <w:r>
        <w:separator/>
      </w:r>
    </w:p>
  </w:footnote>
  <w:footnote w:type="continuationSeparator" w:id="0">
    <w:p w14:paraId="221C4656" w14:textId="77777777" w:rsidR="00672E92" w:rsidRDefault="0067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A89D" w14:textId="77777777" w:rsidR="001D3071" w:rsidRDefault="00000000">
    <w:pPr>
      <w:pStyle w:val="a5"/>
      <w:rPr>
        <w:sz w:val="20"/>
      </w:rPr>
    </w:pPr>
    <w:r>
      <w:rPr>
        <w:noProof/>
        <w:lang w:val="en-US" w:bidi="ar-SA"/>
      </w:rPr>
      <mc:AlternateContent>
        <mc:Choice Requires="wps">
          <w:drawing>
            <wp:anchor distT="0" distB="0" distL="114300" distR="114300" simplePos="0" relativeHeight="251659264" behindDoc="1" locked="0" layoutInCell="1" allowOverlap="1" wp14:anchorId="35038750" wp14:editId="636AEA97">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17B69D97" wp14:editId="53C87190">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21EA14C5" w14:textId="77777777" w:rsidR="001D3071" w:rsidRDefault="00000000">
                          <w:pPr>
                            <w:spacing w:line="225" w:lineRule="exact"/>
                            <w:ind w:left="20"/>
                            <w:rPr>
                              <w:rFonts w:ascii="Calibri"/>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89pt;margin-top:42.85pt;height:12pt;width:74.4pt;mso-position-horizontal-relative:page;mso-position-vertical-relative:page;z-index:-251656192;mso-width-relative:page;mso-height-relative:page;" filled="f" stroked="f" coordsize="21600,21600" o:gfxdata="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yhczYAAAACgEAAA8AAAAAAAAAAQAgAAAAIgAAAGRycy9kb3ducmV2&#10;LnhtbFBLAQIUABQAAAAIAIdO4kA3XHzvwwEAAH8DAAAOAAAAAAAAAAEAIAAAACcBAABkcnMvZTJv&#10;RG9jLnhtbFBLBQYAAAAABgAGAFkBAABcBQAAAAA=&#10;">
              <v:fill on="f" focussize="0,0"/>
              <v:stroke on="f"/>
              <v:imagedata o:title=""/>
              <o:lock v:ext="edit" aspectratio="f"/>
              <v:textbox inset="0mm,0mm,0mm,0mm">
                <w:txbxContent>
                  <w:p w14:paraId="21EA14C5">
                    <w:pPr>
                      <w:spacing w:line="225" w:lineRule="exact"/>
                      <w:ind w:left="20"/>
                      <w:rPr>
                        <w:rFonts w:ascii="Calibri"/>
                        <w:sz w:val="18"/>
                        <w:lang w:val="en-US"/>
                      </w:rPr>
                    </w:pPr>
                    <w:r>
                      <w:rPr>
                        <w:sz w:val="18"/>
                      </w:rPr>
                      <w:t>证券代码：</w:t>
                    </w:r>
                    <w:r>
                      <w:rPr>
                        <w:rFonts w:hint="eastAsia"/>
                        <w:sz w:val="18"/>
                        <w:lang w:val="en-US"/>
                      </w:rPr>
                      <w:t>605338</w:t>
                    </w:r>
                  </w:p>
                </w:txbxContent>
              </v:textbox>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4BB974A2" wp14:editId="24BC4418">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1E45DFB1" w14:textId="77777777" w:rsidR="001D3071" w:rsidRDefault="00000000">
                          <w:pPr>
                            <w:spacing w:line="220" w:lineRule="exact"/>
                            <w:ind w:left="20"/>
                            <w:rPr>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422.65pt;margin-top:42.85pt;height:11pt;width:83pt;mso-position-horizontal-relative:page;mso-position-vertical-relative:page;z-index:-251655168;mso-width-relative:page;mso-height-relative:page;" filled="f" stroked="f" coordsize="21600,21600" o:gfxdata="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qjLybYAAAACwEAAA8AAAAAAAAAAQAgAAAAIgAAAGRycy9kb3ducmV2&#10;LnhtbFBLAQIUABQAAAAIAIdO4kDo6BIWwwEAAIADAAAOAAAAAAAAAAEAIAAAACcBAABkcnMvZTJv&#10;RG9jLnhtbFBLBQYAAAAABgAGAFkBAABcBQAAAAA=&#10;">
              <v:fill on="f" focussize="0,0"/>
              <v:stroke on="f"/>
              <v:imagedata o:title=""/>
              <o:lock v:ext="edit" aspectratio="f"/>
              <v:textbox inset="0mm,0mm,0mm,0mm">
                <w:txbxContent>
                  <w:p w14:paraId="1E45DFB1">
                    <w:pPr>
                      <w:spacing w:line="220" w:lineRule="exact"/>
                      <w:ind w:left="20"/>
                      <w:rPr>
                        <w:sz w:val="18"/>
                        <w:lang w:val="en-US"/>
                      </w:rPr>
                    </w:pPr>
                    <w:r>
                      <w:rPr>
                        <w:sz w:val="18"/>
                      </w:rPr>
                      <w:t>证券简称：</w:t>
                    </w:r>
                    <w:r>
                      <w:rPr>
                        <w:rFonts w:hint="eastAsia"/>
                        <w:sz w:val="18"/>
                        <w:lang w:val="en-US"/>
                      </w:rPr>
                      <w:t>巴比食品</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I0YjBjZmQ1ZjE1YmU3OWJlNjYzNmEwMThiMWIwZDUifQ=="/>
  </w:docVars>
  <w:rsids>
    <w:rsidRoot w:val="00ED1AD7"/>
    <w:rsid w:val="00000701"/>
    <w:rsid w:val="00000B0E"/>
    <w:rsid w:val="00001B0F"/>
    <w:rsid w:val="00003632"/>
    <w:rsid w:val="0000365E"/>
    <w:rsid w:val="00005D06"/>
    <w:rsid w:val="00010C50"/>
    <w:rsid w:val="0001362C"/>
    <w:rsid w:val="00013735"/>
    <w:rsid w:val="0001433E"/>
    <w:rsid w:val="00014F4C"/>
    <w:rsid w:val="000163FA"/>
    <w:rsid w:val="00017C5A"/>
    <w:rsid w:val="00020324"/>
    <w:rsid w:val="00020487"/>
    <w:rsid w:val="0002323F"/>
    <w:rsid w:val="000237CE"/>
    <w:rsid w:val="000257CB"/>
    <w:rsid w:val="000259BB"/>
    <w:rsid w:val="00026104"/>
    <w:rsid w:val="0002692C"/>
    <w:rsid w:val="00027C6F"/>
    <w:rsid w:val="00030E6A"/>
    <w:rsid w:val="000319B9"/>
    <w:rsid w:val="000356DC"/>
    <w:rsid w:val="00043F8D"/>
    <w:rsid w:val="000443CB"/>
    <w:rsid w:val="00044630"/>
    <w:rsid w:val="00044B8F"/>
    <w:rsid w:val="000455ED"/>
    <w:rsid w:val="00047C8F"/>
    <w:rsid w:val="00050896"/>
    <w:rsid w:val="00050E2B"/>
    <w:rsid w:val="00052DCC"/>
    <w:rsid w:val="00053A46"/>
    <w:rsid w:val="00053B5E"/>
    <w:rsid w:val="00061888"/>
    <w:rsid w:val="0006285C"/>
    <w:rsid w:val="000629D4"/>
    <w:rsid w:val="00063BC8"/>
    <w:rsid w:val="000648B5"/>
    <w:rsid w:val="0006739F"/>
    <w:rsid w:val="0007061A"/>
    <w:rsid w:val="000714B8"/>
    <w:rsid w:val="00071CBC"/>
    <w:rsid w:val="00072762"/>
    <w:rsid w:val="000729E6"/>
    <w:rsid w:val="00075587"/>
    <w:rsid w:val="000769C2"/>
    <w:rsid w:val="0008349E"/>
    <w:rsid w:val="00083625"/>
    <w:rsid w:val="00083E86"/>
    <w:rsid w:val="00086283"/>
    <w:rsid w:val="00092617"/>
    <w:rsid w:val="00097366"/>
    <w:rsid w:val="00097CBF"/>
    <w:rsid w:val="000A10F7"/>
    <w:rsid w:val="000A179C"/>
    <w:rsid w:val="000A1B77"/>
    <w:rsid w:val="000A31DA"/>
    <w:rsid w:val="000A5F3D"/>
    <w:rsid w:val="000B109B"/>
    <w:rsid w:val="000B1BA0"/>
    <w:rsid w:val="000B5701"/>
    <w:rsid w:val="000B57E6"/>
    <w:rsid w:val="000B7C12"/>
    <w:rsid w:val="000C35B3"/>
    <w:rsid w:val="000C47A5"/>
    <w:rsid w:val="000C7156"/>
    <w:rsid w:val="000C7CB1"/>
    <w:rsid w:val="000D0839"/>
    <w:rsid w:val="000D11AB"/>
    <w:rsid w:val="000D371A"/>
    <w:rsid w:val="000D478A"/>
    <w:rsid w:val="000D6C40"/>
    <w:rsid w:val="000D7212"/>
    <w:rsid w:val="000E231A"/>
    <w:rsid w:val="000E2667"/>
    <w:rsid w:val="000E5940"/>
    <w:rsid w:val="000E60C9"/>
    <w:rsid w:val="000F3486"/>
    <w:rsid w:val="000F7017"/>
    <w:rsid w:val="000F768C"/>
    <w:rsid w:val="0010149C"/>
    <w:rsid w:val="00103FCC"/>
    <w:rsid w:val="00106F21"/>
    <w:rsid w:val="001100FD"/>
    <w:rsid w:val="0011132B"/>
    <w:rsid w:val="00112ED3"/>
    <w:rsid w:val="00113A98"/>
    <w:rsid w:val="00114282"/>
    <w:rsid w:val="001157EF"/>
    <w:rsid w:val="0011639D"/>
    <w:rsid w:val="00116D72"/>
    <w:rsid w:val="001248F5"/>
    <w:rsid w:val="00127BFE"/>
    <w:rsid w:val="001317B8"/>
    <w:rsid w:val="00133936"/>
    <w:rsid w:val="001377D4"/>
    <w:rsid w:val="0014065C"/>
    <w:rsid w:val="0014110B"/>
    <w:rsid w:val="00142635"/>
    <w:rsid w:val="00143086"/>
    <w:rsid w:val="00145C8C"/>
    <w:rsid w:val="00145FA6"/>
    <w:rsid w:val="0014707A"/>
    <w:rsid w:val="0015213C"/>
    <w:rsid w:val="00153BAF"/>
    <w:rsid w:val="00153CF9"/>
    <w:rsid w:val="00155250"/>
    <w:rsid w:val="001576AF"/>
    <w:rsid w:val="00160660"/>
    <w:rsid w:val="0016249B"/>
    <w:rsid w:val="00166FA4"/>
    <w:rsid w:val="00167EE7"/>
    <w:rsid w:val="001735F0"/>
    <w:rsid w:val="00174225"/>
    <w:rsid w:val="00177B1B"/>
    <w:rsid w:val="001819B7"/>
    <w:rsid w:val="001824D1"/>
    <w:rsid w:val="00183E73"/>
    <w:rsid w:val="00185FAF"/>
    <w:rsid w:val="00186B93"/>
    <w:rsid w:val="00192794"/>
    <w:rsid w:val="001947E6"/>
    <w:rsid w:val="001A098E"/>
    <w:rsid w:val="001A30D6"/>
    <w:rsid w:val="001A3626"/>
    <w:rsid w:val="001A64F2"/>
    <w:rsid w:val="001B2854"/>
    <w:rsid w:val="001B7DDA"/>
    <w:rsid w:val="001C532E"/>
    <w:rsid w:val="001C57D8"/>
    <w:rsid w:val="001C688D"/>
    <w:rsid w:val="001C6E2B"/>
    <w:rsid w:val="001D0A4F"/>
    <w:rsid w:val="001D3071"/>
    <w:rsid w:val="001D324C"/>
    <w:rsid w:val="001D79BA"/>
    <w:rsid w:val="001E3009"/>
    <w:rsid w:val="001E53B6"/>
    <w:rsid w:val="001E5B96"/>
    <w:rsid w:val="001E74B0"/>
    <w:rsid w:val="001F0229"/>
    <w:rsid w:val="001F0D82"/>
    <w:rsid w:val="001F18FB"/>
    <w:rsid w:val="001F1EAF"/>
    <w:rsid w:val="001F2B51"/>
    <w:rsid w:val="001F496C"/>
    <w:rsid w:val="002029D2"/>
    <w:rsid w:val="00202BB6"/>
    <w:rsid w:val="00204664"/>
    <w:rsid w:val="00206354"/>
    <w:rsid w:val="00210CDC"/>
    <w:rsid w:val="00212838"/>
    <w:rsid w:val="002145AB"/>
    <w:rsid w:val="00220241"/>
    <w:rsid w:val="00220263"/>
    <w:rsid w:val="00220DC8"/>
    <w:rsid w:val="00221813"/>
    <w:rsid w:val="00221E45"/>
    <w:rsid w:val="00223F35"/>
    <w:rsid w:val="00232DD7"/>
    <w:rsid w:val="0023384B"/>
    <w:rsid w:val="00233D73"/>
    <w:rsid w:val="00234309"/>
    <w:rsid w:val="00235190"/>
    <w:rsid w:val="00236C1C"/>
    <w:rsid w:val="00240BEE"/>
    <w:rsid w:val="00241EAD"/>
    <w:rsid w:val="002428EA"/>
    <w:rsid w:val="0024291E"/>
    <w:rsid w:val="00244483"/>
    <w:rsid w:val="002521EF"/>
    <w:rsid w:val="00265C4A"/>
    <w:rsid w:val="002664C3"/>
    <w:rsid w:val="00271C02"/>
    <w:rsid w:val="00275DC0"/>
    <w:rsid w:val="00277C5D"/>
    <w:rsid w:val="0028033D"/>
    <w:rsid w:val="002825E7"/>
    <w:rsid w:val="00282643"/>
    <w:rsid w:val="002901E5"/>
    <w:rsid w:val="002903D6"/>
    <w:rsid w:val="002924E0"/>
    <w:rsid w:val="00292CBE"/>
    <w:rsid w:val="00293D80"/>
    <w:rsid w:val="0029458C"/>
    <w:rsid w:val="0029598D"/>
    <w:rsid w:val="00295BC7"/>
    <w:rsid w:val="00296600"/>
    <w:rsid w:val="00296C87"/>
    <w:rsid w:val="002A0479"/>
    <w:rsid w:val="002A1086"/>
    <w:rsid w:val="002A1C6C"/>
    <w:rsid w:val="002B0412"/>
    <w:rsid w:val="002B0D24"/>
    <w:rsid w:val="002B1723"/>
    <w:rsid w:val="002C0C89"/>
    <w:rsid w:val="002C5D41"/>
    <w:rsid w:val="002C6B10"/>
    <w:rsid w:val="002D2872"/>
    <w:rsid w:val="002D2F8C"/>
    <w:rsid w:val="002D4737"/>
    <w:rsid w:val="002D4FEB"/>
    <w:rsid w:val="002D5640"/>
    <w:rsid w:val="002D56B5"/>
    <w:rsid w:val="002D6F84"/>
    <w:rsid w:val="002E083E"/>
    <w:rsid w:val="002E1522"/>
    <w:rsid w:val="002E2875"/>
    <w:rsid w:val="002E4372"/>
    <w:rsid w:val="002E5F15"/>
    <w:rsid w:val="002E61C5"/>
    <w:rsid w:val="002E68AF"/>
    <w:rsid w:val="002F05BA"/>
    <w:rsid w:val="002F5C08"/>
    <w:rsid w:val="003031E1"/>
    <w:rsid w:val="003071B0"/>
    <w:rsid w:val="00307D86"/>
    <w:rsid w:val="00311FD9"/>
    <w:rsid w:val="00312AF9"/>
    <w:rsid w:val="00312E64"/>
    <w:rsid w:val="0031339D"/>
    <w:rsid w:val="00314BC9"/>
    <w:rsid w:val="00317DA9"/>
    <w:rsid w:val="003216E3"/>
    <w:rsid w:val="0032173C"/>
    <w:rsid w:val="00324FCC"/>
    <w:rsid w:val="00325E3F"/>
    <w:rsid w:val="00330F2A"/>
    <w:rsid w:val="00332242"/>
    <w:rsid w:val="003360CA"/>
    <w:rsid w:val="0034179B"/>
    <w:rsid w:val="00341B2D"/>
    <w:rsid w:val="00343104"/>
    <w:rsid w:val="00344644"/>
    <w:rsid w:val="00344B49"/>
    <w:rsid w:val="00350997"/>
    <w:rsid w:val="00352714"/>
    <w:rsid w:val="00354E01"/>
    <w:rsid w:val="00356DF9"/>
    <w:rsid w:val="00357136"/>
    <w:rsid w:val="00357228"/>
    <w:rsid w:val="003633D0"/>
    <w:rsid w:val="0036491F"/>
    <w:rsid w:val="0036569C"/>
    <w:rsid w:val="003671FB"/>
    <w:rsid w:val="003676FA"/>
    <w:rsid w:val="00367895"/>
    <w:rsid w:val="00370678"/>
    <w:rsid w:val="0037067B"/>
    <w:rsid w:val="003716D4"/>
    <w:rsid w:val="00372A9B"/>
    <w:rsid w:val="00373706"/>
    <w:rsid w:val="00374157"/>
    <w:rsid w:val="00375F55"/>
    <w:rsid w:val="003768A9"/>
    <w:rsid w:val="00380C51"/>
    <w:rsid w:val="003858B5"/>
    <w:rsid w:val="003865F1"/>
    <w:rsid w:val="00390525"/>
    <w:rsid w:val="0039211A"/>
    <w:rsid w:val="00393B91"/>
    <w:rsid w:val="00394297"/>
    <w:rsid w:val="0039714C"/>
    <w:rsid w:val="003A2390"/>
    <w:rsid w:val="003A3130"/>
    <w:rsid w:val="003A328E"/>
    <w:rsid w:val="003A7565"/>
    <w:rsid w:val="003A784A"/>
    <w:rsid w:val="003B177A"/>
    <w:rsid w:val="003B4C24"/>
    <w:rsid w:val="003C64CD"/>
    <w:rsid w:val="003C6B33"/>
    <w:rsid w:val="003D0AEF"/>
    <w:rsid w:val="003D299A"/>
    <w:rsid w:val="003D2BD1"/>
    <w:rsid w:val="003E3814"/>
    <w:rsid w:val="003E39C9"/>
    <w:rsid w:val="003E4741"/>
    <w:rsid w:val="003E49A0"/>
    <w:rsid w:val="003E5866"/>
    <w:rsid w:val="003E6812"/>
    <w:rsid w:val="003E7EBF"/>
    <w:rsid w:val="003F0014"/>
    <w:rsid w:val="003F1151"/>
    <w:rsid w:val="003F16E2"/>
    <w:rsid w:val="003F72C2"/>
    <w:rsid w:val="003F7E25"/>
    <w:rsid w:val="004013FE"/>
    <w:rsid w:val="00401B88"/>
    <w:rsid w:val="004061BB"/>
    <w:rsid w:val="0040652F"/>
    <w:rsid w:val="00406C9F"/>
    <w:rsid w:val="00407B75"/>
    <w:rsid w:val="00410F11"/>
    <w:rsid w:val="004118C7"/>
    <w:rsid w:val="00411DAF"/>
    <w:rsid w:val="00411F37"/>
    <w:rsid w:val="0041312B"/>
    <w:rsid w:val="004152F9"/>
    <w:rsid w:val="00416528"/>
    <w:rsid w:val="004165AD"/>
    <w:rsid w:val="00417E1F"/>
    <w:rsid w:val="0042286D"/>
    <w:rsid w:val="00424081"/>
    <w:rsid w:val="004242A7"/>
    <w:rsid w:val="004262A4"/>
    <w:rsid w:val="0042669A"/>
    <w:rsid w:val="0043144A"/>
    <w:rsid w:val="004326C4"/>
    <w:rsid w:val="00433E95"/>
    <w:rsid w:val="00433ED1"/>
    <w:rsid w:val="004351BA"/>
    <w:rsid w:val="00441983"/>
    <w:rsid w:val="00441CA7"/>
    <w:rsid w:val="00443560"/>
    <w:rsid w:val="00444AFC"/>
    <w:rsid w:val="00445B79"/>
    <w:rsid w:val="004466AB"/>
    <w:rsid w:val="00446FD6"/>
    <w:rsid w:val="0045072A"/>
    <w:rsid w:val="00454A0F"/>
    <w:rsid w:val="0045633A"/>
    <w:rsid w:val="00460FF3"/>
    <w:rsid w:val="00461118"/>
    <w:rsid w:val="00464DAC"/>
    <w:rsid w:val="00465E7F"/>
    <w:rsid w:val="00470C00"/>
    <w:rsid w:val="00471123"/>
    <w:rsid w:val="004776E9"/>
    <w:rsid w:val="0047795D"/>
    <w:rsid w:val="00480EF7"/>
    <w:rsid w:val="00483405"/>
    <w:rsid w:val="00490F49"/>
    <w:rsid w:val="00491ADF"/>
    <w:rsid w:val="0049301A"/>
    <w:rsid w:val="00496640"/>
    <w:rsid w:val="004A150D"/>
    <w:rsid w:val="004A26D8"/>
    <w:rsid w:val="004A308C"/>
    <w:rsid w:val="004A32E7"/>
    <w:rsid w:val="004A3F4D"/>
    <w:rsid w:val="004A740E"/>
    <w:rsid w:val="004B18F3"/>
    <w:rsid w:val="004B205C"/>
    <w:rsid w:val="004B4F92"/>
    <w:rsid w:val="004C0698"/>
    <w:rsid w:val="004C0CDE"/>
    <w:rsid w:val="004C1E8E"/>
    <w:rsid w:val="004C2B95"/>
    <w:rsid w:val="004C3990"/>
    <w:rsid w:val="004C5EE7"/>
    <w:rsid w:val="004C67DE"/>
    <w:rsid w:val="004D1D24"/>
    <w:rsid w:val="004D240F"/>
    <w:rsid w:val="004D2803"/>
    <w:rsid w:val="004D29CC"/>
    <w:rsid w:val="004D5941"/>
    <w:rsid w:val="004D622C"/>
    <w:rsid w:val="004D6F9B"/>
    <w:rsid w:val="004D73AA"/>
    <w:rsid w:val="004D74AC"/>
    <w:rsid w:val="004D7786"/>
    <w:rsid w:val="004E0C13"/>
    <w:rsid w:val="004E2861"/>
    <w:rsid w:val="004E295F"/>
    <w:rsid w:val="004E3E8A"/>
    <w:rsid w:val="004E52D7"/>
    <w:rsid w:val="004F056B"/>
    <w:rsid w:val="004F065E"/>
    <w:rsid w:val="004F0D3D"/>
    <w:rsid w:val="004F21EA"/>
    <w:rsid w:val="004F22E8"/>
    <w:rsid w:val="004F5734"/>
    <w:rsid w:val="00500AED"/>
    <w:rsid w:val="005011F0"/>
    <w:rsid w:val="00502351"/>
    <w:rsid w:val="00503CEE"/>
    <w:rsid w:val="0050761A"/>
    <w:rsid w:val="005077B7"/>
    <w:rsid w:val="00507C00"/>
    <w:rsid w:val="00510FA4"/>
    <w:rsid w:val="0051152A"/>
    <w:rsid w:val="00512DD7"/>
    <w:rsid w:val="00514905"/>
    <w:rsid w:val="00515F73"/>
    <w:rsid w:val="005160AB"/>
    <w:rsid w:val="005172BD"/>
    <w:rsid w:val="0052189B"/>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152"/>
    <w:rsid w:val="00542CA0"/>
    <w:rsid w:val="0054583D"/>
    <w:rsid w:val="0054660F"/>
    <w:rsid w:val="0054731D"/>
    <w:rsid w:val="00547AB0"/>
    <w:rsid w:val="00550672"/>
    <w:rsid w:val="00551913"/>
    <w:rsid w:val="00553CD3"/>
    <w:rsid w:val="00554D84"/>
    <w:rsid w:val="00555B81"/>
    <w:rsid w:val="00556F91"/>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5E9"/>
    <w:rsid w:val="00597B1D"/>
    <w:rsid w:val="005A1445"/>
    <w:rsid w:val="005A1A07"/>
    <w:rsid w:val="005A2CA4"/>
    <w:rsid w:val="005A3D38"/>
    <w:rsid w:val="005A49FF"/>
    <w:rsid w:val="005A5BB0"/>
    <w:rsid w:val="005A5DA5"/>
    <w:rsid w:val="005B0079"/>
    <w:rsid w:val="005B01C0"/>
    <w:rsid w:val="005B78C8"/>
    <w:rsid w:val="005C392F"/>
    <w:rsid w:val="005C5BCA"/>
    <w:rsid w:val="005C7F72"/>
    <w:rsid w:val="005D321A"/>
    <w:rsid w:val="005D453B"/>
    <w:rsid w:val="005E501C"/>
    <w:rsid w:val="005E6D43"/>
    <w:rsid w:val="005E7977"/>
    <w:rsid w:val="005F6B00"/>
    <w:rsid w:val="00601163"/>
    <w:rsid w:val="0060329A"/>
    <w:rsid w:val="00605F89"/>
    <w:rsid w:val="00610B1D"/>
    <w:rsid w:val="00612137"/>
    <w:rsid w:val="006129E0"/>
    <w:rsid w:val="006139D9"/>
    <w:rsid w:val="00613B36"/>
    <w:rsid w:val="0061533D"/>
    <w:rsid w:val="00616950"/>
    <w:rsid w:val="00616A39"/>
    <w:rsid w:val="00617AC9"/>
    <w:rsid w:val="00620AF3"/>
    <w:rsid w:val="006251D7"/>
    <w:rsid w:val="0062652C"/>
    <w:rsid w:val="00626CC3"/>
    <w:rsid w:val="00626F29"/>
    <w:rsid w:val="00627011"/>
    <w:rsid w:val="006277CC"/>
    <w:rsid w:val="00632DC1"/>
    <w:rsid w:val="0063372B"/>
    <w:rsid w:val="00635500"/>
    <w:rsid w:val="006373F5"/>
    <w:rsid w:val="006376B5"/>
    <w:rsid w:val="0064260C"/>
    <w:rsid w:val="006428F5"/>
    <w:rsid w:val="006434B4"/>
    <w:rsid w:val="006453E5"/>
    <w:rsid w:val="00650B03"/>
    <w:rsid w:val="00651B36"/>
    <w:rsid w:val="006523FA"/>
    <w:rsid w:val="00652956"/>
    <w:rsid w:val="006549E9"/>
    <w:rsid w:val="006602F9"/>
    <w:rsid w:val="00660F92"/>
    <w:rsid w:val="0066214A"/>
    <w:rsid w:val="00671012"/>
    <w:rsid w:val="006717AF"/>
    <w:rsid w:val="00672E4A"/>
    <w:rsid w:val="00672E92"/>
    <w:rsid w:val="0067300A"/>
    <w:rsid w:val="00675BCD"/>
    <w:rsid w:val="00675BDE"/>
    <w:rsid w:val="00676209"/>
    <w:rsid w:val="006841EA"/>
    <w:rsid w:val="006847F5"/>
    <w:rsid w:val="00685139"/>
    <w:rsid w:val="0068554D"/>
    <w:rsid w:val="00685866"/>
    <w:rsid w:val="00690489"/>
    <w:rsid w:val="006916D1"/>
    <w:rsid w:val="00693920"/>
    <w:rsid w:val="00695E67"/>
    <w:rsid w:val="006978A9"/>
    <w:rsid w:val="006A0B97"/>
    <w:rsid w:val="006A6911"/>
    <w:rsid w:val="006B1EF7"/>
    <w:rsid w:val="006B4FBE"/>
    <w:rsid w:val="006B5B1A"/>
    <w:rsid w:val="006B5BA1"/>
    <w:rsid w:val="006B5F48"/>
    <w:rsid w:val="006B6D91"/>
    <w:rsid w:val="006B767D"/>
    <w:rsid w:val="006C1BDD"/>
    <w:rsid w:val="006C342B"/>
    <w:rsid w:val="006C3E6B"/>
    <w:rsid w:val="006C415E"/>
    <w:rsid w:val="006C618F"/>
    <w:rsid w:val="006C6EF9"/>
    <w:rsid w:val="006D0087"/>
    <w:rsid w:val="006D2EF9"/>
    <w:rsid w:val="006D419C"/>
    <w:rsid w:val="006D4293"/>
    <w:rsid w:val="006D62C1"/>
    <w:rsid w:val="006E0FF9"/>
    <w:rsid w:val="006E2C58"/>
    <w:rsid w:val="006E7270"/>
    <w:rsid w:val="006F1D2B"/>
    <w:rsid w:val="006F31C5"/>
    <w:rsid w:val="006F35CB"/>
    <w:rsid w:val="006F5FEF"/>
    <w:rsid w:val="006F77EB"/>
    <w:rsid w:val="006F78A3"/>
    <w:rsid w:val="007022B3"/>
    <w:rsid w:val="00703A20"/>
    <w:rsid w:val="007051E6"/>
    <w:rsid w:val="00707431"/>
    <w:rsid w:val="00710678"/>
    <w:rsid w:val="007122B2"/>
    <w:rsid w:val="00713D42"/>
    <w:rsid w:val="00715C5E"/>
    <w:rsid w:val="007160A9"/>
    <w:rsid w:val="00717E6F"/>
    <w:rsid w:val="007228BE"/>
    <w:rsid w:val="00724FA4"/>
    <w:rsid w:val="0072652B"/>
    <w:rsid w:val="00730CF7"/>
    <w:rsid w:val="0073517D"/>
    <w:rsid w:val="00735807"/>
    <w:rsid w:val="00740187"/>
    <w:rsid w:val="0074027F"/>
    <w:rsid w:val="00740454"/>
    <w:rsid w:val="0074241E"/>
    <w:rsid w:val="007430F4"/>
    <w:rsid w:val="007446B7"/>
    <w:rsid w:val="00745703"/>
    <w:rsid w:val="00745B2C"/>
    <w:rsid w:val="00747E4B"/>
    <w:rsid w:val="00754D26"/>
    <w:rsid w:val="00754F8F"/>
    <w:rsid w:val="007628FA"/>
    <w:rsid w:val="00764F04"/>
    <w:rsid w:val="00765AA6"/>
    <w:rsid w:val="00770184"/>
    <w:rsid w:val="00770796"/>
    <w:rsid w:val="00770C6F"/>
    <w:rsid w:val="00770DBB"/>
    <w:rsid w:val="00770F64"/>
    <w:rsid w:val="00771955"/>
    <w:rsid w:val="0077286F"/>
    <w:rsid w:val="00773D23"/>
    <w:rsid w:val="00775699"/>
    <w:rsid w:val="00776425"/>
    <w:rsid w:val="00780903"/>
    <w:rsid w:val="00780A68"/>
    <w:rsid w:val="00780D33"/>
    <w:rsid w:val="0078116F"/>
    <w:rsid w:val="0078262B"/>
    <w:rsid w:val="00782E96"/>
    <w:rsid w:val="00785559"/>
    <w:rsid w:val="00785781"/>
    <w:rsid w:val="00785B2E"/>
    <w:rsid w:val="00790FA7"/>
    <w:rsid w:val="00791678"/>
    <w:rsid w:val="00791D3B"/>
    <w:rsid w:val="0079495B"/>
    <w:rsid w:val="0079659A"/>
    <w:rsid w:val="00797D20"/>
    <w:rsid w:val="007A0915"/>
    <w:rsid w:val="007A1B70"/>
    <w:rsid w:val="007A20B5"/>
    <w:rsid w:val="007B065B"/>
    <w:rsid w:val="007C1ED9"/>
    <w:rsid w:val="007C3F61"/>
    <w:rsid w:val="007C405F"/>
    <w:rsid w:val="007C6C60"/>
    <w:rsid w:val="007C7CE1"/>
    <w:rsid w:val="007D01EA"/>
    <w:rsid w:val="007D1047"/>
    <w:rsid w:val="007D1214"/>
    <w:rsid w:val="007D3BED"/>
    <w:rsid w:val="007D41C8"/>
    <w:rsid w:val="007E3C3B"/>
    <w:rsid w:val="007E5A96"/>
    <w:rsid w:val="007E6FC2"/>
    <w:rsid w:val="007E7430"/>
    <w:rsid w:val="007E78FA"/>
    <w:rsid w:val="007E795C"/>
    <w:rsid w:val="007F05AD"/>
    <w:rsid w:val="007F3169"/>
    <w:rsid w:val="007F38AD"/>
    <w:rsid w:val="007F3D2B"/>
    <w:rsid w:val="007F4F7B"/>
    <w:rsid w:val="007F7D19"/>
    <w:rsid w:val="008026CD"/>
    <w:rsid w:val="00802B1F"/>
    <w:rsid w:val="008031DD"/>
    <w:rsid w:val="00803EF9"/>
    <w:rsid w:val="00805B05"/>
    <w:rsid w:val="00806747"/>
    <w:rsid w:val="008069BF"/>
    <w:rsid w:val="008116D4"/>
    <w:rsid w:val="00811C25"/>
    <w:rsid w:val="00812A6C"/>
    <w:rsid w:val="008133D6"/>
    <w:rsid w:val="008137B4"/>
    <w:rsid w:val="00814113"/>
    <w:rsid w:val="008204CB"/>
    <w:rsid w:val="00822511"/>
    <w:rsid w:val="008227A1"/>
    <w:rsid w:val="00826FC1"/>
    <w:rsid w:val="00832BF2"/>
    <w:rsid w:val="00835EB7"/>
    <w:rsid w:val="00836793"/>
    <w:rsid w:val="008367F0"/>
    <w:rsid w:val="00837B0B"/>
    <w:rsid w:val="00841980"/>
    <w:rsid w:val="008435D8"/>
    <w:rsid w:val="00843A96"/>
    <w:rsid w:val="008473D0"/>
    <w:rsid w:val="0085005C"/>
    <w:rsid w:val="0085193B"/>
    <w:rsid w:val="0085196A"/>
    <w:rsid w:val="00852489"/>
    <w:rsid w:val="008527CA"/>
    <w:rsid w:val="008530B5"/>
    <w:rsid w:val="008532BB"/>
    <w:rsid w:val="00853BAB"/>
    <w:rsid w:val="008543C6"/>
    <w:rsid w:val="00854C28"/>
    <w:rsid w:val="00855687"/>
    <w:rsid w:val="00855AFA"/>
    <w:rsid w:val="00856041"/>
    <w:rsid w:val="008575F7"/>
    <w:rsid w:val="00864B79"/>
    <w:rsid w:val="0086646C"/>
    <w:rsid w:val="00872770"/>
    <w:rsid w:val="00872D19"/>
    <w:rsid w:val="00882B05"/>
    <w:rsid w:val="008850C0"/>
    <w:rsid w:val="00885332"/>
    <w:rsid w:val="00886E24"/>
    <w:rsid w:val="00890398"/>
    <w:rsid w:val="008905D6"/>
    <w:rsid w:val="008918B1"/>
    <w:rsid w:val="00894E19"/>
    <w:rsid w:val="0089593C"/>
    <w:rsid w:val="008A05A4"/>
    <w:rsid w:val="008A085B"/>
    <w:rsid w:val="008A26EB"/>
    <w:rsid w:val="008A3673"/>
    <w:rsid w:val="008A3D75"/>
    <w:rsid w:val="008A5ECE"/>
    <w:rsid w:val="008A6C63"/>
    <w:rsid w:val="008A72E7"/>
    <w:rsid w:val="008B128A"/>
    <w:rsid w:val="008B30BC"/>
    <w:rsid w:val="008B333D"/>
    <w:rsid w:val="008B3425"/>
    <w:rsid w:val="008B5AF4"/>
    <w:rsid w:val="008B6367"/>
    <w:rsid w:val="008B63F3"/>
    <w:rsid w:val="008C37CD"/>
    <w:rsid w:val="008C45DB"/>
    <w:rsid w:val="008C5BF4"/>
    <w:rsid w:val="008C75A6"/>
    <w:rsid w:val="008D25B5"/>
    <w:rsid w:val="008D4B7B"/>
    <w:rsid w:val="008E168A"/>
    <w:rsid w:val="008E2BB5"/>
    <w:rsid w:val="008E39C1"/>
    <w:rsid w:val="008E7942"/>
    <w:rsid w:val="008F13DB"/>
    <w:rsid w:val="008F2414"/>
    <w:rsid w:val="008F3B17"/>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10A8"/>
    <w:rsid w:val="00932C75"/>
    <w:rsid w:val="00932EDA"/>
    <w:rsid w:val="00936217"/>
    <w:rsid w:val="009363B2"/>
    <w:rsid w:val="00937DF5"/>
    <w:rsid w:val="00940391"/>
    <w:rsid w:val="00941FE2"/>
    <w:rsid w:val="009430B0"/>
    <w:rsid w:val="009434DC"/>
    <w:rsid w:val="009443EB"/>
    <w:rsid w:val="009456F3"/>
    <w:rsid w:val="00950167"/>
    <w:rsid w:val="009515A8"/>
    <w:rsid w:val="00953241"/>
    <w:rsid w:val="00953B8F"/>
    <w:rsid w:val="00954F5F"/>
    <w:rsid w:val="00957B12"/>
    <w:rsid w:val="00962898"/>
    <w:rsid w:val="009655D8"/>
    <w:rsid w:val="00970444"/>
    <w:rsid w:val="00971B3E"/>
    <w:rsid w:val="00972991"/>
    <w:rsid w:val="00973DDB"/>
    <w:rsid w:val="00975567"/>
    <w:rsid w:val="00981E0B"/>
    <w:rsid w:val="00982205"/>
    <w:rsid w:val="00983920"/>
    <w:rsid w:val="00987B9E"/>
    <w:rsid w:val="00990883"/>
    <w:rsid w:val="009911A7"/>
    <w:rsid w:val="0099292D"/>
    <w:rsid w:val="00992C9F"/>
    <w:rsid w:val="00992D96"/>
    <w:rsid w:val="00993A22"/>
    <w:rsid w:val="00995141"/>
    <w:rsid w:val="00995177"/>
    <w:rsid w:val="00995558"/>
    <w:rsid w:val="009A07C9"/>
    <w:rsid w:val="009A0F42"/>
    <w:rsid w:val="009A11D2"/>
    <w:rsid w:val="009A2475"/>
    <w:rsid w:val="009A51A4"/>
    <w:rsid w:val="009A7957"/>
    <w:rsid w:val="009B196C"/>
    <w:rsid w:val="009C022D"/>
    <w:rsid w:val="009C0302"/>
    <w:rsid w:val="009C1286"/>
    <w:rsid w:val="009C50C2"/>
    <w:rsid w:val="009C5ED4"/>
    <w:rsid w:val="009C6296"/>
    <w:rsid w:val="009C6297"/>
    <w:rsid w:val="009C7AA7"/>
    <w:rsid w:val="009D1090"/>
    <w:rsid w:val="009D1B50"/>
    <w:rsid w:val="009D2319"/>
    <w:rsid w:val="009D4A26"/>
    <w:rsid w:val="009D6838"/>
    <w:rsid w:val="009D7033"/>
    <w:rsid w:val="009D71D7"/>
    <w:rsid w:val="009D7358"/>
    <w:rsid w:val="009D770D"/>
    <w:rsid w:val="009D7714"/>
    <w:rsid w:val="009D7875"/>
    <w:rsid w:val="009E134F"/>
    <w:rsid w:val="009E35F4"/>
    <w:rsid w:val="009E6DC0"/>
    <w:rsid w:val="009F1E1E"/>
    <w:rsid w:val="009F25F0"/>
    <w:rsid w:val="009F294E"/>
    <w:rsid w:val="009F5A31"/>
    <w:rsid w:val="009F66C0"/>
    <w:rsid w:val="00A00359"/>
    <w:rsid w:val="00A01213"/>
    <w:rsid w:val="00A0173C"/>
    <w:rsid w:val="00A017A2"/>
    <w:rsid w:val="00A03161"/>
    <w:rsid w:val="00A03C52"/>
    <w:rsid w:val="00A06B17"/>
    <w:rsid w:val="00A07308"/>
    <w:rsid w:val="00A12648"/>
    <w:rsid w:val="00A1269E"/>
    <w:rsid w:val="00A12E47"/>
    <w:rsid w:val="00A143EB"/>
    <w:rsid w:val="00A16F18"/>
    <w:rsid w:val="00A17D2A"/>
    <w:rsid w:val="00A2014B"/>
    <w:rsid w:val="00A225AF"/>
    <w:rsid w:val="00A22C62"/>
    <w:rsid w:val="00A240A3"/>
    <w:rsid w:val="00A24183"/>
    <w:rsid w:val="00A25FAF"/>
    <w:rsid w:val="00A3028F"/>
    <w:rsid w:val="00A30498"/>
    <w:rsid w:val="00A318AA"/>
    <w:rsid w:val="00A31924"/>
    <w:rsid w:val="00A31DB3"/>
    <w:rsid w:val="00A32FB8"/>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2D11"/>
    <w:rsid w:val="00AA4538"/>
    <w:rsid w:val="00AA5CAD"/>
    <w:rsid w:val="00AA6174"/>
    <w:rsid w:val="00AB03C4"/>
    <w:rsid w:val="00AB405C"/>
    <w:rsid w:val="00AB594F"/>
    <w:rsid w:val="00AB5C41"/>
    <w:rsid w:val="00AC0429"/>
    <w:rsid w:val="00AC1D6F"/>
    <w:rsid w:val="00AC3536"/>
    <w:rsid w:val="00AC436E"/>
    <w:rsid w:val="00AC47CB"/>
    <w:rsid w:val="00AC4A77"/>
    <w:rsid w:val="00AC6666"/>
    <w:rsid w:val="00AC6719"/>
    <w:rsid w:val="00AD4F51"/>
    <w:rsid w:val="00AD53BB"/>
    <w:rsid w:val="00AD5CCB"/>
    <w:rsid w:val="00AE3BA2"/>
    <w:rsid w:val="00AE41BE"/>
    <w:rsid w:val="00AE5CB9"/>
    <w:rsid w:val="00AE759E"/>
    <w:rsid w:val="00AF050C"/>
    <w:rsid w:val="00AF3903"/>
    <w:rsid w:val="00AF5078"/>
    <w:rsid w:val="00AF5361"/>
    <w:rsid w:val="00AF6A0B"/>
    <w:rsid w:val="00B00D3F"/>
    <w:rsid w:val="00B01AA2"/>
    <w:rsid w:val="00B02B0F"/>
    <w:rsid w:val="00B052DB"/>
    <w:rsid w:val="00B062B0"/>
    <w:rsid w:val="00B06F5F"/>
    <w:rsid w:val="00B07320"/>
    <w:rsid w:val="00B07935"/>
    <w:rsid w:val="00B07CCB"/>
    <w:rsid w:val="00B1388F"/>
    <w:rsid w:val="00B148FB"/>
    <w:rsid w:val="00B14C10"/>
    <w:rsid w:val="00B16715"/>
    <w:rsid w:val="00B16F67"/>
    <w:rsid w:val="00B20261"/>
    <w:rsid w:val="00B20979"/>
    <w:rsid w:val="00B21B16"/>
    <w:rsid w:val="00B224EB"/>
    <w:rsid w:val="00B23AA0"/>
    <w:rsid w:val="00B243A7"/>
    <w:rsid w:val="00B24FCD"/>
    <w:rsid w:val="00B25152"/>
    <w:rsid w:val="00B27C82"/>
    <w:rsid w:val="00B3028A"/>
    <w:rsid w:val="00B311D0"/>
    <w:rsid w:val="00B323A9"/>
    <w:rsid w:val="00B3406C"/>
    <w:rsid w:val="00B36610"/>
    <w:rsid w:val="00B37D2E"/>
    <w:rsid w:val="00B42E98"/>
    <w:rsid w:val="00B4309B"/>
    <w:rsid w:val="00B440AE"/>
    <w:rsid w:val="00B45719"/>
    <w:rsid w:val="00B5136E"/>
    <w:rsid w:val="00B51A89"/>
    <w:rsid w:val="00B53226"/>
    <w:rsid w:val="00B5448D"/>
    <w:rsid w:val="00B555B0"/>
    <w:rsid w:val="00B55B51"/>
    <w:rsid w:val="00B567A1"/>
    <w:rsid w:val="00B56BFB"/>
    <w:rsid w:val="00B573C4"/>
    <w:rsid w:val="00B57C04"/>
    <w:rsid w:val="00B602C1"/>
    <w:rsid w:val="00B64663"/>
    <w:rsid w:val="00B65617"/>
    <w:rsid w:val="00B7120E"/>
    <w:rsid w:val="00B72181"/>
    <w:rsid w:val="00B73892"/>
    <w:rsid w:val="00B7393D"/>
    <w:rsid w:val="00B7407C"/>
    <w:rsid w:val="00B744D4"/>
    <w:rsid w:val="00B75C99"/>
    <w:rsid w:val="00B770C0"/>
    <w:rsid w:val="00B77401"/>
    <w:rsid w:val="00B81046"/>
    <w:rsid w:val="00B8355D"/>
    <w:rsid w:val="00B852EB"/>
    <w:rsid w:val="00B87E5F"/>
    <w:rsid w:val="00B91217"/>
    <w:rsid w:val="00B93F3B"/>
    <w:rsid w:val="00BA2A77"/>
    <w:rsid w:val="00BA2C39"/>
    <w:rsid w:val="00BA5456"/>
    <w:rsid w:val="00BA66D2"/>
    <w:rsid w:val="00BB2991"/>
    <w:rsid w:val="00BB3136"/>
    <w:rsid w:val="00BB3F22"/>
    <w:rsid w:val="00BB4C19"/>
    <w:rsid w:val="00BB7813"/>
    <w:rsid w:val="00BB7902"/>
    <w:rsid w:val="00BC162F"/>
    <w:rsid w:val="00BC3ADE"/>
    <w:rsid w:val="00BC3EF7"/>
    <w:rsid w:val="00BC411E"/>
    <w:rsid w:val="00BC4580"/>
    <w:rsid w:val="00BC64C6"/>
    <w:rsid w:val="00BC6894"/>
    <w:rsid w:val="00BC736E"/>
    <w:rsid w:val="00BC7E0F"/>
    <w:rsid w:val="00BC7EF8"/>
    <w:rsid w:val="00BD0D50"/>
    <w:rsid w:val="00BD1CF9"/>
    <w:rsid w:val="00BD64D8"/>
    <w:rsid w:val="00BD651C"/>
    <w:rsid w:val="00BE0F99"/>
    <w:rsid w:val="00BE25C7"/>
    <w:rsid w:val="00BE55BE"/>
    <w:rsid w:val="00BE638F"/>
    <w:rsid w:val="00BE6E0E"/>
    <w:rsid w:val="00BF0064"/>
    <w:rsid w:val="00BF1CAD"/>
    <w:rsid w:val="00BF23B7"/>
    <w:rsid w:val="00C00D3A"/>
    <w:rsid w:val="00C0297E"/>
    <w:rsid w:val="00C02CC4"/>
    <w:rsid w:val="00C037AF"/>
    <w:rsid w:val="00C06231"/>
    <w:rsid w:val="00C0643E"/>
    <w:rsid w:val="00C066D9"/>
    <w:rsid w:val="00C067A3"/>
    <w:rsid w:val="00C10A6C"/>
    <w:rsid w:val="00C12449"/>
    <w:rsid w:val="00C125EF"/>
    <w:rsid w:val="00C14AD4"/>
    <w:rsid w:val="00C15282"/>
    <w:rsid w:val="00C17B5B"/>
    <w:rsid w:val="00C17C3F"/>
    <w:rsid w:val="00C17D13"/>
    <w:rsid w:val="00C202CF"/>
    <w:rsid w:val="00C23A74"/>
    <w:rsid w:val="00C23E8B"/>
    <w:rsid w:val="00C24ED6"/>
    <w:rsid w:val="00C264CC"/>
    <w:rsid w:val="00C2765D"/>
    <w:rsid w:val="00C334AE"/>
    <w:rsid w:val="00C339F7"/>
    <w:rsid w:val="00C358AD"/>
    <w:rsid w:val="00C41428"/>
    <w:rsid w:val="00C4210F"/>
    <w:rsid w:val="00C42356"/>
    <w:rsid w:val="00C4644D"/>
    <w:rsid w:val="00C46577"/>
    <w:rsid w:val="00C53906"/>
    <w:rsid w:val="00C561AC"/>
    <w:rsid w:val="00C5636D"/>
    <w:rsid w:val="00C571E9"/>
    <w:rsid w:val="00C62D32"/>
    <w:rsid w:val="00C63C60"/>
    <w:rsid w:val="00C64769"/>
    <w:rsid w:val="00C64C13"/>
    <w:rsid w:val="00C672B5"/>
    <w:rsid w:val="00C70603"/>
    <w:rsid w:val="00C708F1"/>
    <w:rsid w:val="00C75CAB"/>
    <w:rsid w:val="00C76568"/>
    <w:rsid w:val="00C76714"/>
    <w:rsid w:val="00C76CD3"/>
    <w:rsid w:val="00C77985"/>
    <w:rsid w:val="00C77AAA"/>
    <w:rsid w:val="00C85950"/>
    <w:rsid w:val="00C87BF1"/>
    <w:rsid w:val="00C90F6D"/>
    <w:rsid w:val="00C92ECF"/>
    <w:rsid w:val="00C92EE6"/>
    <w:rsid w:val="00C9450E"/>
    <w:rsid w:val="00C95425"/>
    <w:rsid w:val="00C9651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5800"/>
    <w:rsid w:val="00CC6DC8"/>
    <w:rsid w:val="00CD746F"/>
    <w:rsid w:val="00CE0D76"/>
    <w:rsid w:val="00CE712B"/>
    <w:rsid w:val="00CF0EF6"/>
    <w:rsid w:val="00CF53CD"/>
    <w:rsid w:val="00CF652B"/>
    <w:rsid w:val="00D01986"/>
    <w:rsid w:val="00D027A2"/>
    <w:rsid w:val="00D02E1C"/>
    <w:rsid w:val="00D040E5"/>
    <w:rsid w:val="00D04984"/>
    <w:rsid w:val="00D04A53"/>
    <w:rsid w:val="00D05907"/>
    <w:rsid w:val="00D07048"/>
    <w:rsid w:val="00D07287"/>
    <w:rsid w:val="00D07574"/>
    <w:rsid w:val="00D11FD9"/>
    <w:rsid w:val="00D1382C"/>
    <w:rsid w:val="00D1441D"/>
    <w:rsid w:val="00D17A7F"/>
    <w:rsid w:val="00D17F19"/>
    <w:rsid w:val="00D2097A"/>
    <w:rsid w:val="00D20D43"/>
    <w:rsid w:val="00D20FEA"/>
    <w:rsid w:val="00D21BE1"/>
    <w:rsid w:val="00D24C3A"/>
    <w:rsid w:val="00D268EB"/>
    <w:rsid w:val="00D27802"/>
    <w:rsid w:val="00D3038D"/>
    <w:rsid w:val="00D32890"/>
    <w:rsid w:val="00D34F6F"/>
    <w:rsid w:val="00D42338"/>
    <w:rsid w:val="00D429DB"/>
    <w:rsid w:val="00D460A4"/>
    <w:rsid w:val="00D46B5A"/>
    <w:rsid w:val="00D5033B"/>
    <w:rsid w:val="00D508B7"/>
    <w:rsid w:val="00D52E5B"/>
    <w:rsid w:val="00D530C3"/>
    <w:rsid w:val="00D56DBD"/>
    <w:rsid w:val="00D571C5"/>
    <w:rsid w:val="00D62BFB"/>
    <w:rsid w:val="00D675CD"/>
    <w:rsid w:val="00D70DF6"/>
    <w:rsid w:val="00D73C02"/>
    <w:rsid w:val="00D7426B"/>
    <w:rsid w:val="00D7506E"/>
    <w:rsid w:val="00D76DA2"/>
    <w:rsid w:val="00D804EF"/>
    <w:rsid w:val="00D82F76"/>
    <w:rsid w:val="00D84798"/>
    <w:rsid w:val="00D84D8A"/>
    <w:rsid w:val="00D85C7B"/>
    <w:rsid w:val="00D92269"/>
    <w:rsid w:val="00D92F27"/>
    <w:rsid w:val="00D96200"/>
    <w:rsid w:val="00DA0E82"/>
    <w:rsid w:val="00DA3B8D"/>
    <w:rsid w:val="00DA4C22"/>
    <w:rsid w:val="00DA50F2"/>
    <w:rsid w:val="00DA5777"/>
    <w:rsid w:val="00DA732B"/>
    <w:rsid w:val="00DA7E91"/>
    <w:rsid w:val="00DB295D"/>
    <w:rsid w:val="00DB43BF"/>
    <w:rsid w:val="00DB4449"/>
    <w:rsid w:val="00DB4E97"/>
    <w:rsid w:val="00DB67D5"/>
    <w:rsid w:val="00DC03AC"/>
    <w:rsid w:val="00DC2348"/>
    <w:rsid w:val="00DC33D1"/>
    <w:rsid w:val="00DC52E8"/>
    <w:rsid w:val="00DD0A84"/>
    <w:rsid w:val="00DD1DB6"/>
    <w:rsid w:val="00DD2162"/>
    <w:rsid w:val="00DD39D1"/>
    <w:rsid w:val="00DD4730"/>
    <w:rsid w:val="00DD51B4"/>
    <w:rsid w:val="00DD5447"/>
    <w:rsid w:val="00DD586B"/>
    <w:rsid w:val="00DD5C5B"/>
    <w:rsid w:val="00DE2022"/>
    <w:rsid w:val="00DE3B90"/>
    <w:rsid w:val="00DE6289"/>
    <w:rsid w:val="00DF367A"/>
    <w:rsid w:val="00DF483E"/>
    <w:rsid w:val="00DF62DB"/>
    <w:rsid w:val="00DF6A5E"/>
    <w:rsid w:val="00DF6D93"/>
    <w:rsid w:val="00E00CC1"/>
    <w:rsid w:val="00E032B7"/>
    <w:rsid w:val="00E04DAA"/>
    <w:rsid w:val="00E05526"/>
    <w:rsid w:val="00E058FD"/>
    <w:rsid w:val="00E0607F"/>
    <w:rsid w:val="00E073BA"/>
    <w:rsid w:val="00E121D5"/>
    <w:rsid w:val="00E13040"/>
    <w:rsid w:val="00E1523B"/>
    <w:rsid w:val="00E153A1"/>
    <w:rsid w:val="00E175AC"/>
    <w:rsid w:val="00E17FBC"/>
    <w:rsid w:val="00E22A93"/>
    <w:rsid w:val="00E24AF1"/>
    <w:rsid w:val="00E26C1C"/>
    <w:rsid w:val="00E27204"/>
    <w:rsid w:val="00E304EF"/>
    <w:rsid w:val="00E31477"/>
    <w:rsid w:val="00E377B3"/>
    <w:rsid w:val="00E3788F"/>
    <w:rsid w:val="00E41EB5"/>
    <w:rsid w:val="00E425D3"/>
    <w:rsid w:val="00E42767"/>
    <w:rsid w:val="00E468C9"/>
    <w:rsid w:val="00E4787D"/>
    <w:rsid w:val="00E5039F"/>
    <w:rsid w:val="00E5089E"/>
    <w:rsid w:val="00E514EE"/>
    <w:rsid w:val="00E539A0"/>
    <w:rsid w:val="00E5691C"/>
    <w:rsid w:val="00E6207C"/>
    <w:rsid w:val="00E64723"/>
    <w:rsid w:val="00E6697F"/>
    <w:rsid w:val="00E713EE"/>
    <w:rsid w:val="00E72131"/>
    <w:rsid w:val="00E7613E"/>
    <w:rsid w:val="00E85E8A"/>
    <w:rsid w:val="00E949F4"/>
    <w:rsid w:val="00E97ABD"/>
    <w:rsid w:val="00E97E82"/>
    <w:rsid w:val="00EA301B"/>
    <w:rsid w:val="00EA54A3"/>
    <w:rsid w:val="00EA589A"/>
    <w:rsid w:val="00EA599B"/>
    <w:rsid w:val="00EB2602"/>
    <w:rsid w:val="00EB2F37"/>
    <w:rsid w:val="00EB37E9"/>
    <w:rsid w:val="00EB76F4"/>
    <w:rsid w:val="00EB7B0B"/>
    <w:rsid w:val="00EC0734"/>
    <w:rsid w:val="00EC1BCA"/>
    <w:rsid w:val="00EC260B"/>
    <w:rsid w:val="00EC4C63"/>
    <w:rsid w:val="00EC4D05"/>
    <w:rsid w:val="00EC520A"/>
    <w:rsid w:val="00EC54E1"/>
    <w:rsid w:val="00ED0978"/>
    <w:rsid w:val="00ED18B9"/>
    <w:rsid w:val="00ED1AD7"/>
    <w:rsid w:val="00ED2E03"/>
    <w:rsid w:val="00ED4546"/>
    <w:rsid w:val="00ED4E2E"/>
    <w:rsid w:val="00ED5B8D"/>
    <w:rsid w:val="00EE0CC0"/>
    <w:rsid w:val="00EE1873"/>
    <w:rsid w:val="00EE1BFE"/>
    <w:rsid w:val="00EE35E2"/>
    <w:rsid w:val="00EE36DA"/>
    <w:rsid w:val="00EE4C46"/>
    <w:rsid w:val="00EE51E7"/>
    <w:rsid w:val="00EE7E6A"/>
    <w:rsid w:val="00EF1124"/>
    <w:rsid w:val="00EF16CA"/>
    <w:rsid w:val="00EF1765"/>
    <w:rsid w:val="00EF240D"/>
    <w:rsid w:val="00EF33C8"/>
    <w:rsid w:val="00EF671A"/>
    <w:rsid w:val="00F00D79"/>
    <w:rsid w:val="00F010E2"/>
    <w:rsid w:val="00F03333"/>
    <w:rsid w:val="00F056AF"/>
    <w:rsid w:val="00F1154B"/>
    <w:rsid w:val="00F115A2"/>
    <w:rsid w:val="00F16F0E"/>
    <w:rsid w:val="00F250A1"/>
    <w:rsid w:val="00F253FA"/>
    <w:rsid w:val="00F25F58"/>
    <w:rsid w:val="00F26E73"/>
    <w:rsid w:val="00F32C39"/>
    <w:rsid w:val="00F35E3B"/>
    <w:rsid w:val="00F37FF5"/>
    <w:rsid w:val="00F438A8"/>
    <w:rsid w:val="00F465C4"/>
    <w:rsid w:val="00F465D4"/>
    <w:rsid w:val="00F46D4B"/>
    <w:rsid w:val="00F46F32"/>
    <w:rsid w:val="00F52FC6"/>
    <w:rsid w:val="00F543DD"/>
    <w:rsid w:val="00F54E22"/>
    <w:rsid w:val="00F56601"/>
    <w:rsid w:val="00F574D6"/>
    <w:rsid w:val="00F627DD"/>
    <w:rsid w:val="00F63C47"/>
    <w:rsid w:val="00F66B23"/>
    <w:rsid w:val="00F67D4C"/>
    <w:rsid w:val="00F71E6A"/>
    <w:rsid w:val="00F72EA7"/>
    <w:rsid w:val="00F73E15"/>
    <w:rsid w:val="00F83618"/>
    <w:rsid w:val="00F86897"/>
    <w:rsid w:val="00F966E7"/>
    <w:rsid w:val="00FA2557"/>
    <w:rsid w:val="00FA383D"/>
    <w:rsid w:val="00FA6150"/>
    <w:rsid w:val="00FA71D3"/>
    <w:rsid w:val="00FA7365"/>
    <w:rsid w:val="00FA7721"/>
    <w:rsid w:val="00FA7C47"/>
    <w:rsid w:val="00FB396B"/>
    <w:rsid w:val="00FC04FB"/>
    <w:rsid w:val="00FC25AA"/>
    <w:rsid w:val="00FC3B00"/>
    <w:rsid w:val="00FC67C4"/>
    <w:rsid w:val="00FC6DA5"/>
    <w:rsid w:val="00FD110A"/>
    <w:rsid w:val="00FD5248"/>
    <w:rsid w:val="00FD7DD6"/>
    <w:rsid w:val="00FE0330"/>
    <w:rsid w:val="00FE36BF"/>
    <w:rsid w:val="00FE5BEC"/>
    <w:rsid w:val="00FE7F88"/>
    <w:rsid w:val="010811C4"/>
    <w:rsid w:val="02584601"/>
    <w:rsid w:val="033365C7"/>
    <w:rsid w:val="03764359"/>
    <w:rsid w:val="058034D0"/>
    <w:rsid w:val="0B2467B8"/>
    <w:rsid w:val="0D8B0AD4"/>
    <w:rsid w:val="11280D37"/>
    <w:rsid w:val="114A2A50"/>
    <w:rsid w:val="12EF3DD6"/>
    <w:rsid w:val="137268BD"/>
    <w:rsid w:val="155E69FB"/>
    <w:rsid w:val="1744303C"/>
    <w:rsid w:val="17F56EDE"/>
    <w:rsid w:val="18BA0A37"/>
    <w:rsid w:val="19AC2F5A"/>
    <w:rsid w:val="1A0C09A3"/>
    <w:rsid w:val="1A1A47D1"/>
    <w:rsid w:val="1AF416CC"/>
    <w:rsid w:val="1BCD6AE7"/>
    <w:rsid w:val="1C182135"/>
    <w:rsid w:val="1C2D2A5D"/>
    <w:rsid w:val="1CA46214"/>
    <w:rsid w:val="1DFF5310"/>
    <w:rsid w:val="1F1B761D"/>
    <w:rsid w:val="1F3A483C"/>
    <w:rsid w:val="1FA47E80"/>
    <w:rsid w:val="1FE558F6"/>
    <w:rsid w:val="228A72DA"/>
    <w:rsid w:val="247578DE"/>
    <w:rsid w:val="25FA69A3"/>
    <w:rsid w:val="27A25D8E"/>
    <w:rsid w:val="29837BE6"/>
    <w:rsid w:val="2B887E8F"/>
    <w:rsid w:val="2C527E4A"/>
    <w:rsid w:val="2C596F3F"/>
    <w:rsid w:val="2C7072E8"/>
    <w:rsid w:val="2F823A85"/>
    <w:rsid w:val="30BE2F56"/>
    <w:rsid w:val="34313D2C"/>
    <w:rsid w:val="34A26247"/>
    <w:rsid w:val="34BC67D7"/>
    <w:rsid w:val="34D04986"/>
    <w:rsid w:val="3701698B"/>
    <w:rsid w:val="38C3655B"/>
    <w:rsid w:val="3AD936A1"/>
    <w:rsid w:val="3B7D1998"/>
    <w:rsid w:val="3C990801"/>
    <w:rsid w:val="3E1E128E"/>
    <w:rsid w:val="3F853907"/>
    <w:rsid w:val="43AD2A6B"/>
    <w:rsid w:val="44042299"/>
    <w:rsid w:val="44A2460A"/>
    <w:rsid w:val="45173602"/>
    <w:rsid w:val="458C7954"/>
    <w:rsid w:val="4BE62BDC"/>
    <w:rsid w:val="4C202DB8"/>
    <w:rsid w:val="4C53077D"/>
    <w:rsid w:val="4D232413"/>
    <w:rsid w:val="4D882D6A"/>
    <w:rsid w:val="4D9775E9"/>
    <w:rsid w:val="4E270E54"/>
    <w:rsid w:val="4EDF0F9F"/>
    <w:rsid w:val="511A0733"/>
    <w:rsid w:val="51835FE1"/>
    <w:rsid w:val="528B5CE5"/>
    <w:rsid w:val="528E5230"/>
    <w:rsid w:val="546A57B7"/>
    <w:rsid w:val="554622F4"/>
    <w:rsid w:val="55DC1C16"/>
    <w:rsid w:val="566077FB"/>
    <w:rsid w:val="56CC500A"/>
    <w:rsid w:val="57CB2DF5"/>
    <w:rsid w:val="59BF06D2"/>
    <w:rsid w:val="5A0329AD"/>
    <w:rsid w:val="5AAB3234"/>
    <w:rsid w:val="5B6F45BF"/>
    <w:rsid w:val="5C7622AA"/>
    <w:rsid w:val="5D30585D"/>
    <w:rsid w:val="5DBF6738"/>
    <w:rsid w:val="5E5269FE"/>
    <w:rsid w:val="5E547699"/>
    <w:rsid w:val="5E837C93"/>
    <w:rsid w:val="5F9C7C43"/>
    <w:rsid w:val="5FB8547F"/>
    <w:rsid w:val="63172813"/>
    <w:rsid w:val="63861381"/>
    <w:rsid w:val="65295866"/>
    <w:rsid w:val="65E019AC"/>
    <w:rsid w:val="665755E5"/>
    <w:rsid w:val="686700D0"/>
    <w:rsid w:val="688E6C63"/>
    <w:rsid w:val="68FF7F45"/>
    <w:rsid w:val="6A310411"/>
    <w:rsid w:val="6A3A0B74"/>
    <w:rsid w:val="6A944EE1"/>
    <w:rsid w:val="6A985AB9"/>
    <w:rsid w:val="6D4318EA"/>
    <w:rsid w:val="6D491D7F"/>
    <w:rsid w:val="6D642C33"/>
    <w:rsid w:val="6DA87FC4"/>
    <w:rsid w:val="6E71483D"/>
    <w:rsid w:val="6FAF16C2"/>
    <w:rsid w:val="775F12C1"/>
    <w:rsid w:val="778A0C6D"/>
    <w:rsid w:val="78580A64"/>
    <w:rsid w:val="78A855C2"/>
    <w:rsid w:val="79BF5D48"/>
    <w:rsid w:val="7AC81627"/>
    <w:rsid w:val="7C322CAF"/>
    <w:rsid w:val="7DB34CED"/>
    <w:rsid w:val="7E59139E"/>
    <w:rsid w:val="7EB34D96"/>
    <w:rsid w:val="7EBB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060D"/>
  <w15:docId w15:val="{6A91B6F3-52F6-495E-8F4E-D3F4D70F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autoRedefine/>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autoRedefine/>
    <w:qFormat/>
    <w:pPr>
      <w:jc w:val="both"/>
    </w:pPr>
  </w:style>
  <w:style w:type="paragraph" w:styleId="a3">
    <w:name w:val="annotation text"/>
    <w:basedOn w:val="a"/>
    <w:link w:val="a4"/>
    <w:autoRedefine/>
    <w:qFormat/>
  </w:style>
  <w:style w:type="paragraph" w:styleId="a5">
    <w:name w:val="Body Text"/>
    <w:basedOn w:val="a"/>
    <w:uiPriority w:val="1"/>
    <w:qFormat/>
    <w:pPr>
      <w:spacing w:before="1"/>
      <w:ind w:rightChars="100" w:right="220"/>
      <w:jc w:val="center"/>
    </w:pPr>
    <w:rPr>
      <w:b/>
      <w:bCs/>
      <w:sz w:val="28"/>
      <w:szCs w:val="28"/>
    </w:rPr>
  </w:style>
  <w:style w:type="paragraph" w:styleId="a6">
    <w:name w:val="Balloon Text"/>
    <w:basedOn w:val="a"/>
    <w:link w:val="a7"/>
    <w:autoRedefine/>
    <w:qFormat/>
    <w:rPr>
      <w:sz w:val="18"/>
      <w:szCs w:val="18"/>
    </w:rPr>
  </w:style>
  <w:style w:type="paragraph" w:styleId="a8">
    <w:name w:val="footer"/>
    <w:basedOn w:val="a"/>
    <w:autoRedefine/>
    <w:qFormat/>
    <w:pPr>
      <w:tabs>
        <w:tab w:val="center" w:pos="4153"/>
        <w:tab w:val="right" w:pos="8306"/>
      </w:tabs>
      <w:snapToGrid w:val="0"/>
    </w:pPr>
    <w:rPr>
      <w:sz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100" w:beforeAutospacing="1" w:after="100" w:afterAutospacing="1"/>
    </w:pPr>
    <w:rPr>
      <w:rFonts w:cs="Times New Roman"/>
      <w:sz w:val="24"/>
      <w:lang w:val="en-US" w:bidi="ar-SA"/>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pPr>
      <w:spacing w:before="22"/>
    </w:pPr>
  </w:style>
  <w:style w:type="paragraph" w:styleId="af0">
    <w:name w:val="List Paragraph"/>
    <w:basedOn w:val="a"/>
    <w:autoRedefine/>
    <w:uiPriority w:val="1"/>
    <w:qFormat/>
  </w:style>
  <w:style w:type="table" w:customStyle="1" w:styleId="TableNormal">
    <w:name w:val="Table Normal"/>
    <w:autoRedefine/>
    <w:uiPriority w:val="2"/>
    <w:unhideWhenUsed/>
    <w:qFormat/>
    <w:tblPr>
      <w:tblCellMar>
        <w:top w:w="0" w:type="dxa"/>
        <w:left w:w="0" w:type="dxa"/>
        <w:bottom w:w="0" w:type="dxa"/>
        <w:right w:w="0" w:type="dxa"/>
      </w:tblCellMar>
    </w:tblPr>
  </w:style>
  <w:style w:type="character" w:customStyle="1" w:styleId="aa">
    <w:name w:val="页眉 字符"/>
    <w:basedOn w:val="a0"/>
    <w:link w:val="a9"/>
    <w:autoRedefine/>
    <w:uiPriority w:val="99"/>
    <w:qFormat/>
    <w:rPr>
      <w:rFonts w:ascii="宋体" w:hAnsi="宋体" w:cs="宋体"/>
      <w:sz w:val="18"/>
      <w:szCs w:val="18"/>
      <w:lang w:val="zh-CN" w:bidi="zh-CN"/>
    </w:rPr>
  </w:style>
  <w:style w:type="paragraph" w:customStyle="1" w:styleId="1">
    <w:name w:val="修订1"/>
    <w:autoRedefine/>
    <w:hidden/>
    <w:uiPriority w:val="99"/>
    <w:semiHidden/>
    <w:qFormat/>
    <w:rPr>
      <w:rFonts w:ascii="宋体" w:hAnsi="宋体" w:cs="宋体"/>
      <w:sz w:val="22"/>
      <w:szCs w:val="22"/>
      <w:lang w:val="zh-CN" w:bidi="zh-CN"/>
    </w:rPr>
  </w:style>
  <w:style w:type="character" w:customStyle="1" w:styleId="a4">
    <w:name w:val="批注文字 字符"/>
    <w:basedOn w:val="a0"/>
    <w:link w:val="a3"/>
    <w:autoRedefine/>
    <w:qFormat/>
    <w:rPr>
      <w:rFonts w:ascii="宋体" w:hAnsi="宋体" w:cs="宋体"/>
      <w:sz w:val="22"/>
      <w:szCs w:val="22"/>
      <w:lang w:val="zh-CN" w:bidi="zh-CN"/>
    </w:rPr>
  </w:style>
  <w:style w:type="character" w:customStyle="1" w:styleId="ad">
    <w:name w:val="批注主题 字符"/>
    <w:basedOn w:val="a4"/>
    <w:link w:val="ac"/>
    <w:autoRedefine/>
    <w:qFormat/>
    <w:rPr>
      <w:rFonts w:ascii="宋体" w:hAnsi="宋体" w:cs="宋体"/>
      <w:b/>
      <w:bCs/>
      <w:sz w:val="22"/>
      <w:szCs w:val="22"/>
      <w:lang w:val="zh-CN" w:bidi="zh-CN"/>
    </w:rPr>
  </w:style>
  <w:style w:type="character" w:customStyle="1" w:styleId="a7">
    <w:name w:val="批注框文本 字符"/>
    <w:basedOn w:val="a0"/>
    <w:link w:val="a6"/>
    <w:autoRedefine/>
    <w:qFormat/>
    <w:rPr>
      <w:rFonts w:ascii="宋体" w:hAnsi="宋体" w:cs="宋体"/>
      <w:sz w:val="18"/>
      <w:szCs w:val="18"/>
      <w:lang w:val="zh-CN" w:bidi="zh-CN"/>
    </w:rPr>
  </w:style>
  <w:style w:type="paragraph" w:customStyle="1" w:styleId="20">
    <w:name w:val="修订2"/>
    <w:autoRedefine/>
    <w:hidden/>
    <w:uiPriority w:val="99"/>
    <w:semiHidden/>
    <w:qFormat/>
    <w:rPr>
      <w:rFonts w:ascii="宋体" w:hAnsi="宋体" w:cs="宋体"/>
      <w:sz w:val="22"/>
      <w:szCs w:val="22"/>
      <w:lang w:val="zh-CN" w:bidi="zh-CN"/>
    </w:rPr>
  </w:style>
  <w:style w:type="paragraph" w:customStyle="1" w:styleId="3">
    <w:name w:val="修订3"/>
    <w:autoRedefine/>
    <w:hidden/>
    <w:uiPriority w:val="99"/>
    <w:semiHidden/>
    <w:qFormat/>
    <w:rPr>
      <w:rFonts w:ascii="宋体" w:hAnsi="宋体" w:cs="宋体"/>
      <w:sz w:val="22"/>
      <w:szCs w:val="22"/>
      <w:lang w:val="zh-CN" w:bidi="zh-CN"/>
    </w:rPr>
  </w:style>
  <w:style w:type="paragraph" w:customStyle="1" w:styleId="4">
    <w:name w:val="修订4"/>
    <w:autoRedefine/>
    <w:hidden/>
    <w:uiPriority w:val="99"/>
    <w:semiHidden/>
    <w:qFormat/>
    <w:rPr>
      <w:rFonts w:ascii="宋体" w:hAnsi="宋体" w:cs="宋体"/>
      <w:sz w:val="22"/>
      <w:szCs w:val="22"/>
      <w:lang w:val="zh-CN" w:bidi="zh-CN"/>
    </w:rPr>
  </w:style>
  <w:style w:type="paragraph" w:customStyle="1" w:styleId="5">
    <w:name w:val="修订5"/>
    <w:autoRedefine/>
    <w:hidden/>
    <w:uiPriority w:val="99"/>
    <w:semiHidden/>
    <w:qFormat/>
    <w:rPr>
      <w:rFonts w:ascii="宋体" w:hAnsi="宋体" w:cs="宋体"/>
      <w:sz w:val="22"/>
      <w:szCs w:val="22"/>
      <w:lang w:val="zh-CN" w:bidi="zh-CN"/>
    </w:rPr>
  </w:style>
  <w:style w:type="paragraph" w:customStyle="1" w:styleId="6">
    <w:name w:val="修订6"/>
    <w:autoRedefine/>
    <w:hidden/>
    <w:uiPriority w:val="99"/>
    <w:semiHidden/>
    <w:qFormat/>
    <w:rPr>
      <w:rFonts w:ascii="宋体" w:hAnsi="宋体" w:cs="宋体"/>
      <w:sz w:val="22"/>
      <w:szCs w:val="22"/>
      <w:lang w:val="zh-CN" w:bidi="zh-CN"/>
    </w:rPr>
  </w:style>
  <w:style w:type="paragraph" w:customStyle="1" w:styleId="7">
    <w:name w:val="修订7"/>
    <w:autoRedefine/>
    <w:hidden/>
    <w:uiPriority w:val="99"/>
    <w:unhideWhenUsed/>
    <w:qFormat/>
    <w:rPr>
      <w:rFonts w:ascii="宋体" w:hAnsi="宋体" w:cs="宋体"/>
      <w:sz w:val="22"/>
      <w:szCs w:val="22"/>
      <w:lang w:val="zh-CN" w:bidi="zh-CN"/>
    </w:rPr>
  </w:style>
  <w:style w:type="paragraph" w:customStyle="1" w:styleId="8">
    <w:name w:val="修订8"/>
    <w:autoRedefine/>
    <w:hidden/>
    <w:uiPriority w:val="99"/>
    <w:unhideWhenUsed/>
    <w:qFormat/>
    <w:rPr>
      <w:rFonts w:ascii="宋体" w:hAnsi="宋体" w:cs="宋体"/>
      <w:sz w:val="22"/>
      <w:szCs w:val="22"/>
      <w:lang w:val="zh-CN" w:bidi="zh-CN"/>
    </w:rPr>
  </w:style>
  <w:style w:type="paragraph" w:customStyle="1" w:styleId="9">
    <w:name w:val="修订9"/>
    <w:hidden/>
    <w:uiPriority w:val="99"/>
    <w:unhideWhenUsed/>
    <w:qFormat/>
    <w:rPr>
      <w:rFonts w:ascii="宋体" w:hAnsi="宋体" w:cs="宋体"/>
      <w:sz w:val="22"/>
      <w:szCs w:val="22"/>
      <w:lang w:val="zh-CN" w:bidi="zh-CN"/>
    </w:rPr>
  </w:style>
  <w:style w:type="paragraph" w:customStyle="1" w:styleId="10">
    <w:name w:val="修订10"/>
    <w:hidden/>
    <w:uiPriority w:val="99"/>
    <w:unhideWhenUsed/>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6B55D7D-FA61-4AF0-860A-14CDD99670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434</cp:revision>
  <cp:lastPrinted>2024-04-01T03:17:00Z</cp:lastPrinted>
  <dcterms:created xsi:type="dcterms:W3CDTF">2023-09-11T09:27:00Z</dcterms:created>
  <dcterms:modified xsi:type="dcterms:W3CDTF">2024-09-02T08:21:00Z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2052-12.1.0.17827</vt:lpwstr>
  </property>
  <property fmtid="{D5CDD505-2E9C-101B-9397-08002B2CF9AE}" pid="6" name="ICV">
    <vt:lpwstr>BB35502E338F4FFCBED2000A400A33F5_13</vt:lpwstr>
  </property>
</Properties>
</file>