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A3E1">
      <w:pPr>
        <w:spacing w:beforeLines="50"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600717                             </w:t>
      </w:r>
      <w:r>
        <w:rPr>
          <w:rFonts w:hAnsi="宋体"/>
          <w:bCs/>
          <w:iCs/>
          <w:color w:val="000000"/>
          <w:sz w:val="24"/>
        </w:rPr>
        <w:t>证券简称：</w:t>
      </w:r>
      <w:r>
        <w:rPr>
          <w:color w:val="000000"/>
          <w:sz w:val="24"/>
        </w:rPr>
        <w:t>天津港</w:t>
      </w:r>
    </w:p>
    <w:p w14:paraId="3D4A5E13">
      <w:pPr>
        <w:spacing w:beforeLines="50" w:afterLines="50" w:line="400" w:lineRule="exact"/>
        <w:jc w:val="center"/>
        <w:rPr>
          <w:rFonts w:ascii="宋体" w:hAnsi="宋体"/>
          <w:b/>
          <w:bCs/>
          <w:iCs/>
          <w:color w:val="000000"/>
          <w:sz w:val="32"/>
          <w:szCs w:val="32"/>
        </w:rPr>
      </w:pPr>
      <w:r>
        <w:rPr>
          <w:rFonts w:ascii="宋体" w:hAnsi="宋体"/>
          <w:b/>
          <w:bCs/>
          <w:iCs/>
          <w:color w:val="000000"/>
          <w:sz w:val="32"/>
          <w:szCs w:val="32"/>
        </w:rPr>
        <w:t>天津港股份有限公司</w:t>
      </w:r>
      <w:r>
        <w:rPr>
          <w:rFonts w:hint="eastAsia" w:ascii="宋体" w:hAnsi="宋体"/>
          <w:b/>
          <w:bCs/>
          <w:iCs/>
          <w:color w:val="000000"/>
          <w:sz w:val="32"/>
          <w:szCs w:val="32"/>
        </w:rPr>
        <w:t>投资者关系活动记录表</w:t>
      </w:r>
    </w:p>
    <w:p w14:paraId="7A9B853A">
      <w:pPr>
        <w:spacing w:line="400" w:lineRule="exact"/>
        <w:rPr>
          <w:bCs/>
          <w:iCs/>
          <w:color w:val="000000"/>
          <w:sz w:val="24"/>
        </w:rPr>
      </w:pPr>
      <w:r>
        <w:rPr>
          <w:rFonts w:hint="eastAsia" w:ascii="宋体" w:hAnsi="宋体"/>
          <w:bCs/>
          <w:iCs/>
          <w:color w:val="000000"/>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4102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B76FF2A">
            <w:pPr>
              <w:spacing w:line="420" w:lineRule="exact"/>
              <w:rPr>
                <w:bCs/>
                <w:iCs/>
                <w:color w:val="000000"/>
                <w:kern w:val="0"/>
                <w:sz w:val="24"/>
              </w:rPr>
            </w:pPr>
            <w:r>
              <w:rPr>
                <w:rFonts w:hAnsi="宋体"/>
                <w:bCs/>
                <w:iCs/>
                <w:color w:val="000000"/>
                <w:kern w:val="0"/>
                <w:sz w:val="24"/>
              </w:rPr>
              <w:t>投资者关系活动类别</w:t>
            </w:r>
          </w:p>
          <w:p w14:paraId="3BE4DF6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AD5682B">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9478B5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3BA8244">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6581317">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B7352C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6611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B10DF8D">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4A642B53">
            <w:pPr>
              <w:spacing w:line="420" w:lineRule="exact"/>
              <w:rPr>
                <w:bCs/>
                <w:iCs/>
                <w:color w:val="000000"/>
                <w:sz w:val="24"/>
                <w:lang w:val="en-GB"/>
              </w:rPr>
            </w:pPr>
            <w:r>
              <w:rPr>
                <w:rFonts w:hint="eastAsia"/>
                <w:bCs/>
                <w:iCs/>
                <w:color w:val="000000"/>
                <w:sz w:val="24"/>
                <w:lang w:val="en-GB"/>
              </w:rPr>
              <w:t>投资者网上提问</w:t>
            </w:r>
          </w:p>
        </w:tc>
      </w:tr>
      <w:tr w14:paraId="40D7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A7B22BB">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5BFD0219">
            <w:pPr>
              <w:spacing w:line="420" w:lineRule="exact"/>
              <w:rPr>
                <w:bCs/>
                <w:iCs/>
                <w:color w:val="000000"/>
                <w:sz w:val="24"/>
              </w:rPr>
            </w:pPr>
            <w:r>
              <w:rPr>
                <w:bCs/>
                <w:iCs/>
                <w:color w:val="000000"/>
                <w:sz w:val="24"/>
              </w:rPr>
              <w:t>2024年9月3日 (周二) 下午 13:30~16:30</w:t>
            </w:r>
          </w:p>
        </w:tc>
      </w:tr>
      <w:tr w14:paraId="0A48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D2127C1">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47C6FA40">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cs="宋体"/>
                <w:sz w:val="24"/>
              </w:rPr>
              <w:t>投资者关系互动平台</w:t>
            </w:r>
            <w:r>
              <w:rPr>
                <w:rFonts w:hint="eastAsia" w:ascii="宋体" w:hAnsi="宋体"/>
                <w:bCs/>
                <w:sz w:val="24"/>
              </w:rPr>
              <w:t>”（http</w:t>
            </w:r>
            <w:r>
              <w:rPr>
                <w:rFonts w:ascii="宋体" w:hAnsi="宋体"/>
                <w:bCs/>
                <w:sz w:val="24"/>
              </w:rPr>
              <w:t>s</w:t>
            </w:r>
            <w:r>
              <w:rPr>
                <w:rFonts w:hint="eastAsia" w:ascii="宋体" w:hAnsi="宋体"/>
                <w:bCs/>
                <w:sz w:val="24"/>
              </w:rPr>
              <w:t>://ir.p5w.net）采用网络远程的方式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2DA0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1105D8D">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1619A23">
            <w:pPr>
              <w:spacing w:line="420" w:lineRule="exact"/>
              <w:rPr>
                <w:rFonts w:ascii="宋体" w:hAnsi="宋体"/>
                <w:bCs/>
                <w:sz w:val="24"/>
              </w:rPr>
            </w:pPr>
            <w:r>
              <w:rPr>
                <w:rFonts w:ascii="宋体" w:hAnsi="宋体"/>
                <w:bCs/>
                <w:sz w:val="24"/>
              </w:rPr>
              <w:t>1、总裁陈涛</w:t>
            </w:r>
          </w:p>
          <w:p w14:paraId="034D60C9">
            <w:pPr>
              <w:spacing w:line="420" w:lineRule="exact"/>
              <w:rPr>
                <w:rFonts w:ascii="宋体" w:hAnsi="宋体"/>
                <w:bCs/>
                <w:sz w:val="24"/>
              </w:rPr>
            </w:pPr>
            <w:r>
              <w:rPr>
                <w:rFonts w:ascii="宋体" w:hAnsi="宋体"/>
                <w:bCs/>
                <w:sz w:val="24"/>
              </w:rPr>
              <w:t>2、副总</w:t>
            </w:r>
            <w:r>
              <w:rPr>
                <w:rFonts w:hint="eastAsia" w:ascii="宋体" w:hAnsi="宋体"/>
                <w:bCs/>
                <w:sz w:val="24"/>
                <w:lang w:eastAsia="zh-CN"/>
              </w:rPr>
              <w:t>裁</w:t>
            </w:r>
            <w:r>
              <w:rPr>
                <w:rFonts w:ascii="宋体" w:hAnsi="宋体"/>
                <w:bCs/>
                <w:sz w:val="24"/>
              </w:rPr>
              <w:t>、财务负责人方胜</w:t>
            </w:r>
          </w:p>
          <w:p w14:paraId="2E3439A6">
            <w:pPr>
              <w:spacing w:line="420" w:lineRule="exact"/>
              <w:rPr>
                <w:rFonts w:ascii="宋体" w:hAnsi="宋体"/>
                <w:bCs/>
                <w:sz w:val="24"/>
              </w:rPr>
            </w:pPr>
            <w:r>
              <w:rPr>
                <w:rFonts w:ascii="宋体" w:hAnsi="宋体"/>
                <w:bCs/>
                <w:sz w:val="24"/>
              </w:rPr>
              <w:t>3、独立董事杜庆春</w:t>
            </w:r>
          </w:p>
          <w:p w14:paraId="3C766C0E">
            <w:pPr>
              <w:spacing w:line="420" w:lineRule="exact"/>
              <w:rPr>
                <w:rFonts w:ascii="宋体" w:hAnsi="宋体"/>
                <w:bCs/>
                <w:sz w:val="24"/>
              </w:rPr>
            </w:pPr>
            <w:r>
              <w:rPr>
                <w:rFonts w:ascii="宋体" w:hAnsi="宋体"/>
                <w:bCs/>
                <w:sz w:val="24"/>
              </w:rPr>
              <w:t>4、董秘郭小薇</w:t>
            </w:r>
            <w:bookmarkStart w:id="0" w:name="_GoBack"/>
            <w:bookmarkEnd w:id="0"/>
          </w:p>
        </w:tc>
      </w:tr>
      <w:tr w14:paraId="091A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7C7EBE4">
            <w:pPr>
              <w:spacing w:line="420" w:lineRule="exact"/>
              <w:rPr>
                <w:bCs/>
                <w:iCs/>
                <w:color w:val="000000"/>
                <w:kern w:val="0"/>
                <w:sz w:val="24"/>
              </w:rPr>
            </w:pPr>
            <w:r>
              <w:rPr>
                <w:rFonts w:hAnsi="宋体"/>
                <w:bCs/>
                <w:iCs/>
                <w:color w:val="000000"/>
                <w:kern w:val="0"/>
                <w:sz w:val="24"/>
              </w:rPr>
              <w:t>投资者关系活动主要内容介绍</w:t>
            </w:r>
          </w:p>
          <w:p w14:paraId="6C9F09F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34B36FFA">
            <w:pPr>
              <w:spacing w:beforeLines="50" w:line="460" w:lineRule="exact"/>
              <w:ind w:firstLine="600" w:firstLineChars="249"/>
              <w:rPr>
                <w:rFonts w:ascii="宋体" w:hAnsi="宋体"/>
                <w:b/>
                <w:sz w:val="24"/>
              </w:rPr>
            </w:pPr>
            <w:r>
              <w:rPr>
                <w:rFonts w:ascii="宋体" w:hAnsi="宋体"/>
                <w:b/>
                <w:sz w:val="24"/>
              </w:rPr>
              <w:t>投资者提出的问题及公司回复情况</w:t>
            </w:r>
          </w:p>
          <w:p w14:paraId="4448F93A">
            <w:pPr>
              <w:spacing w:line="460" w:lineRule="exact"/>
              <w:ind w:firstLine="480" w:firstLineChars="20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29C4E29B">
            <w:pPr>
              <w:pStyle w:val="8"/>
              <w:spacing w:line="460" w:lineRule="exact"/>
              <w:ind w:left="413" w:firstLine="0" w:firstLineChars="0"/>
              <w:rPr>
                <w:rFonts w:ascii="宋体" w:hAnsi="宋体"/>
                <w:b/>
                <w:sz w:val="24"/>
                <w:szCs w:val="24"/>
              </w:rPr>
            </w:pPr>
            <w:r>
              <w:rPr>
                <w:rFonts w:ascii="宋体" w:hAnsi="宋体"/>
                <w:b/>
                <w:sz w:val="24"/>
                <w:szCs w:val="24"/>
              </w:rPr>
              <w:t>1、请问上半年折旧是否影响到净利润？</w:t>
            </w:r>
          </w:p>
          <w:p w14:paraId="132B6505">
            <w:pPr>
              <w:pStyle w:val="8"/>
              <w:spacing w:line="460" w:lineRule="exact"/>
              <w:ind w:left="-2" w:leftChars="-1" w:firstLine="480"/>
              <w:rPr>
                <w:rFonts w:ascii="宋体" w:hAnsi="宋体"/>
                <w:sz w:val="24"/>
                <w:szCs w:val="24"/>
              </w:rPr>
            </w:pPr>
            <w:r>
              <w:rPr>
                <w:rFonts w:ascii="宋体" w:hAnsi="宋体"/>
                <w:sz w:val="24"/>
                <w:szCs w:val="24"/>
              </w:rPr>
              <w:t>您好！按照会计准则要求，折旧计入当期成本费用，作为总成本的组成部分。感谢您的关注！</w:t>
            </w:r>
          </w:p>
          <w:p w14:paraId="3DD5B57B">
            <w:pPr>
              <w:pStyle w:val="8"/>
              <w:spacing w:line="460" w:lineRule="exact"/>
              <w:ind w:firstLineChars="0"/>
              <w:rPr>
                <w:rFonts w:ascii="宋体" w:hAnsi="宋体"/>
                <w:b/>
                <w:sz w:val="24"/>
                <w:szCs w:val="24"/>
              </w:rPr>
            </w:pPr>
            <w:r>
              <w:rPr>
                <w:rFonts w:ascii="宋体" w:hAnsi="宋体"/>
                <w:b/>
                <w:sz w:val="24"/>
                <w:szCs w:val="24"/>
              </w:rPr>
              <w:t>2、天津港为什么投入大量的资金用于智能化改造后反而今年上半年的人工费用涨了百分之十五，这种上涨是持续的，还是特殊原因引起的？</w:t>
            </w:r>
          </w:p>
          <w:p w14:paraId="73BA3ABB">
            <w:pPr>
              <w:pStyle w:val="8"/>
              <w:spacing w:line="460" w:lineRule="exact"/>
              <w:ind w:left="-2" w:leftChars="-1" w:firstLine="480"/>
              <w:rPr>
                <w:rFonts w:ascii="宋体" w:hAnsi="宋体"/>
                <w:sz w:val="24"/>
                <w:szCs w:val="24"/>
              </w:rPr>
            </w:pPr>
            <w:r>
              <w:rPr>
                <w:rFonts w:ascii="宋体" w:hAnsi="宋体"/>
                <w:sz w:val="24"/>
                <w:szCs w:val="24"/>
              </w:rPr>
              <w:t>您好！近年来智慧港口建设项目投入运营后，综合运营成本得到有效控制。感谢您的关注！</w:t>
            </w:r>
          </w:p>
          <w:p w14:paraId="47E2729E">
            <w:pPr>
              <w:pStyle w:val="8"/>
              <w:spacing w:line="460" w:lineRule="exact"/>
              <w:ind w:firstLineChars="0"/>
              <w:rPr>
                <w:rFonts w:ascii="宋体" w:hAnsi="宋体"/>
                <w:b/>
                <w:sz w:val="24"/>
                <w:szCs w:val="24"/>
              </w:rPr>
            </w:pPr>
            <w:r>
              <w:rPr>
                <w:rFonts w:ascii="宋体" w:hAnsi="宋体"/>
                <w:b/>
                <w:sz w:val="24"/>
                <w:szCs w:val="24"/>
              </w:rPr>
              <w:t>3、您好，公司智能港口推进情况如何，从哪些方面提升了公司效益，是否降低了成本？</w:t>
            </w:r>
          </w:p>
          <w:p w14:paraId="2A7DC955">
            <w:pPr>
              <w:pStyle w:val="8"/>
              <w:spacing w:line="460" w:lineRule="exact"/>
              <w:ind w:left="-2" w:leftChars="-1" w:firstLine="480"/>
              <w:rPr>
                <w:rFonts w:ascii="宋体" w:hAnsi="宋体"/>
                <w:sz w:val="24"/>
                <w:szCs w:val="24"/>
              </w:rPr>
            </w:pPr>
            <w:r>
              <w:rPr>
                <w:rFonts w:ascii="宋体" w:hAnsi="宋体"/>
                <w:sz w:val="24"/>
                <w:szCs w:val="24"/>
              </w:rPr>
              <w:t>您好！2024年以来公司持续推进智慧码头建设，着力推动自动化改造，努力推进集装箱、散杂货泊位实现全流程自动化实船作业，着力运营数字化升级，成功上线运行多个码头管控系统、电子平台，进一步提升智能化管控水平，以港口智慧化建设持续推进公司的可持续发展。</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近年来智慧港口建设项目投入运营后，较传统码头整体作业效率有较大提升，综合运营成本有所下降。感谢您的关注！</w:t>
            </w:r>
          </w:p>
          <w:p w14:paraId="1146DF5B">
            <w:pPr>
              <w:pStyle w:val="8"/>
              <w:spacing w:line="460" w:lineRule="exact"/>
              <w:ind w:firstLineChars="0"/>
              <w:rPr>
                <w:rFonts w:ascii="宋体" w:hAnsi="宋体"/>
                <w:b/>
                <w:sz w:val="24"/>
                <w:szCs w:val="24"/>
              </w:rPr>
            </w:pPr>
            <w:r>
              <w:rPr>
                <w:rFonts w:ascii="宋体" w:hAnsi="宋体"/>
                <w:b/>
                <w:sz w:val="24"/>
                <w:szCs w:val="24"/>
              </w:rPr>
              <w:t>4、您好，证监会新规明确提出鼓励上市公司在符合利润分配的条件下增加现金分红频次，公司今年是否考虑中期分红？</w:t>
            </w:r>
          </w:p>
          <w:p w14:paraId="70505C91">
            <w:pPr>
              <w:pStyle w:val="8"/>
              <w:spacing w:line="460" w:lineRule="exact"/>
              <w:ind w:left="-2" w:leftChars="-1" w:firstLine="480"/>
              <w:rPr>
                <w:rFonts w:ascii="宋体" w:hAnsi="宋体"/>
                <w:sz w:val="24"/>
                <w:szCs w:val="24"/>
              </w:rPr>
            </w:pPr>
            <w:r>
              <w:rPr>
                <w:rFonts w:ascii="宋体" w:hAnsi="宋体"/>
                <w:sz w:val="24"/>
                <w:szCs w:val="24"/>
              </w:rPr>
              <w:t>您好！公司在2023年度股东大会审议通过了2023年度利润分配预案，向全体股东每10股派发现金红利1.02元（含税），并于6月完成了权益派发。公司在上市后的28年间，累计实施现金分红25次，分红金额达到48亿元，近五年通过现金和送股方式分红，实施的分红金额达到了同期归母净利润的52%。</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后续公司还将进一步关注监管导向和港口行业上市公司分红水平，结合公司发展资金需求，科学做好现金分红工作。感谢您的关注！</w:t>
            </w:r>
          </w:p>
          <w:p w14:paraId="23770E66">
            <w:pPr>
              <w:pStyle w:val="8"/>
              <w:spacing w:line="460" w:lineRule="exact"/>
              <w:ind w:left="413" w:firstLine="0" w:firstLineChars="0"/>
              <w:rPr>
                <w:rFonts w:ascii="宋体" w:hAnsi="宋体"/>
                <w:b/>
                <w:sz w:val="24"/>
                <w:szCs w:val="24"/>
              </w:rPr>
            </w:pPr>
            <w:r>
              <w:rPr>
                <w:rFonts w:ascii="宋体" w:hAnsi="宋体"/>
                <w:b/>
                <w:sz w:val="24"/>
                <w:szCs w:val="24"/>
              </w:rPr>
              <w:t>5、请问公司今年新航线开通情况如何？</w:t>
            </w:r>
          </w:p>
          <w:p w14:paraId="18B66E8B">
            <w:pPr>
              <w:pStyle w:val="8"/>
              <w:spacing w:line="460" w:lineRule="exact"/>
              <w:ind w:left="-2" w:leftChars="-1" w:firstLine="480"/>
              <w:rPr>
                <w:rFonts w:ascii="宋体" w:hAnsi="宋体"/>
                <w:sz w:val="24"/>
                <w:szCs w:val="24"/>
              </w:rPr>
            </w:pPr>
            <w:r>
              <w:rPr>
                <w:rFonts w:ascii="宋体" w:hAnsi="宋体"/>
                <w:sz w:val="24"/>
                <w:szCs w:val="24"/>
              </w:rPr>
              <w:t>您好！公司截至目前拥有集装箱航线147条，今年以来新增了6条重要航线，包括南美一条、南美东两条、美东一条、中美一条、东南亚一条。新开通航线不仅增加了公司的营业收入，织密了天津港的航线网络，也进一步降低了实体经济的物流成本，增强了天津的航运资源集聚效应和区域辐射带动作用，为国际国内双循环提供战略支点。感谢您的关注！</w:t>
            </w:r>
          </w:p>
          <w:p w14:paraId="251E8526">
            <w:pPr>
              <w:pStyle w:val="8"/>
              <w:spacing w:line="460" w:lineRule="exact"/>
              <w:ind w:firstLineChars="0"/>
              <w:rPr>
                <w:rFonts w:ascii="宋体" w:hAnsi="宋体"/>
                <w:b/>
                <w:sz w:val="24"/>
                <w:szCs w:val="24"/>
              </w:rPr>
            </w:pPr>
            <w:r>
              <w:rPr>
                <w:rFonts w:ascii="宋体" w:hAnsi="宋体"/>
                <w:b/>
                <w:sz w:val="24"/>
                <w:szCs w:val="24"/>
              </w:rPr>
              <w:t>6、您好，在国家大力推动“双碳”政策的背景下，请问贵司在绿色低碳方面有哪些远期规划吗？</w:t>
            </w:r>
          </w:p>
          <w:p w14:paraId="07BE3492">
            <w:pPr>
              <w:pStyle w:val="8"/>
              <w:spacing w:line="460" w:lineRule="exact"/>
              <w:ind w:left="-2" w:leftChars="-1" w:firstLine="480"/>
              <w:rPr>
                <w:rFonts w:ascii="宋体" w:hAnsi="宋体"/>
                <w:sz w:val="24"/>
                <w:szCs w:val="24"/>
              </w:rPr>
            </w:pPr>
            <w:r>
              <w:rPr>
                <w:rFonts w:ascii="宋体" w:hAnsi="宋体"/>
                <w:sz w:val="24"/>
                <w:szCs w:val="24"/>
              </w:rPr>
              <w:t>您好！公司将全力打造“安全环保、节能减排、去污降碳、添绿增美”一体发展的绿色港口升级版。着力推动港口能源供应向“绿色化”转变，港口运输结构向“低碳化”转变，港口补能设施向“前瞻性”转变，港口生态环境向“全方位”转变，绿色低碳港口建设向“标准化”发展，为港口行业绿色低碳发展提供“天津样板”。感谢您的关注！</w:t>
            </w:r>
          </w:p>
          <w:p w14:paraId="13A93897">
            <w:pPr>
              <w:pStyle w:val="8"/>
              <w:spacing w:line="460" w:lineRule="exact"/>
              <w:ind w:firstLineChars="0"/>
              <w:rPr>
                <w:rFonts w:ascii="宋体" w:hAnsi="宋体"/>
                <w:b/>
                <w:sz w:val="24"/>
                <w:szCs w:val="24"/>
              </w:rPr>
            </w:pPr>
            <w:r>
              <w:rPr>
                <w:rFonts w:ascii="宋体" w:hAnsi="宋体"/>
                <w:b/>
                <w:sz w:val="24"/>
                <w:szCs w:val="24"/>
              </w:rPr>
              <w:t>7、请问贵司目前的ESG评级情况如何，在同行业中的水平？今年有什么新进展吗？感谢回复！</w:t>
            </w:r>
          </w:p>
          <w:p w14:paraId="616853CA">
            <w:pPr>
              <w:pStyle w:val="8"/>
              <w:spacing w:line="460" w:lineRule="exact"/>
              <w:ind w:left="-2" w:leftChars="-1" w:firstLine="480"/>
              <w:rPr>
                <w:rFonts w:ascii="宋体" w:hAnsi="宋体"/>
                <w:sz w:val="24"/>
                <w:szCs w:val="24"/>
              </w:rPr>
            </w:pPr>
            <w:r>
              <w:rPr>
                <w:rFonts w:ascii="宋体" w:hAnsi="宋体"/>
                <w:sz w:val="24"/>
                <w:szCs w:val="24"/>
              </w:rPr>
              <w:t>您好！目前，公司ESG工作的Wind评级为A级，处于交通基础设施行业领先地位。</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2024年3月，公司披露了中英双语版《2023年度ESG报告》。一直以来，公司高度重视ESG相关工作。通过制定ESG管理制度，构建董事会层面、管理层面到执行层面的三级ESG治理架构，建立公司ESG指标体系，为ESG管理工作夯实基础。同时，公司坚持高标准践行ESG，将可持续发展理念融入公司的日常管理和生产运营，努力打造世界一流的绿色港口、智慧港口。</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2024年，公司获得中国基金报“A股价值”“A股ESG价值”英华奖、成功入选“国有企业上市公司ESG·先锋100指数(2023)”、“中国ESG上市公司京津冀先锋50（2024）”企业榜单。感谢您的关注！</w:t>
            </w:r>
          </w:p>
          <w:p w14:paraId="1B5676C5">
            <w:pPr>
              <w:pStyle w:val="8"/>
              <w:spacing w:line="460" w:lineRule="exact"/>
              <w:ind w:left="413" w:firstLine="0" w:firstLineChars="0"/>
              <w:rPr>
                <w:rFonts w:ascii="宋体" w:hAnsi="宋体"/>
                <w:b/>
                <w:sz w:val="24"/>
                <w:szCs w:val="24"/>
              </w:rPr>
            </w:pPr>
            <w:r>
              <w:rPr>
                <w:rFonts w:ascii="宋体" w:hAnsi="宋体"/>
                <w:b/>
                <w:sz w:val="24"/>
                <w:szCs w:val="24"/>
              </w:rPr>
              <w:t>8、营收利润明显低于其他港口比例，怎么回事？</w:t>
            </w:r>
          </w:p>
          <w:p w14:paraId="71CC7CAA">
            <w:pPr>
              <w:pStyle w:val="8"/>
              <w:spacing w:line="460" w:lineRule="exact"/>
              <w:ind w:left="-2" w:leftChars="-1" w:firstLine="480"/>
              <w:rPr>
                <w:rFonts w:ascii="宋体" w:hAnsi="宋体"/>
                <w:sz w:val="24"/>
                <w:szCs w:val="24"/>
              </w:rPr>
            </w:pPr>
            <w:r>
              <w:rPr>
                <w:rFonts w:ascii="宋体" w:hAnsi="宋体"/>
                <w:sz w:val="24"/>
                <w:szCs w:val="24"/>
              </w:rPr>
              <w:t>您好！境内有18家A股港口上市公司，公司2023年度营业收入、净利润规模均位于第8位；在7家北方A股港口上市公司，公司营业收入位于第3位，净利润位于第5位。</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今年上半年公司深化实施“四千行动”，加大客户服务力度，成功开通多条远洋航线，累计刷新效率纪录 23 次；持续推进智慧码头建设，着力推动自动化改造，努力推进集装箱、散杂货泊位实现全流程自动化实船作业；强化董事会治理体系建设，开展内控自评，加强风险防控。未来公司将始终致力于提升上市公司经营业绩，加强内部管理，提升风险防控能力，增强股东回报效能。感谢您的关注！</w:t>
            </w:r>
          </w:p>
          <w:p w14:paraId="0DCF7957">
            <w:pPr>
              <w:pStyle w:val="8"/>
              <w:spacing w:line="460" w:lineRule="exact"/>
              <w:ind w:left="413" w:firstLine="0" w:firstLineChars="0"/>
              <w:rPr>
                <w:rFonts w:ascii="宋体" w:hAnsi="宋体"/>
                <w:b/>
                <w:sz w:val="24"/>
                <w:szCs w:val="24"/>
              </w:rPr>
            </w:pPr>
            <w:r>
              <w:rPr>
                <w:rFonts w:ascii="宋体" w:hAnsi="宋体"/>
                <w:b/>
                <w:sz w:val="24"/>
                <w:szCs w:val="24"/>
              </w:rPr>
              <w:t>9、天津港营收利润明显低于其他港口比例，怎么回事？</w:t>
            </w:r>
          </w:p>
          <w:p w14:paraId="24714989">
            <w:pPr>
              <w:pStyle w:val="8"/>
              <w:spacing w:line="460" w:lineRule="exact"/>
              <w:ind w:left="-2" w:leftChars="-1" w:firstLine="480"/>
              <w:rPr>
                <w:rFonts w:ascii="宋体" w:hAnsi="宋体"/>
                <w:sz w:val="24"/>
                <w:szCs w:val="24"/>
              </w:rPr>
            </w:pPr>
            <w:r>
              <w:rPr>
                <w:rFonts w:ascii="宋体" w:hAnsi="宋体"/>
                <w:sz w:val="24"/>
                <w:szCs w:val="24"/>
              </w:rPr>
              <w:t>您好！境内有18家A股港口上市公司，公司2023年度营业收入、净利润规模均位于第8位；在7家北方A股港口上市公司，公司营业收入位于第3位，净利润位于第5位。</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今年上半年公司深化实施“四千行动”，加大客户服务力度，成功开通多条远洋航线，累计刷新效率纪录 23 次；持续推进智慧码头建设，着力推动自动化改造，努力推进集装箱、散杂货泊位实现全流程自动化实船作业；强化董事会治理体系建设，开展内控自评，加强风险防控。未来公司将始终致力于提升上市公司经营业绩，加强内部管理，提升风险防控能力，增强股东回报效能。感谢您的关注！</w:t>
            </w:r>
          </w:p>
          <w:p w14:paraId="295E6841">
            <w:pPr>
              <w:pStyle w:val="8"/>
              <w:spacing w:line="460" w:lineRule="exact"/>
              <w:ind w:left="413" w:firstLine="0" w:firstLineChars="0"/>
              <w:rPr>
                <w:rFonts w:ascii="宋体" w:hAnsi="宋体"/>
                <w:b/>
                <w:sz w:val="24"/>
                <w:szCs w:val="24"/>
              </w:rPr>
            </w:pPr>
            <w:r>
              <w:rPr>
                <w:rFonts w:ascii="宋体" w:hAnsi="宋体"/>
                <w:b/>
                <w:sz w:val="24"/>
                <w:szCs w:val="24"/>
              </w:rPr>
              <w:t>10、管理部门如何督促上市公司做好市值管理？</w:t>
            </w:r>
          </w:p>
          <w:p w14:paraId="0C0F28BC">
            <w:pPr>
              <w:pStyle w:val="8"/>
              <w:spacing w:line="460" w:lineRule="exact"/>
              <w:ind w:left="-2" w:leftChars="-1" w:firstLine="480"/>
              <w:rPr>
                <w:rFonts w:ascii="宋体" w:hAnsi="宋体"/>
                <w:sz w:val="24"/>
                <w:szCs w:val="24"/>
              </w:rPr>
            </w:pPr>
            <w:r>
              <w:rPr>
                <w:rFonts w:ascii="宋体" w:hAnsi="宋体"/>
                <w:sz w:val="24"/>
                <w:szCs w:val="24"/>
              </w:rPr>
              <w:t>您好！公司高度重视市值管理工作，下一步将从三个方面开展工作。一是聚焦价值创造，打造装卸领域领军企业，提高公司盈利能力；二是开展价值传播，强化信息披露管理，增加投资者交流；三是探索价值挖掘，研究市值提升方案，利用多种手段落实工作安排。感谢您的关注！</w:t>
            </w:r>
          </w:p>
          <w:p w14:paraId="47C2FA20">
            <w:pPr>
              <w:pStyle w:val="8"/>
              <w:spacing w:line="460" w:lineRule="exact"/>
              <w:ind w:left="-2" w:leftChars="-1" w:firstLine="480"/>
              <w:rPr>
                <w:rFonts w:ascii="宋体" w:hAnsi="宋体"/>
                <w:sz w:val="24"/>
                <w:szCs w:val="24"/>
              </w:rPr>
            </w:pPr>
          </w:p>
          <w:p w14:paraId="0643DE15">
            <w:pPr>
              <w:pStyle w:val="8"/>
              <w:spacing w:line="460" w:lineRule="exact"/>
              <w:ind w:firstLine="120" w:firstLineChars="50"/>
              <w:rPr>
                <w:rFonts w:hint="eastAsia" w:ascii="宋体" w:hAnsi="宋体"/>
                <w:sz w:val="24"/>
                <w:szCs w:val="24"/>
              </w:rPr>
            </w:pPr>
          </w:p>
          <w:p w14:paraId="4817D00E">
            <w:pPr>
              <w:pStyle w:val="8"/>
              <w:spacing w:line="460" w:lineRule="exact"/>
              <w:ind w:firstLine="120" w:firstLineChars="50"/>
              <w:rPr>
                <w:rFonts w:hint="eastAsia" w:ascii="宋体" w:hAnsi="宋体"/>
                <w:sz w:val="24"/>
                <w:szCs w:val="24"/>
              </w:rPr>
            </w:pPr>
          </w:p>
          <w:p w14:paraId="6B290398">
            <w:pPr>
              <w:pStyle w:val="8"/>
              <w:spacing w:line="460" w:lineRule="exact"/>
              <w:ind w:firstLine="120" w:firstLineChars="50"/>
              <w:rPr>
                <w:rFonts w:hint="eastAsia" w:ascii="宋体" w:hAnsi="宋体"/>
                <w:sz w:val="24"/>
                <w:szCs w:val="24"/>
              </w:rPr>
            </w:pPr>
          </w:p>
          <w:p w14:paraId="57E65984">
            <w:pPr>
              <w:pStyle w:val="8"/>
              <w:spacing w:line="460" w:lineRule="exact"/>
              <w:ind w:firstLine="120" w:firstLineChars="50"/>
              <w:rPr>
                <w:rFonts w:hint="eastAsia" w:ascii="宋体" w:hAnsi="宋体"/>
                <w:sz w:val="24"/>
                <w:szCs w:val="24"/>
              </w:rPr>
            </w:pPr>
          </w:p>
          <w:p w14:paraId="0DD79687">
            <w:pPr>
              <w:pStyle w:val="8"/>
              <w:spacing w:line="460" w:lineRule="exact"/>
              <w:ind w:firstLine="120" w:firstLineChars="50"/>
              <w:rPr>
                <w:rFonts w:hint="eastAsia" w:ascii="宋体" w:hAnsi="宋体"/>
                <w:sz w:val="24"/>
                <w:szCs w:val="24"/>
              </w:rPr>
            </w:pPr>
          </w:p>
          <w:p w14:paraId="0E3F46A3">
            <w:pPr>
              <w:pStyle w:val="8"/>
              <w:spacing w:line="460" w:lineRule="exact"/>
              <w:ind w:firstLine="120" w:firstLineChars="50"/>
              <w:rPr>
                <w:rFonts w:hint="eastAsia" w:ascii="宋体" w:hAnsi="宋体"/>
                <w:sz w:val="24"/>
                <w:szCs w:val="24"/>
              </w:rPr>
            </w:pPr>
          </w:p>
          <w:p w14:paraId="09D85292">
            <w:pPr>
              <w:pStyle w:val="8"/>
              <w:spacing w:line="460" w:lineRule="exact"/>
              <w:ind w:firstLine="120" w:firstLineChars="50"/>
              <w:rPr>
                <w:rFonts w:hint="eastAsia" w:ascii="宋体" w:hAnsi="宋体"/>
                <w:sz w:val="24"/>
                <w:szCs w:val="24"/>
              </w:rPr>
            </w:pPr>
          </w:p>
          <w:p w14:paraId="34209747">
            <w:pPr>
              <w:pStyle w:val="8"/>
              <w:spacing w:line="460" w:lineRule="exact"/>
              <w:ind w:firstLine="120" w:firstLineChars="50"/>
              <w:rPr>
                <w:rFonts w:hint="eastAsia" w:ascii="宋体" w:hAnsi="宋体"/>
                <w:sz w:val="24"/>
                <w:szCs w:val="24"/>
              </w:rPr>
            </w:pPr>
          </w:p>
          <w:p w14:paraId="6EE3B707">
            <w:pPr>
              <w:pStyle w:val="8"/>
              <w:spacing w:line="460" w:lineRule="exact"/>
              <w:ind w:firstLine="120" w:firstLineChars="50"/>
              <w:rPr>
                <w:rFonts w:hint="eastAsia" w:ascii="宋体" w:hAnsi="宋体"/>
                <w:sz w:val="24"/>
                <w:szCs w:val="24"/>
              </w:rPr>
            </w:pPr>
          </w:p>
          <w:p w14:paraId="0154260F">
            <w:pPr>
              <w:pStyle w:val="8"/>
              <w:spacing w:line="460" w:lineRule="exact"/>
              <w:ind w:firstLine="120" w:firstLineChars="50"/>
              <w:rPr>
                <w:rFonts w:hint="eastAsia" w:ascii="宋体" w:hAnsi="宋体"/>
                <w:sz w:val="24"/>
                <w:szCs w:val="24"/>
              </w:rPr>
            </w:pPr>
          </w:p>
          <w:p w14:paraId="46CA9BD3">
            <w:pPr>
              <w:pStyle w:val="8"/>
              <w:spacing w:line="460" w:lineRule="exact"/>
              <w:ind w:firstLine="120" w:firstLineChars="50"/>
              <w:rPr>
                <w:rFonts w:ascii="宋体" w:hAnsi="宋体"/>
                <w:sz w:val="24"/>
                <w:szCs w:val="24"/>
              </w:rPr>
            </w:pPr>
          </w:p>
          <w:p w14:paraId="2DFC2CB3">
            <w:pPr>
              <w:adjustRightInd w:val="0"/>
              <w:snapToGrid w:val="0"/>
              <w:spacing w:line="500" w:lineRule="exact"/>
              <w:rPr>
                <w:rFonts w:ascii="宋体" w:hAnsi="宋体"/>
                <w:bCs/>
                <w:iCs/>
                <w:color w:val="000000"/>
                <w:sz w:val="24"/>
              </w:rPr>
            </w:pPr>
          </w:p>
        </w:tc>
      </w:tr>
      <w:tr w14:paraId="1E3D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BE494E5">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4546C7DC">
            <w:pPr>
              <w:spacing w:line="420" w:lineRule="exact"/>
              <w:rPr>
                <w:bCs/>
                <w:iCs/>
                <w:color w:val="000000"/>
                <w:sz w:val="24"/>
              </w:rPr>
            </w:pPr>
          </w:p>
        </w:tc>
      </w:tr>
      <w:tr w14:paraId="071B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A6F11B1">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6D533554">
            <w:pPr>
              <w:spacing w:line="420" w:lineRule="exact"/>
              <w:rPr>
                <w:bCs/>
                <w:iCs/>
                <w:color w:val="000000"/>
                <w:sz w:val="24"/>
              </w:rPr>
            </w:pPr>
            <w:r>
              <w:rPr>
                <w:bCs/>
                <w:iCs/>
                <w:color w:val="000000"/>
                <w:sz w:val="24"/>
              </w:rPr>
              <w:t>2024-09-03 16:32:44</w:t>
            </w:r>
          </w:p>
        </w:tc>
      </w:tr>
    </w:tbl>
    <w:p w14:paraId="3266722E"/>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FFF2F">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zZWVhMjlhNzMzZDcyNTZhZjA0ZTJmMTAzNDcwZjU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0D00"/>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403E5"/>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27A50"/>
    <w:rsid w:val="00836F34"/>
    <w:rsid w:val="00843E73"/>
    <w:rsid w:val="00844EBF"/>
    <w:rsid w:val="00854F61"/>
    <w:rsid w:val="008622D9"/>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74196"/>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D600FF4"/>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character" w:customStyle="1" w:styleId="14">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2257</Words>
  <Characters>2386</Characters>
  <Lines>18</Lines>
  <Paragraphs>5</Paragraphs>
  <TotalTime>7</TotalTime>
  <ScaleCrop>false</ScaleCrop>
  <LinksUpToDate>false</LinksUpToDate>
  <CharactersWithSpaces>2542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Lee</cp:lastModifiedBy>
  <cp:lastPrinted>2014-02-21T05:34:00Z</cp:lastPrinted>
  <dcterms:modified xsi:type="dcterms:W3CDTF">2024-09-04T01:34:46Z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3378DF92D5494EA79182626F58817F75</vt:lpwstr>
  </property>
</Properties>
</file>