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1C12D1">
      <w:pPr>
        <w:autoSpaceDE w:val="0"/>
        <w:autoSpaceDN w:val="0"/>
        <w:spacing w:before="77"/>
        <w:ind w:left="120" w:firstLine="240" w:firstLineChars="100"/>
        <w:rPr>
          <w:rFonts w:hint="eastAsia" w:ascii="宋体" w:hAnsi="宋体" w:eastAsia="宋体" w:cs="宋体"/>
          <w:sz w:val="24"/>
          <w:lang w:val="zh-CN" w:bidi="zh-CN"/>
        </w:rPr>
      </w:pPr>
      <w:r>
        <w:rPr>
          <w:rFonts w:ascii="宋体" w:hAnsi="宋体" w:eastAsia="宋体" w:cs="宋体"/>
          <w:sz w:val="24"/>
          <w:lang w:val="zh-CN" w:bidi="zh-CN"/>
        </w:rPr>
        <w:t>证券代码</w:t>
      </w:r>
      <w:r>
        <w:rPr>
          <w:rFonts w:hint="eastAsia" w:ascii="宋体" w:hAnsi="宋体" w:eastAsia="宋体" w:cs="宋体"/>
          <w:sz w:val="24"/>
          <w:lang w:val="zh-CN" w:bidi="zh-CN"/>
        </w:rPr>
        <w:t>：</w:t>
      </w:r>
      <w:r>
        <w:rPr>
          <w:rFonts w:ascii="宋体" w:hAnsi="宋体" w:eastAsia="宋体" w:cs="宋体"/>
          <w:sz w:val="24"/>
          <w:lang w:val="zh-CN" w:bidi="zh-CN"/>
        </w:rPr>
        <w:t>60</w:t>
      </w:r>
      <w:r>
        <w:rPr>
          <w:rFonts w:hint="eastAsia" w:ascii="宋体" w:hAnsi="宋体" w:eastAsia="宋体" w:cs="宋体"/>
          <w:sz w:val="24"/>
          <w:lang w:bidi="zh-CN"/>
        </w:rPr>
        <w:t xml:space="preserve">0528                                </w:t>
      </w:r>
      <w:r>
        <w:rPr>
          <w:rFonts w:ascii="宋体" w:hAnsi="宋体" w:eastAsia="宋体" w:cs="宋体"/>
          <w:sz w:val="24"/>
          <w:lang w:val="zh-CN" w:bidi="zh-CN"/>
        </w:rPr>
        <w:t>证券简称：</w:t>
      </w:r>
      <w:r>
        <w:rPr>
          <w:rFonts w:hint="eastAsia" w:ascii="宋体" w:hAnsi="宋体" w:eastAsia="宋体" w:cs="宋体"/>
          <w:sz w:val="24"/>
          <w:lang w:val="zh-CN" w:bidi="zh-CN"/>
        </w:rPr>
        <w:t>中铁工业</w:t>
      </w:r>
      <w:r>
        <w:rPr>
          <w:rFonts w:ascii="宋体" w:hAnsi="宋体" w:eastAsia="宋体" w:cs="宋体"/>
          <w:sz w:val="24"/>
          <w:lang w:val="zh-CN" w:bidi="zh-CN"/>
        </w:rPr>
        <w:t xml:space="preserve"> </w:t>
      </w:r>
    </w:p>
    <w:p w14:paraId="461CB8F3">
      <w:pPr>
        <w:autoSpaceDE w:val="0"/>
        <w:autoSpaceDN w:val="0"/>
        <w:ind w:firstLine="402"/>
        <w:rPr>
          <w:rFonts w:hint="eastAsia" w:ascii="宋体" w:hAnsi="宋体" w:eastAsia="宋体" w:cs="宋体"/>
          <w:sz w:val="20"/>
          <w:lang w:val="zh-CN" w:bidi="zh-CN"/>
        </w:rPr>
      </w:pPr>
    </w:p>
    <w:p w14:paraId="37E390C9">
      <w:pPr>
        <w:autoSpaceDE w:val="0"/>
        <w:autoSpaceDN w:val="0"/>
        <w:spacing w:before="7"/>
        <w:ind w:firstLine="341"/>
        <w:rPr>
          <w:rFonts w:hint="eastAsia" w:ascii="宋体" w:hAnsi="宋体" w:eastAsia="宋体" w:cs="宋体"/>
          <w:sz w:val="17"/>
          <w:lang w:val="zh-CN" w:bidi="zh-CN"/>
        </w:rPr>
      </w:pPr>
    </w:p>
    <w:p w14:paraId="785F5D7F">
      <w:pPr>
        <w:autoSpaceDE w:val="0"/>
        <w:autoSpaceDN w:val="0"/>
        <w:spacing w:line="429" w:lineRule="exact"/>
        <w:jc w:val="center"/>
        <w:rPr>
          <w:rFonts w:hint="eastAsia" w:ascii="Microsoft JhengHei" w:hAnsi="宋体" w:eastAsia="Microsoft JhengHei" w:cs="宋体"/>
          <w:b/>
          <w:kern w:val="0"/>
          <w:sz w:val="24"/>
          <w:szCs w:val="22"/>
          <w:lang w:val="zh-CN" w:bidi="zh-CN"/>
        </w:rPr>
      </w:pPr>
      <w:r>
        <w:rPr>
          <w:rFonts w:hint="eastAsia" w:ascii="方正小标宋简体" w:hAnsi="方正小标宋简体" w:eastAsia="方正小标宋简体" w:cs="方正小标宋简体"/>
          <w:bCs/>
          <w:kern w:val="0"/>
          <w:sz w:val="36"/>
          <w:szCs w:val="36"/>
          <w:lang w:val="zh-CN" w:bidi="zh-CN"/>
        </w:rPr>
        <w:t>中铁高新工业股份有限公司投资者关系活动记录表</w:t>
      </w:r>
    </w:p>
    <w:p w14:paraId="304DEEBD">
      <w:pPr>
        <w:autoSpaceDE w:val="0"/>
        <w:autoSpaceDN w:val="0"/>
        <w:spacing w:before="194" w:after="15"/>
        <w:ind w:left="2"/>
        <w:jc w:val="center"/>
        <w:rPr>
          <w:rFonts w:hint="eastAsia" w:ascii="宋体" w:hAnsi="宋体" w:eastAsia="宋体" w:cs="宋体"/>
          <w:sz w:val="24"/>
          <w:lang w:bidi="zh-CN"/>
        </w:rPr>
      </w:pPr>
      <w:r>
        <w:rPr>
          <w:rFonts w:ascii="宋体" w:hAnsi="宋体" w:eastAsia="宋体" w:cs="宋体"/>
          <w:sz w:val="24"/>
          <w:lang w:val="zh-CN" w:bidi="zh-CN"/>
        </w:rPr>
        <w:t xml:space="preserve">                                                       编号：202</w:t>
      </w:r>
      <w:r>
        <w:rPr>
          <w:rFonts w:ascii="宋体" w:hAnsi="宋体" w:eastAsia="宋体" w:cs="宋体"/>
          <w:sz w:val="24"/>
          <w:lang w:bidi="zh-CN"/>
        </w:rPr>
        <w:t>4</w:t>
      </w:r>
      <w:r>
        <w:rPr>
          <w:rFonts w:ascii="宋体" w:hAnsi="宋体" w:eastAsia="宋体" w:cs="宋体"/>
          <w:sz w:val="24"/>
          <w:lang w:val="zh-CN" w:bidi="zh-CN"/>
        </w:rPr>
        <w:t>-</w:t>
      </w:r>
      <w:r>
        <w:rPr>
          <w:rFonts w:hint="eastAsia" w:ascii="宋体" w:hAnsi="宋体" w:eastAsia="宋体" w:cs="宋体"/>
          <w:sz w:val="24"/>
          <w:lang w:bidi="zh-CN"/>
        </w:rPr>
        <w:t>06</w:t>
      </w:r>
    </w:p>
    <w:p w14:paraId="76C003D1">
      <w:pPr>
        <w:autoSpaceDE w:val="0"/>
        <w:autoSpaceDN w:val="0"/>
        <w:spacing w:before="194" w:after="15"/>
        <w:ind w:left="2"/>
        <w:jc w:val="center"/>
        <w:rPr>
          <w:rFonts w:hint="eastAsia" w:ascii="宋体" w:hAnsi="宋体" w:eastAsia="宋体" w:cs="宋体"/>
          <w:sz w:val="24"/>
          <w:lang w:val="zh-CN" w:bidi="zh-CN"/>
        </w:rPr>
      </w:pPr>
    </w:p>
    <w:tbl>
      <w:tblPr>
        <w:tblStyle w:val="7"/>
        <w:tblW w:w="858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62"/>
        <w:gridCol w:w="7126"/>
      </w:tblGrid>
      <w:tr w14:paraId="3B62E4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4" w:hRule="atLeast"/>
          <w:jc w:val="center"/>
        </w:trPr>
        <w:tc>
          <w:tcPr>
            <w:tcW w:w="1462" w:type="dxa"/>
            <w:vAlign w:val="center"/>
          </w:tcPr>
          <w:p w14:paraId="06A68394">
            <w:pPr>
              <w:autoSpaceDE w:val="0"/>
              <w:autoSpaceDN w:val="0"/>
              <w:spacing w:line="560" w:lineRule="exact"/>
              <w:jc w:val="center"/>
              <w:rPr>
                <w:rFonts w:hint="eastAsia" w:ascii="Microsoft JhengHei" w:hAnsi="宋体" w:eastAsia="宋体" w:cs="宋体"/>
                <w:b/>
                <w:sz w:val="24"/>
                <w:szCs w:val="22"/>
                <w:lang w:val="zh-CN" w:bidi="zh-CN"/>
              </w:rPr>
            </w:pPr>
            <w:r>
              <w:rPr>
                <w:rFonts w:hint="eastAsia" w:ascii="方正小标宋简体" w:hAnsi="方正小标宋简体" w:eastAsia="方正小标宋简体" w:cs="方正小标宋简体"/>
                <w:bCs/>
                <w:sz w:val="24"/>
                <w:lang w:val="zh-CN" w:bidi="zh-CN"/>
              </w:rPr>
              <w:t>活动类别</w:t>
            </w:r>
          </w:p>
        </w:tc>
        <w:tc>
          <w:tcPr>
            <w:tcW w:w="7126" w:type="dxa"/>
            <w:vAlign w:val="center"/>
          </w:tcPr>
          <w:p w14:paraId="7DDA5AC1">
            <w:pPr>
              <w:tabs>
                <w:tab w:val="left" w:pos="3154"/>
              </w:tabs>
              <w:autoSpaceDE w:val="0"/>
              <w:autoSpaceDN w:val="0"/>
              <w:spacing w:line="560" w:lineRule="exact"/>
              <w:rPr>
                <w:rFonts w:hint="eastAsia" w:ascii="宋体" w:hAnsi="宋体" w:eastAsia="宋体" w:cs="宋体"/>
                <w:sz w:val="24"/>
                <w:szCs w:val="22"/>
                <w:lang w:val="zh-CN" w:bidi="zh-CN"/>
              </w:rPr>
            </w:pPr>
            <w:r>
              <w:rPr>
                <w:rFonts w:hint="eastAsia" w:ascii="宋体" w:hAnsi="宋体" w:eastAsia="宋体" w:cs="宋体"/>
                <w:sz w:val="24"/>
                <w:szCs w:val="22"/>
                <w:lang w:val="zh-CN" w:bidi="zh-CN"/>
              </w:rPr>
              <w:t>中期业绩电话说明会、券商投资策略会</w:t>
            </w:r>
          </w:p>
        </w:tc>
      </w:tr>
      <w:tr w14:paraId="3964D8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49" w:hRule="atLeast"/>
          <w:jc w:val="center"/>
        </w:trPr>
        <w:tc>
          <w:tcPr>
            <w:tcW w:w="1462" w:type="dxa"/>
            <w:vAlign w:val="center"/>
          </w:tcPr>
          <w:p w14:paraId="068A324C">
            <w:pPr>
              <w:autoSpaceDE w:val="0"/>
              <w:autoSpaceDN w:val="0"/>
              <w:spacing w:line="560" w:lineRule="exact"/>
              <w:ind w:left="107" w:right="96"/>
              <w:jc w:val="center"/>
              <w:rPr>
                <w:rFonts w:hint="eastAsia" w:ascii="Microsoft JhengHei" w:hAnsi="宋体" w:eastAsia="Microsoft JhengHei" w:cs="宋体"/>
                <w:b/>
                <w:sz w:val="24"/>
                <w:szCs w:val="22"/>
                <w:lang w:val="zh-CN" w:bidi="zh-CN"/>
              </w:rPr>
            </w:pPr>
            <w:r>
              <w:rPr>
                <w:rFonts w:hint="eastAsia" w:ascii="方正小标宋简体" w:hAnsi="方正小标宋简体" w:eastAsia="方正小标宋简体" w:cs="方正小标宋简体"/>
                <w:bCs/>
                <w:sz w:val="24"/>
                <w:lang w:val="zh-CN" w:bidi="zh-CN"/>
              </w:rPr>
              <w:t>机构名称</w:t>
            </w:r>
          </w:p>
        </w:tc>
        <w:tc>
          <w:tcPr>
            <w:tcW w:w="7126" w:type="dxa"/>
            <w:vAlign w:val="center"/>
          </w:tcPr>
          <w:p w14:paraId="4D80CE26">
            <w:pPr>
              <w:autoSpaceDE w:val="0"/>
              <w:autoSpaceDN w:val="0"/>
              <w:spacing w:line="560" w:lineRule="exact"/>
              <w:jc w:val="left"/>
              <w:rPr>
                <w:rFonts w:hint="eastAsia" w:ascii="宋体" w:hAnsi="宋体" w:eastAsia="宋体" w:cs="宋体"/>
                <w:sz w:val="24"/>
                <w:szCs w:val="22"/>
                <w:lang w:bidi="zh-CN"/>
              </w:rPr>
            </w:pPr>
            <w:r>
              <w:rPr>
                <w:rFonts w:hint="eastAsia" w:ascii="宋体" w:hAnsi="宋体" w:eastAsia="宋体" w:cs="宋体"/>
                <w:sz w:val="24"/>
                <w:szCs w:val="22"/>
                <w:lang w:bidi="zh-CN"/>
              </w:rPr>
              <w:t>浙商证券  财通证券  国金证券  华创证券  银河证券  东吴证券</w:t>
            </w:r>
          </w:p>
          <w:p w14:paraId="2EE03EB4">
            <w:pPr>
              <w:autoSpaceDE w:val="0"/>
              <w:autoSpaceDN w:val="0"/>
              <w:spacing w:line="560" w:lineRule="exact"/>
              <w:rPr>
                <w:rFonts w:hint="eastAsia" w:ascii="宋体" w:hAnsi="宋体" w:eastAsia="宋体" w:cs="宋体"/>
                <w:sz w:val="24"/>
                <w:szCs w:val="22"/>
                <w:lang w:bidi="zh-CN"/>
              </w:rPr>
            </w:pPr>
            <w:r>
              <w:rPr>
                <w:rFonts w:hint="eastAsia" w:ascii="宋体" w:hAnsi="宋体" w:eastAsia="宋体" w:cs="宋体"/>
                <w:sz w:val="24"/>
                <w:szCs w:val="22"/>
                <w:lang w:bidi="zh-CN"/>
              </w:rPr>
              <w:t>华泰证券  民生证券  招商证券  中金证券  中泰证券  国海证券</w:t>
            </w:r>
          </w:p>
          <w:p w14:paraId="559979B8">
            <w:pPr>
              <w:autoSpaceDE w:val="0"/>
              <w:autoSpaceDN w:val="0"/>
              <w:spacing w:line="560" w:lineRule="exact"/>
              <w:rPr>
                <w:rFonts w:hint="eastAsia" w:ascii="宋体" w:hAnsi="宋体" w:eastAsia="宋体" w:cs="宋体"/>
                <w:sz w:val="24"/>
                <w:szCs w:val="22"/>
                <w:lang w:bidi="zh-CN"/>
              </w:rPr>
            </w:pPr>
            <w:r>
              <w:rPr>
                <w:rFonts w:hint="eastAsia" w:ascii="宋体" w:hAnsi="宋体" w:eastAsia="宋体" w:cs="宋体"/>
                <w:sz w:val="24"/>
                <w:szCs w:val="22"/>
                <w:lang w:bidi="zh-CN"/>
              </w:rPr>
              <w:t>天风证券  国投证券  海通证券  山西证券  中信建投  申万宏源</w:t>
            </w:r>
          </w:p>
          <w:p w14:paraId="58B1F4BF">
            <w:pPr>
              <w:autoSpaceDE w:val="0"/>
              <w:autoSpaceDN w:val="0"/>
              <w:spacing w:line="560" w:lineRule="exact"/>
              <w:rPr>
                <w:rFonts w:hint="eastAsia" w:ascii="宋体" w:hAnsi="宋体" w:eastAsia="宋体" w:cs="宋体"/>
                <w:sz w:val="24"/>
                <w:szCs w:val="22"/>
                <w:lang w:bidi="zh-CN"/>
              </w:rPr>
            </w:pPr>
            <w:r>
              <w:rPr>
                <w:rFonts w:hint="eastAsia" w:ascii="宋体" w:hAnsi="宋体" w:eastAsia="宋体" w:cs="宋体"/>
                <w:sz w:val="24"/>
                <w:szCs w:val="22"/>
                <w:lang w:bidi="zh-CN"/>
              </w:rPr>
              <w:t>上海金辇  紫薇基金  神采基金  永赢基金  途灵资管  泰康资管</w:t>
            </w:r>
          </w:p>
          <w:p w14:paraId="4F3083AA">
            <w:pPr>
              <w:autoSpaceDE w:val="0"/>
              <w:autoSpaceDN w:val="0"/>
              <w:spacing w:line="560" w:lineRule="exact"/>
              <w:rPr>
                <w:rFonts w:hint="eastAsia" w:ascii="宋体" w:hAnsi="宋体" w:eastAsia="宋体" w:cs="宋体"/>
                <w:sz w:val="24"/>
                <w:szCs w:val="22"/>
                <w:lang w:bidi="zh-CN"/>
              </w:rPr>
            </w:pPr>
            <w:r>
              <w:rPr>
                <w:rFonts w:hint="eastAsia" w:ascii="宋体" w:hAnsi="宋体" w:eastAsia="宋体" w:cs="宋体"/>
                <w:sz w:val="24"/>
                <w:szCs w:val="22"/>
                <w:lang w:bidi="zh-CN"/>
              </w:rPr>
              <w:t>天弘基金  新华基金  益民基金  和聚投资  正圆投资  淡水泉</w:t>
            </w:r>
          </w:p>
          <w:p w14:paraId="7221F836">
            <w:pPr>
              <w:autoSpaceDE w:val="0"/>
              <w:autoSpaceDN w:val="0"/>
              <w:spacing w:line="560" w:lineRule="exact"/>
              <w:rPr>
                <w:rFonts w:hint="eastAsia" w:ascii="宋体" w:hAnsi="宋体" w:eastAsia="宋体" w:cs="宋体"/>
                <w:sz w:val="24"/>
                <w:szCs w:val="22"/>
                <w:lang w:bidi="zh-CN"/>
              </w:rPr>
            </w:pPr>
            <w:r>
              <w:rPr>
                <w:rFonts w:hint="eastAsia" w:ascii="宋体" w:hAnsi="宋体" w:eastAsia="宋体" w:cs="宋体"/>
                <w:sz w:val="24"/>
                <w:szCs w:val="22"/>
                <w:lang w:bidi="zh-CN"/>
              </w:rPr>
              <w:t>交银施罗德基金</w:t>
            </w:r>
            <w:r>
              <w:rPr>
                <w:rFonts w:hint="eastAsia" w:ascii="宋体" w:hAnsi="宋体" w:eastAsia="宋体" w:cs="宋体"/>
                <w:sz w:val="24"/>
                <w:szCs w:val="22"/>
                <w:lang w:val="en-US" w:bidi="zh-CN"/>
              </w:rPr>
              <w:t xml:space="preserve">  </w:t>
            </w:r>
            <w:r>
              <w:rPr>
                <w:rFonts w:hint="eastAsia" w:ascii="宋体" w:hAnsi="宋体" w:eastAsia="宋体" w:cs="宋体"/>
                <w:sz w:val="24"/>
                <w:szCs w:val="22"/>
                <w:lang w:bidi="zh-CN"/>
              </w:rPr>
              <w:t>国联基金等机构</w:t>
            </w:r>
          </w:p>
        </w:tc>
      </w:tr>
      <w:tr w14:paraId="5660E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5" w:hRule="atLeast"/>
          <w:jc w:val="center"/>
        </w:trPr>
        <w:tc>
          <w:tcPr>
            <w:tcW w:w="1462" w:type="dxa"/>
            <w:vAlign w:val="center"/>
          </w:tcPr>
          <w:p w14:paraId="3EED0A11">
            <w:pPr>
              <w:autoSpaceDE w:val="0"/>
              <w:autoSpaceDN w:val="0"/>
              <w:spacing w:line="560" w:lineRule="exact"/>
              <w:ind w:left="107"/>
              <w:jc w:val="center"/>
              <w:rPr>
                <w:rFonts w:hint="eastAsia" w:ascii="Microsoft JhengHei" w:hAnsi="宋体" w:eastAsia="Microsoft JhengHei" w:cs="宋体"/>
                <w:b/>
                <w:sz w:val="24"/>
                <w:szCs w:val="22"/>
                <w:lang w:val="zh-CN" w:bidi="zh-CN"/>
              </w:rPr>
            </w:pPr>
            <w:r>
              <w:rPr>
                <w:rFonts w:hint="eastAsia" w:ascii="方正小标宋简体" w:hAnsi="方正小标宋简体" w:eastAsia="方正小标宋简体" w:cs="方正小标宋简体"/>
                <w:bCs/>
                <w:sz w:val="24"/>
                <w:lang w:val="zh-CN" w:bidi="zh-CN"/>
              </w:rPr>
              <w:t>时间地点</w:t>
            </w:r>
          </w:p>
        </w:tc>
        <w:tc>
          <w:tcPr>
            <w:tcW w:w="7126" w:type="dxa"/>
            <w:vAlign w:val="center"/>
          </w:tcPr>
          <w:p w14:paraId="255E2882">
            <w:pPr>
              <w:autoSpaceDE w:val="0"/>
              <w:autoSpaceDN w:val="0"/>
              <w:spacing w:line="560" w:lineRule="exact"/>
              <w:rPr>
                <w:rFonts w:hint="eastAsia" w:ascii="宋体" w:hAnsi="宋体" w:eastAsia="宋体" w:cs="宋体"/>
                <w:sz w:val="24"/>
                <w:szCs w:val="22"/>
                <w:lang w:bidi="zh-CN"/>
              </w:rPr>
            </w:pPr>
            <w:r>
              <w:rPr>
                <w:rFonts w:hint="eastAsia" w:ascii="宋体" w:hAnsi="宋体" w:eastAsia="宋体" w:cs="宋体"/>
                <w:sz w:val="24"/>
                <w:szCs w:val="22"/>
                <w:lang w:bidi="zh-CN"/>
              </w:rPr>
              <w:t>202</w:t>
            </w:r>
            <w:r>
              <w:rPr>
                <w:rFonts w:ascii="宋体" w:hAnsi="宋体" w:eastAsia="宋体" w:cs="宋体"/>
                <w:sz w:val="24"/>
                <w:szCs w:val="22"/>
                <w:lang w:bidi="zh-CN"/>
              </w:rPr>
              <w:t>4</w:t>
            </w:r>
            <w:r>
              <w:rPr>
                <w:rFonts w:hint="eastAsia" w:ascii="宋体" w:hAnsi="宋体" w:eastAsia="宋体" w:cs="宋体"/>
                <w:sz w:val="24"/>
                <w:szCs w:val="22"/>
                <w:lang w:bidi="zh-CN"/>
              </w:rPr>
              <w:t>年9月</w:t>
            </w:r>
            <w:r>
              <w:rPr>
                <w:rFonts w:ascii="宋体" w:hAnsi="宋体" w:eastAsia="宋体" w:cs="宋体"/>
                <w:sz w:val="24"/>
                <w:szCs w:val="22"/>
                <w:lang w:bidi="zh-CN"/>
              </w:rPr>
              <w:t>2</w:t>
            </w:r>
            <w:r>
              <w:rPr>
                <w:rFonts w:hint="eastAsia" w:ascii="宋体" w:hAnsi="宋体" w:eastAsia="宋体" w:cs="宋体"/>
                <w:sz w:val="24"/>
                <w:szCs w:val="22"/>
                <w:lang w:bidi="zh-CN"/>
              </w:rPr>
              <w:t>日-9月4日/</w:t>
            </w:r>
            <w:r>
              <w:rPr>
                <w:rFonts w:hint="eastAsia" w:ascii="Calibri" w:hAnsi="Calibri" w:eastAsia="宋体" w:cs="Times New Roman"/>
                <w:spacing w:val="-6"/>
                <w:sz w:val="24"/>
              </w:rPr>
              <w:t>北京</w:t>
            </w:r>
          </w:p>
        </w:tc>
      </w:tr>
      <w:tr w14:paraId="447894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8" w:hRule="atLeast"/>
          <w:jc w:val="center"/>
        </w:trPr>
        <w:tc>
          <w:tcPr>
            <w:tcW w:w="1462" w:type="dxa"/>
            <w:vAlign w:val="center"/>
          </w:tcPr>
          <w:p w14:paraId="3FA7A2D7">
            <w:pPr>
              <w:autoSpaceDE w:val="0"/>
              <w:autoSpaceDN w:val="0"/>
              <w:spacing w:line="560" w:lineRule="exact"/>
              <w:ind w:left="107" w:right="96"/>
              <w:jc w:val="center"/>
              <w:rPr>
                <w:rFonts w:hint="eastAsia" w:ascii="Microsoft JhengHei" w:hAnsi="宋体" w:eastAsia="Microsoft JhengHei" w:cs="宋体"/>
                <w:b/>
                <w:sz w:val="24"/>
                <w:szCs w:val="22"/>
                <w:lang w:val="zh-CN" w:bidi="zh-CN"/>
              </w:rPr>
            </w:pPr>
            <w:r>
              <w:rPr>
                <w:rFonts w:hint="eastAsia" w:ascii="方正小标宋简体" w:hAnsi="方正小标宋简体" w:eastAsia="方正小标宋简体" w:cs="方正小标宋简体"/>
                <w:bCs/>
                <w:sz w:val="24"/>
                <w:lang w:val="zh-CN" w:bidi="zh-CN"/>
              </w:rPr>
              <w:t>公司人员</w:t>
            </w:r>
          </w:p>
        </w:tc>
        <w:tc>
          <w:tcPr>
            <w:tcW w:w="7126" w:type="dxa"/>
            <w:vAlign w:val="center"/>
          </w:tcPr>
          <w:p w14:paraId="40A897D7">
            <w:pPr>
              <w:autoSpaceDE w:val="0"/>
              <w:autoSpaceDN w:val="0"/>
              <w:spacing w:line="560" w:lineRule="exact"/>
              <w:jc w:val="left"/>
              <w:rPr>
                <w:rFonts w:hint="eastAsia" w:ascii="宋体" w:hAnsi="宋体" w:eastAsia="宋体" w:cs="宋体"/>
                <w:sz w:val="24"/>
                <w:szCs w:val="22"/>
                <w:lang w:val="zh-CN" w:bidi="zh-CN"/>
              </w:rPr>
            </w:pPr>
            <w:r>
              <w:rPr>
                <w:rFonts w:hint="eastAsia" w:ascii="宋体" w:hAnsi="宋体" w:eastAsia="宋体" w:cs="宋体"/>
                <w:sz w:val="24"/>
                <w:szCs w:val="22"/>
                <w:lang w:val="zh-CN" w:bidi="zh-CN"/>
              </w:rPr>
              <w:t>葛瑞鹏  董事会秘书</w:t>
            </w:r>
          </w:p>
          <w:p w14:paraId="4DF1490B">
            <w:pPr>
              <w:autoSpaceDE w:val="0"/>
              <w:autoSpaceDN w:val="0"/>
              <w:spacing w:line="560" w:lineRule="exact"/>
              <w:jc w:val="left"/>
              <w:rPr>
                <w:rFonts w:hint="eastAsia" w:ascii="宋体" w:hAnsi="宋体" w:eastAsia="宋体" w:cs="宋体"/>
                <w:sz w:val="24"/>
                <w:szCs w:val="22"/>
                <w:lang w:bidi="zh-CN"/>
              </w:rPr>
            </w:pPr>
            <w:r>
              <w:rPr>
                <w:rFonts w:hint="eastAsia" w:ascii="宋体" w:hAnsi="宋体" w:eastAsia="宋体" w:cs="宋体"/>
                <w:sz w:val="24"/>
                <w:szCs w:val="22"/>
                <w:lang w:val="zh-CN" w:bidi="zh-CN"/>
              </w:rPr>
              <w:t>韩  彬  证券投资部副部长</w:t>
            </w:r>
          </w:p>
        </w:tc>
      </w:tr>
    </w:tbl>
    <w:p w14:paraId="3C13ACAE">
      <w:pPr>
        <w:spacing w:line="289" w:lineRule="exact"/>
        <w:rPr>
          <w:sz w:val="24"/>
        </w:rPr>
        <w:sectPr>
          <w:pgSz w:w="11910" w:h="16840"/>
          <w:pgMar w:top="1580" w:right="1560" w:bottom="280" w:left="1680" w:header="720" w:footer="720" w:gutter="0"/>
          <w:cols w:space="720" w:num="1"/>
        </w:sectPr>
      </w:pPr>
    </w:p>
    <w:tbl>
      <w:tblPr>
        <w:tblStyle w:val="7"/>
        <w:tblW w:w="8634"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70"/>
        <w:gridCol w:w="7064"/>
      </w:tblGrid>
      <w:tr w14:paraId="4750F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69" w:hRule="atLeast"/>
        </w:trPr>
        <w:tc>
          <w:tcPr>
            <w:tcW w:w="1570" w:type="dxa"/>
          </w:tcPr>
          <w:p w14:paraId="11349B83">
            <w:pPr>
              <w:autoSpaceDE w:val="0"/>
              <w:autoSpaceDN w:val="0"/>
              <w:rPr>
                <w:rFonts w:hint="eastAsia" w:ascii="宋体" w:hAnsi="宋体" w:eastAsia="宋体" w:cs="宋体"/>
                <w:sz w:val="24"/>
                <w:szCs w:val="22"/>
                <w:lang w:val="zh-CN" w:bidi="zh-CN"/>
              </w:rPr>
            </w:pPr>
          </w:p>
          <w:p w14:paraId="5A494566">
            <w:pPr>
              <w:autoSpaceDE w:val="0"/>
              <w:autoSpaceDN w:val="0"/>
              <w:rPr>
                <w:rFonts w:hint="eastAsia" w:ascii="宋体" w:hAnsi="宋体" w:eastAsia="宋体" w:cs="宋体"/>
                <w:sz w:val="24"/>
                <w:szCs w:val="22"/>
                <w:lang w:val="zh-CN" w:bidi="zh-CN"/>
              </w:rPr>
            </w:pPr>
          </w:p>
          <w:p w14:paraId="57978B19">
            <w:pPr>
              <w:autoSpaceDE w:val="0"/>
              <w:autoSpaceDN w:val="0"/>
              <w:rPr>
                <w:rFonts w:hint="eastAsia" w:ascii="宋体" w:hAnsi="宋体" w:eastAsia="宋体" w:cs="宋体"/>
                <w:sz w:val="24"/>
                <w:szCs w:val="22"/>
                <w:lang w:val="zh-CN" w:bidi="zh-CN"/>
              </w:rPr>
            </w:pPr>
          </w:p>
          <w:p w14:paraId="5E408893">
            <w:pPr>
              <w:autoSpaceDE w:val="0"/>
              <w:autoSpaceDN w:val="0"/>
              <w:rPr>
                <w:rFonts w:hint="eastAsia" w:ascii="宋体" w:hAnsi="宋体" w:eastAsia="宋体" w:cs="宋体"/>
                <w:sz w:val="24"/>
                <w:szCs w:val="22"/>
                <w:lang w:val="zh-CN" w:bidi="zh-CN"/>
              </w:rPr>
            </w:pPr>
          </w:p>
          <w:p w14:paraId="05F3D31F">
            <w:pPr>
              <w:autoSpaceDE w:val="0"/>
              <w:autoSpaceDN w:val="0"/>
              <w:rPr>
                <w:rFonts w:hint="eastAsia" w:ascii="宋体" w:hAnsi="宋体" w:eastAsia="宋体" w:cs="宋体"/>
                <w:sz w:val="24"/>
                <w:szCs w:val="22"/>
                <w:lang w:val="zh-CN" w:bidi="zh-CN"/>
              </w:rPr>
            </w:pPr>
          </w:p>
          <w:p w14:paraId="6406541B">
            <w:pPr>
              <w:autoSpaceDE w:val="0"/>
              <w:autoSpaceDN w:val="0"/>
              <w:rPr>
                <w:rFonts w:hint="eastAsia" w:ascii="宋体" w:hAnsi="宋体" w:eastAsia="宋体" w:cs="宋体"/>
                <w:sz w:val="24"/>
                <w:szCs w:val="22"/>
                <w:lang w:val="zh-CN" w:bidi="zh-CN"/>
              </w:rPr>
            </w:pPr>
          </w:p>
          <w:p w14:paraId="3E48D1EB">
            <w:pPr>
              <w:autoSpaceDE w:val="0"/>
              <w:autoSpaceDN w:val="0"/>
              <w:rPr>
                <w:rFonts w:hint="eastAsia" w:ascii="宋体" w:hAnsi="宋体" w:eastAsia="宋体" w:cs="宋体"/>
                <w:sz w:val="24"/>
                <w:szCs w:val="22"/>
                <w:lang w:val="zh-CN" w:bidi="zh-CN"/>
              </w:rPr>
            </w:pPr>
          </w:p>
          <w:p w14:paraId="5E842E6B">
            <w:pPr>
              <w:autoSpaceDE w:val="0"/>
              <w:autoSpaceDN w:val="0"/>
              <w:rPr>
                <w:rFonts w:hint="eastAsia" w:ascii="宋体" w:hAnsi="宋体" w:eastAsia="宋体" w:cs="宋体"/>
                <w:sz w:val="24"/>
                <w:szCs w:val="22"/>
                <w:lang w:val="zh-CN" w:bidi="zh-CN"/>
              </w:rPr>
            </w:pPr>
          </w:p>
          <w:p w14:paraId="11E1FBEB">
            <w:pPr>
              <w:autoSpaceDE w:val="0"/>
              <w:autoSpaceDN w:val="0"/>
              <w:rPr>
                <w:rFonts w:hint="eastAsia" w:ascii="宋体" w:hAnsi="宋体" w:eastAsia="宋体" w:cs="宋体"/>
                <w:sz w:val="24"/>
                <w:szCs w:val="22"/>
                <w:lang w:val="zh-CN" w:bidi="zh-CN"/>
              </w:rPr>
            </w:pPr>
          </w:p>
          <w:p w14:paraId="3A6301B3">
            <w:pPr>
              <w:autoSpaceDE w:val="0"/>
              <w:autoSpaceDN w:val="0"/>
              <w:rPr>
                <w:rFonts w:hint="eastAsia" w:ascii="宋体" w:hAnsi="宋体" w:eastAsia="宋体" w:cs="宋体"/>
                <w:sz w:val="24"/>
                <w:szCs w:val="22"/>
                <w:lang w:val="zh-CN" w:bidi="zh-CN"/>
              </w:rPr>
            </w:pPr>
          </w:p>
          <w:p w14:paraId="239712E2">
            <w:pPr>
              <w:autoSpaceDE w:val="0"/>
              <w:autoSpaceDN w:val="0"/>
              <w:rPr>
                <w:rFonts w:hint="eastAsia" w:ascii="宋体" w:hAnsi="宋体" w:eastAsia="宋体" w:cs="宋体"/>
                <w:sz w:val="24"/>
                <w:szCs w:val="22"/>
                <w:lang w:val="zh-CN" w:bidi="zh-CN"/>
              </w:rPr>
            </w:pPr>
          </w:p>
          <w:p w14:paraId="3BB16F3D">
            <w:pPr>
              <w:autoSpaceDE w:val="0"/>
              <w:autoSpaceDN w:val="0"/>
              <w:rPr>
                <w:rFonts w:hint="eastAsia" w:ascii="宋体" w:hAnsi="宋体" w:eastAsia="宋体" w:cs="宋体"/>
                <w:sz w:val="24"/>
                <w:szCs w:val="22"/>
                <w:lang w:val="zh-CN" w:bidi="zh-CN"/>
              </w:rPr>
            </w:pPr>
          </w:p>
          <w:p w14:paraId="602590DC">
            <w:pPr>
              <w:autoSpaceDE w:val="0"/>
              <w:autoSpaceDN w:val="0"/>
              <w:rPr>
                <w:rFonts w:hint="eastAsia" w:ascii="宋体" w:hAnsi="宋体" w:eastAsia="宋体" w:cs="宋体"/>
                <w:sz w:val="24"/>
                <w:szCs w:val="22"/>
                <w:lang w:val="zh-CN" w:bidi="zh-CN"/>
              </w:rPr>
            </w:pPr>
          </w:p>
          <w:p w14:paraId="4ADDFA53">
            <w:pPr>
              <w:autoSpaceDE w:val="0"/>
              <w:autoSpaceDN w:val="0"/>
              <w:rPr>
                <w:rFonts w:hint="eastAsia" w:ascii="宋体" w:hAnsi="宋体" w:eastAsia="宋体" w:cs="宋体"/>
                <w:sz w:val="24"/>
                <w:szCs w:val="22"/>
                <w:lang w:val="zh-CN" w:bidi="zh-CN"/>
              </w:rPr>
            </w:pPr>
          </w:p>
          <w:p w14:paraId="2156EC01">
            <w:pPr>
              <w:autoSpaceDE w:val="0"/>
              <w:autoSpaceDN w:val="0"/>
              <w:rPr>
                <w:rFonts w:hint="eastAsia" w:ascii="宋体" w:hAnsi="宋体" w:eastAsia="宋体" w:cs="宋体"/>
                <w:sz w:val="24"/>
                <w:szCs w:val="22"/>
                <w:lang w:val="zh-CN" w:bidi="zh-CN"/>
              </w:rPr>
            </w:pPr>
          </w:p>
          <w:p w14:paraId="40AEF4CD">
            <w:pPr>
              <w:autoSpaceDE w:val="0"/>
              <w:autoSpaceDN w:val="0"/>
              <w:rPr>
                <w:rFonts w:hint="eastAsia" w:ascii="宋体" w:hAnsi="宋体" w:eastAsia="宋体" w:cs="宋体"/>
                <w:sz w:val="24"/>
                <w:szCs w:val="22"/>
                <w:lang w:val="zh-CN" w:bidi="zh-CN"/>
              </w:rPr>
            </w:pPr>
          </w:p>
          <w:p w14:paraId="60FF6D9E">
            <w:pPr>
              <w:autoSpaceDE w:val="0"/>
              <w:autoSpaceDN w:val="0"/>
              <w:rPr>
                <w:rFonts w:hint="eastAsia" w:ascii="宋体" w:hAnsi="宋体" w:eastAsia="宋体" w:cs="宋体"/>
                <w:sz w:val="24"/>
                <w:szCs w:val="22"/>
                <w:lang w:val="zh-CN" w:bidi="zh-CN"/>
              </w:rPr>
            </w:pPr>
          </w:p>
          <w:p w14:paraId="5AEDFE3C">
            <w:pPr>
              <w:autoSpaceDE w:val="0"/>
              <w:autoSpaceDN w:val="0"/>
              <w:rPr>
                <w:rFonts w:hint="eastAsia" w:ascii="宋体" w:hAnsi="宋体" w:eastAsia="宋体" w:cs="宋体"/>
                <w:sz w:val="24"/>
                <w:szCs w:val="22"/>
                <w:lang w:val="zh-CN" w:bidi="zh-CN"/>
              </w:rPr>
            </w:pPr>
          </w:p>
          <w:p w14:paraId="2E04981A">
            <w:pPr>
              <w:autoSpaceDE w:val="0"/>
              <w:autoSpaceDN w:val="0"/>
              <w:rPr>
                <w:rFonts w:hint="eastAsia" w:ascii="宋体" w:hAnsi="宋体" w:eastAsia="宋体" w:cs="宋体"/>
                <w:sz w:val="24"/>
                <w:szCs w:val="22"/>
                <w:lang w:val="zh-CN" w:bidi="zh-CN"/>
              </w:rPr>
            </w:pPr>
          </w:p>
          <w:p w14:paraId="24FC0783">
            <w:pPr>
              <w:autoSpaceDE w:val="0"/>
              <w:autoSpaceDN w:val="0"/>
              <w:rPr>
                <w:rFonts w:hint="eastAsia" w:ascii="宋体" w:hAnsi="宋体" w:eastAsia="宋体" w:cs="宋体"/>
                <w:sz w:val="24"/>
                <w:szCs w:val="22"/>
                <w:lang w:val="zh-CN" w:bidi="zh-CN"/>
              </w:rPr>
            </w:pPr>
          </w:p>
          <w:p w14:paraId="04FD5CD7">
            <w:pPr>
              <w:autoSpaceDE w:val="0"/>
              <w:autoSpaceDN w:val="0"/>
              <w:spacing w:before="155" w:line="261" w:lineRule="auto"/>
              <w:ind w:left="107" w:right="96"/>
              <w:jc w:val="center"/>
              <w:rPr>
                <w:rFonts w:hint="eastAsia" w:ascii="Microsoft JhengHei" w:hAnsi="宋体" w:eastAsia="Microsoft JhengHei" w:cs="宋体"/>
                <w:b/>
                <w:sz w:val="24"/>
                <w:szCs w:val="22"/>
                <w:lang w:val="zh-CN" w:bidi="zh-CN"/>
              </w:rPr>
            </w:pPr>
            <w:r>
              <w:rPr>
                <w:rFonts w:hint="eastAsia" w:ascii="方正小标宋简体" w:hAnsi="方正小标宋简体" w:eastAsia="方正小标宋简体" w:cs="方正小标宋简体"/>
                <w:bCs/>
                <w:sz w:val="24"/>
                <w:lang w:val="zh-CN" w:bidi="zh-CN"/>
              </w:rPr>
              <w:t>主要内容</w:t>
            </w:r>
          </w:p>
        </w:tc>
        <w:tc>
          <w:tcPr>
            <w:tcW w:w="7064" w:type="dxa"/>
          </w:tcPr>
          <w:p w14:paraId="73208DAB">
            <w:pPr>
              <w:widowControl/>
              <w:numPr>
                <w:ilvl w:val="255"/>
                <w:numId w:val="0"/>
              </w:numPr>
              <w:spacing w:line="380" w:lineRule="exact"/>
              <w:ind w:firstLine="480" w:firstLineChars="200"/>
              <w:rPr>
                <w:rFonts w:hint="eastAsia" w:ascii="宋体" w:hAnsi="宋体" w:eastAsia="宋体" w:cs="宋体"/>
                <w:sz w:val="24"/>
                <w:szCs w:val="22"/>
                <w:lang w:bidi="zh-CN"/>
              </w:rPr>
            </w:pPr>
            <w:r>
              <w:rPr>
                <w:rFonts w:hint="eastAsia" w:ascii="宋体" w:hAnsi="宋体" w:eastAsia="宋体" w:cs="宋体"/>
                <w:sz w:val="24"/>
                <w:szCs w:val="22"/>
                <w:lang w:bidi="zh-CN"/>
              </w:rPr>
              <w:t>202</w:t>
            </w:r>
            <w:r>
              <w:rPr>
                <w:rFonts w:ascii="宋体" w:hAnsi="宋体" w:eastAsia="宋体" w:cs="宋体"/>
                <w:sz w:val="24"/>
                <w:szCs w:val="22"/>
                <w:lang w:bidi="zh-CN"/>
              </w:rPr>
              <w:t>4</w:t>
            </w:r>
            <w:r>
              <w:rPr>
                <w:rFonts w:hint="eastAsia" w:ascii="宋体" w:hAnsi="宋体" w:eastAsia="宋体" w:cs="宋体"/>
                <w:sz w:val="24"/>
                <w:szCs w:val="22"/>
                <w:lang w:bidi="zh-CN"/>
              </w:rPr>
              <w:t>年9月</w:t>
            </w:r>
            <w:r>
              <w:rPr>
                <w:rFonts w:ascii="宋体" w:hAnsi="宋体" w:eastAsia="宋体" w:cs="宋体"/>
                <w:sz w:val="24"/>
                <w:szCs w:val="22"/>
                <w:lang w:bidi="zh-CN"/>
              </w:rPr>
              <w:t>2</w:t>
            </w:r>
            <w:r>
              <w:rPr>
                <w:rFonts w:hint="eastAsia" w:ascii="宋体" w:hAnsi="宋体" w:eastAsia="宋体" w:cs="宋体"/>
                <w:sz w:val="24"/>
                <w:szCs w:val="22"/>
                <w:lang w:bidi="zh-CN"/>
              </w:rPr>
              <w:t xml:space="preserve">日-9月4日，中铁工业通过召开中期业绩说明会、参加券商策略会等方式与投资者进行了沟通和交流，具体如下： </w:t>
            </w:r>
          </w:p>
          <w:p w14:paraId="3E8B9673">
            <w:pPr>
              <w:widowControl/>
              <w:numPr>
                <w:ilvl w:val="255"/>
                <w:numId w:val="0"/>
              </w:numPr>
              <w:spacing w:line="380" w:lineRule="exact"/>
              <w:ind w:firstLine="482" w:firstLineChars="200"/>
              <w:rPr>
                <w:rFonts w:hint="eastAsia" w:ascii="宋体" w:hAnsi="宋体" w:eastAsia="宋体" w:cs="宋体"/>
                <w:b/>
                <w:bCs/>
                <w:sz w:val="24"/>
                <w:szCs w:val="22"/>
                <w:lang w:bidi="zh-CN"/>
              </w:rPr>
            </w:pPr>
            <w:r>
              <w:rPr>
                <w:rFonts w:hint="eastAsia" w:ascii="宋体" w:hAnsi="宋体" w:eastAsia="宋体" w:cs="宋体"/>
                <w:b/>
                <w:bCs/>
                <w:sz w:val="24"/>
                <w:szCs w:val="22"/>
                <w:lang w:bidi="zh-CN"/>
              </w:rPr>
              <w:t>1.公司2024年上半年业绩情况。</w:t>
            </w:r>
          </w:p>
          <w:p w14:paraId="16AF5D27">
            <w:pPr>
              <w:widowControl/>
              <w:numPr>
                <w:ilvl w:val="255"/>
                <w:numId w:val="0"/>
              </w:numPr>
              <w:spacing w:line="380" w:lineRule="exact"/>
              <w:ind w:firstLine="480" w:firstLineChars="200"/>
              <w:rPr>
                <w:rFonts w:hint="eastAsia" w:ascii="宋体" w:hAnsi="宋体" w:eastAsia="宋体" w:cs="宋体"/>
                <w:sz w:val="24"/>
                <w:szCs w:val="22"/>
                <w:lang w:bidi="zh-CN"/>
              </w:rPr>
            </w:pPr>
            <w:r>
              <w:rPr>
                <w:rFonts w:hint="eastAsia" w:ascii="宋体" w:hAnsi="宋体" w:eastAsia="宋体" w:cs="宋体"/>
                <w:sz w:val="24"/>
                <w:szCs w:val="22"/>
                <w:lang w:bidi="zh-CN"/>
              </w:rPr>
              <w:t>答：2024年上半年，在严峻复杂的国内外市场形势下，中铁工业保持了相对较为稳健的发展态势。新签合同额完成266.64亿元，其中海外新签合同额完成17.96亿元，同比增长10.14%；实现营业收入139.78亿元，实现归属于上市公司股东的净利润9.34亿元，扣非归母净利润8.92亿元；综合毛利率18.79%，同比增长0.48个百分点，其中道岔业务和钢结构制造与安装业务的毛利率实现提升。</w:t>
            </w:r>
          </w:p>
          <w:p w14:paraId="2DD0CAC6">
            <w:pPr>
              <w:widowControl/>
              <w:numPr>
                <w:ilvl w:val="255"/>
                <w:numId w:val="0"/>
              </w:numPr>
              <w:spacing w:line="380" w:lineRule="exact"/>
              <w:ind w:firstLine="480" w:firstLineChars="200"/>
              <w:rPr>
                <w:rFonts w:hint="eastAsia" w:ascii="宋体" w:hAnsi="宋体" w:eastAsia="宋体" w:cs="宋体"/>
                <w:sz w:val="24"/>
                <w:szCs w:val="22"/>
                <w:lang w:bidi="zh-CN"/>
              </w:rPr>
            </w:pPr>
            <w:r>
              <w:rPr>
                <w:rFonts w:hint="eastAsia" w:ascii="宋体" w:hAnsi="宋体" w:eastAsia="宋体" w:cs="宋体"/>
                <w:sz w:val="24"/>
                <w:szCs w:val="22"/>
                <w:lang w:bidi="zh-CN"/>
              </w:rPr>
              <w:t>各业务板块的订单承揽方面，2024年1-6月，隧道施工装备及相关服务业务完成新签合同额61.5亿元，其中盾构机/TBM海外新签合同完成11.78亿元，同比增长37.98%；道岔业务新签合同额完成43.88亿元，同比增长4.18%，高速铁路道岔占比有较大幅度提升；钢结构制造与安装业务新签合同额完成123.33亿元；工程施工机械及相关服务业务新签合同额完成17.5亿元，同比增长17.27%。</w:t>
            </w:r>
          </w:p>
          <w:p w14:paraId="5B8FAEF4">
            <w:pPr>
              <w:widowControl/>
              <w:numPr>
                <w:ilvl w:val="255"/>
                <w:numId w:val="0"/>
              </w:numPr>
              <w:spacing w:line="380" w:lineRule="exact"/>
              <w:ind w:firstLine="480" w:firstLineChars="200"/>
              <w:rPr>
                <w:rFonts w:hint="eastAsia" w:ascii="宋体" w:hAnsi="宋体" w:eastAsia="宋体" w:cs="宋体"/>
                <w:sz w:val="24"/>
                <w:szCs w:val="22"/>
                <w:lang w:bidi="zh-CN"/>
              </w:rPr>
            </w:pPr>
            <w:r>
              <w:rPr>
                <w:rFonts w:hint="eastAsia" w:ascii="宋体" w:hAnsi="宋体" w:eastAsia="宋体" w:cs="宋体"/>
                <w:sz w:val="24"/>
                <w:szCs w:val="22"/>
                <w:lang w:bidi="zh-CN"/>
              </w:rPr>
              <w:t>各业务板块的收入确认方面，2024年1-6月，隧道施工装备及相关服务业务营业收入44.44亿元，同比增长5.43%；道岔业务营业收入19.65亿元；钢结构制造与安装业务营业收入67.66亿元；工程施工机械及相关服务业务营业收入3.08亿元。</w:t>
            </w:r>
          </w:p>
          <w:p w14:paraId="02714373">
            <w:pPr>
              <w:widowControl/>
              <w:numPr>
                <w:ilvl w:val="255"/>
                <w:numId w:val="0"/>
              </w:numPr>
              <w:spacing w:line="380" w:lineRule="exact"/>
              <w:ind w:firstLine="480" w:firstLineChars="200"/>
              <w:rPr>
                <w:rFonts w:hint="eastAsia" w:ascii="宋体" w:hAnsi="宋体" w:eastAsia="宋体" w:cs="宋体"/>
                <w:sz w:val="24"/>
                <w:szCs w:val="22"/>
                <w:lang w:bidi="zh-CN"/>
              </w:rPr>
            </w:pPr>
          </w:p>
          <w:p w14:paraId="6E32D019">
            <w:pPr>
              <w:widowControl/>
              <w:numPr>
                <w:ilvl w:val="255"/>
                <w:numId w:val="0"/>
              </w:numPr>
              <w:spacing w:line="380" w:lineRule="exact"/>
              <w:ind w:firstLine="482" w:firstLineChars="200"/>
              <w:rPr>
                <w:rFonts w:hint="eastAsia" w:ascii="宋体" w:hAnsi="宋体" w:eastAsia="宋体" w:cs="宋体"/>
                <w:b/>
                <w:bCs/>
                <w:sz w:val="24"/>
                <w:szCs w:val="22"/>
                <w:lang w:bidi="zh-CN"/>
              </w:rPr>
            </w:pPr>
            <w:r>
              <w:rPr>
                <w:rFonts w:hint="eastAsia" w:ascii="宋体" w:hAnsi="宋体" w:eastAsia="宋体" w:cs="宋体"/>
                <w:b/>
                <w:bCs/>
                <w:sz w:val="24"/>
                <w:szCs w:val="22"/>
                <w:lang w:bidi="zh-CN"/>
              </w:rPr>
              <w:t>2.上半年，公司产品在海外市场的应用及拓展情况。</w:t>
            </w:r>
          </w:p>
          <w:p w14:paraId="1F3FF831">
            <w:pPr>
              <w:widowControl/>
              <w:numPr>
                <w:ilvl w:val="255"/>
                <w:numId w:val="0"/>
              </w:numPr>
              <w:spacing w:line="380" w:lineRule="exact"/>
              <w:ind w:firstLine="480" w:firstLineChars="200"/>
              <w:rPr>
                <w:rFonts w:hint="eastAsia" w:ascii="宋体" w:hAnsi="宋体" w:eastAsia="宋体" w:cs="宋体"/>
                <w:sz w:val="24"/>
                <w:szCs w:val="22"/>
                <w:lang w:bidi="zh-CN"/>
              </w:rPr>
            </w:pPr>
            <w:r>
              <w:rPr>
                <w:rFonts w:hint="eastAsia" w:ascii="宋体" w:hAnsi="宋体" w:eastAsia="宋体" w:cs="宋体"/>
                <w:sz w:val="24"/>
                <w:szCs w:val="22"/>
                <w:lang w:bidi="zh-CN"/>
              </w:rPr>
              <w:t>答：中铁工业作为全球领先的地下工程装备和轨道交通装备生产制造企业，海外市场优势明显，所研制的盾构机/TBM、铁路道岔、钢桥梁、特种工程机械等产品已遍及全球六大洲40多个国家和地区，特别是作为“中国名片”的盾构机/TBM产销量已连续</w:t>
            </w:r>
            <w:r>
              <w:rPr>
                <w:rFonts w:ascii="宋体" w:hAnsi="宋体" w:eastAsia="宋体" w:cs="宋体"/>
                <w:sz w:val="24"/>
                <w:szCs w:val="22"/>
                <w:lang w:bidi="zh-CN"/>
              </w:rPr>
              <w:t>7</w:t>
            </w:r>
            <w:r>
              <w:rPr>
                <w:rFonts w:hint="eastAsia" w:ascii="宋体" w:hAnsi="宋体" w:eastAsia="宋体" w:cs="宋体"/>
                <w:sz w:val="24"/>
                <w:szCs w:val="22"/>
                <w:lang w:bidi="zh-CN"/>
              </w:rPr>
              <w:t>年位居世界第一，是我国出口海外盾构机/TBM数量最多、市场占有率最高、品牌知名度最强的企业。</w:t>
            </w:r>
          </w:p>
          <w:p w14:paraId="0FA3B31A">
            <w:pPr>
              <w:widowControl/>
              <w:numPr>
                <w:ilvl w:val="255"/>
                <w:numId w:val="0"/>
              </w:numPr>
              <w:spacing w:line="380" w:lineRule="exact"/>
              <w:ind w:firstLine="480" w:firstLineChars="200"/>
              <w:rPr>
                <w:rFonts w:hint="eastAsia" w:ascii="宋体" w:hAnsi="宋体" w:eastAsia="宋体" w:cs="宋体"/>
                <w:sz w:val="24"/>
                <w:szCs w:val="22"/>
                <w:lang w:bidi="zh-CN"/>
              </w:rPr>
            </w:pPr>
            <w:r>
              <w:rPr>
                <w:rFonts w:hint="eastAsia" w:ascii="宋体" w:hAnsi="宋体" w:eastAsia="宋体" w:cs="宋体"/>
                <w:sz w:val="24"/>
                <w:szCs w:val="22"/>
                <w:lang w:bidi="zh-CN"/>
              </w:rPr>
              <w:t>2024年上半年，中铁工业海外业务新签合同额再创新高，完成海外新签合同额17.96亿元，同比增长10.14%；其中隧道施工装备及相关服务业务实现新签合同额11.78亿元，同比增长37.98%，在西欧、东北亚等发达国家市场承揽了铁路、市政等项目隧道掘进机订单，在发达国家市场和大直径隧道掘进机应用方面的市场占有率进一步提升；道岔业务实现海外新签合同额1.76亿元，在海外的东南亚、东非等区域承揽了铁路道岔订单；钢结构制造与安装业务实现海外新签合同额3.29亿元，在海外的东南亚、南亚、东非等区域承揽了桥梁钢结构和建筑钢结构订单；工程施工机械及相关服务业务实现海外新签合同额1.13亿元。</w:t>
            </w:r>
          </w:p>
          <w:p w14:paraId="544DCB67">
            <w:pPr>
              <w:widowControl/>
              <w:spacing w:line="380" w:lineRule="exact"/>
              <w:ind w:firstLine="480" w:firstLineChars="200"/>
              <w:rPr>
                <w:rFonts w:hint="eastAsia" w:ascii="宋体" w:hAnsi="宋体" w:eastAsia="宋体" w:cs="宋体"/>
                <w:sz w:val="24"/>
                <w:szCs w:val="22"/>
                <w:lang w:bidi="zh-CN"/>
              </w:rPr>
            </w:pPr>
            <w:r>
              <w:rPr>
                <w:rFonts w:hint="eastAsia" w:ascii="宋体" w:hAnsi="宋体" w:eastAsia="宋体" w:cs="宋体"/>
                <w:sz w:val="24"/>
                <w:szCs w:val="22"/>
                <w:lang w:bidi="zh-CN"/>
              </w:rPr>
              <w:t>未来，公司将持续加大海外市场开拓力度，加强与国际大型知名建筑承包商的紧密合作，并不断加强属地化建设，进一步降低海外项目生产成本，强化在执行项目的管理，提升管理效率，实现海外市场的更好更快发展。</w:t>
            </w:r>
          </w:p>
          <w:p w14:paraId="52FC7108">
            <w:pPr>
              <w:widowControl/>
              <w:numPr>
                <w:ilvl w:val="255"/>
                <w:numId w:val="0"/>
              </w:numPr>
              <w:spacing w:line="380" w:lineRule="exact"/>
              <w:ind w:firstLine="482" w:firstLineChars="200"/>
              <w:rPr>
                <w:rFonts w:hint="eastAsia" w:ascii="宋体" w:hAnsi="宋体" w:eastAsia="宋体" w:cs="宋体"/>
                <w:b/>
                <w:bCs/>
                <w:sz w:val="24"/>
                <w:szCs w:val="22"/>
                <w:lang w:bidi="zh-CN"/>
              </w:rPr>
            </w:pPr>
          </w:p>
          <w:p w14:paraId="54E73025">
            <w:pPr>
              <w:widowControl/>
              <w:numPr>
                <w:ilvl w:val="255"/>
                <w:numId w:val="0"/>
              </w:numPr>
              <w:spacing w:line="380" w:lineRule="exact"/>
              <w:ind w:firstLine="482" w:firstLineChars="200"/>
              <w:rPr>
                <w:rFonts w:hint="eastAsia" w:ascii="宋体" w:hAnsi="宋体" w:eastAsia="宋体" w:cs="宋体"/>
                <w:b/>
                <w:bCs/>
                <w:sz w:val="24"/>
                <w:szCs w:val="22"/>
                <w:lang w:bidi="zh-CN"/>
              </w:rPr>
            </w:pPr>
            <w:r>
              <w:rPr>
                <w:rFonts w:hint="eastAsia" w:ascii="宋体" w:hAnsi="宋体" w:eastAsia="宋体" w:cs="宋体"/>
                <w:b/>
                <w:bCs/>
                <w:sz w:val="24"/>
                <w:szCs w:val="22"/>
                <w:lang w:bidi="zh-CN"/>
              </w:rPr>
              <w:t>3.公司盾构机/TBM产品在各领域的市场占比情况及未来展望。</w:t>
            </w:r>
          </w:p>
          <w:p w14:paraId="16A93E34">
            <w:pPr>
              <w:widowControl/>
              <w:numPr>
                <w:ilvl w:val="255"/>
                <w:numId w:val="0"/>
              </w:numPr>
              <w:spacing w:line="380" w:lineRule="exact"/>
              <w:ind w:firstLine="480" w:firstLineChars="200"/>
            </w:pPr>
            <w:r>
              <w:rPr>
                <w:rFonts w:hint="eastAsia" w:ascii="宋体" w:hAnsi="宋体" w:eastAsia="宋体" w:cs="宋体"/>
                <w:sz w:val="24"/>
                <w:szCs w:val="22"/>
                <w:lang w:bidi="zh-CN"/>
              </w:rPr>
              <w:t>答：作为国内隧道掘进机产业的开拓者和领军者，截至2024年6月末，中铁工业盾构机/TBM订单总数超过1700台，已出厂超过1600台，隧道掘进里程超过5000公里。隧道掘进机产销量已连续十二年国内第一，连续七年世界第一。目前在国内水利水电工程建设领域市场占有率超过60%，其中抽蓄电站领域占有率约85%；在矿山建设领域市场占有率超过40%。公司盾构机/TBM年产能300台，隧道专用设备年产能380台，具备1-20米全系列刀盘、超大直径盾体、全系列规格驱动箱、机头架、TBM护盾、TBM推进系统、矿用TBM、竖井TBM、螺旋输送机等共计50多个规格核心结构件制造能力。公司紧跟“一带一路”倡议，产品已先后出口30余个国家和地区。</w:t>
            </w:r>
          </w:p>
          <w:p w14:paraId="7DF1F66C">
            <w:pPr>
              <w:widowControl/>
              <w:numPr>
                <w:ilvl w:val="255"/>
                <w:numId w:val="0"/>
              </w:numPr>
              <w:spacing w:line="380" w:lineRule="exact"/>
              <w:ind w:firstLine="480" w:firstLineChars="200"/>
              <w:rPr>
                <w:rFonts w:hint="eastAsia" w:ascii="宋体" w:hAnsi="宋体" w:eastAsia="宋体" w:cs="宋体"/>
                <w:sz w:val="24"/>
                <w:szCs w:val="22"/>
                <w:lang w:bidi="zh-CN"/>
              </w:rPr>
            </w:pPr>
            <w:r>
              <w:rPr>
                <w:rFonts w:hint="eastAsia" w:ascii="宋体" w:hAnsi="宋体" w:eastAsia="宋体" w:cs="宋体"/>
                <w:sz w:val="24"/>
                <w:szCs w:val="22"/>
                <w:lang w:bidi="zh-CN"/>
              </w:rPr>
              <w:t>展望未来一个时期，国内市场方面，公司将紧紧抓住国家加大水利水电重大项目建设力度、持续推进铁路重点项目建设、提升战略性矿产资源保障能力等政策机遇，进一步加大在水利水电、铁路、矿山等领域的市场开拓力度；海外市场方面，目前公司盾构机/TBM产品已应用于海外地铁、市政、铁路、公路等多个领域，特别是近年来在欧洲发达国家、大直径盾构机/TBM等方面持续取得重大突破；未来公司将在进一步稳定欧洲、东南亚等传统优势市场的基础上，持续加大对中东、澳洲和美洲等市场的拓展，进一步提升市场份额。</w:t>
            </w:r>
          </w:p>
          <w:p w14:paraId="4C7785B2">
            <w:pPr>
              <w:widowControl/>
              <w:numPr>
                <w:ilvl w:val="255"/>
                <w:numId w:val="0"/>
              </w:numPr>
              <w:spacing w:line="380" w:lineRule="exact"/>
              <w:ind w:firstLine="420" w:firstLineChars="200"/>
            </w:pPr>
          </w:p>
          <w:p w14:paraId="7FDAA780">
            <w:pPr>
              <w:widowControl/>
              <w:numPr>
                <w:ilvl w:val="255"/>
                <w:numId w:val="0"/>
              </w:numPr>
              <w:spacing w:line="380" w:lineRule="exact"/>
              <w:ind w:firstLine="482" w:firstLineChars="200"/>
              <w:rPr>
                <w:rFonts w:ascii="宋体" w:hAnsi="宋体" w:eastAsia="宋体" w:cs="宋体"/>
                <w:b/>
                <w:bCs/>
                <w:sz w:val="24"/>
                <w:szCs w:val="22"/>
                <w:lang w:bidi="zh-CN"/>
              </w:rPr>
            </w:pPr>
            <w:r>
              <w:rPr>
                <w:rFonts w:hint="eastAsia" w:ascii="宋体" w:hAnsi="宋体" w:eastAsia="宋体" w:cs="宋体"/>
                <w:b/>
                <w:bCs/>
                <w:sz w:val="24"/>
                <w:szCs w:val="22"/>
                <w:lang w:bidi="zh-CN"/>
              </w:rPr>
              <w:t>4.公司上半年四项费用情况。</w:t>
            </w:r>
          </w:p>
          <w:p w14:paraId="7B3B862C">
            <w:pPr>
              <w:widowControl/>
              <w:numPr>
                <w:ilvl w:val="255"/>
                <w:numId w:val="0"/>
              </w:numPr>
              <w:spacing w:line="380" w:lineRule="exact"/>
              <w:ind w:firstLine="480" w:firstLineChars="200"/>
              <w:rPr>
                <w:rFonts w:hint="eastAsia" w:ascii="宋体" w:hAnsi="宋体" w:eastAsia="宋体" w:cs="宋体"/>
                <w:sz w:val="24"/>
                <w:szCs w:val="22"/>
                <w:lang w:bidi="zh-CN"/>
              </w:rPr>
            </w:pPr>
            <w:r>
              <w:rPr>
                <w:rFonts w:hint="eastAsia" w:ascii="宋体" w:hAnsi="宋体" w:eastAsia="宋体" w:cs="宋体"/>
                <w:sz w:val="24"/>
                <w:szCs w:val="22"/>
                <w:lang w:bidi="zh-CN"/>
              </w:rPr>
              <w:t>答：2024年上半年，公司大力实施费用管控，大幅压缩非生产经营性费用支出，取得初步成效，公司管理费用同比降低0.02%，该项费用在2023年度同比增长16.67%，今年一季度该项费用同比增长11%，在一季度同比增速已较大幅度降低的基础上，季度环比持续降低；销售费用同比增长8.37%，相较该项费用在2023年度26%的同比增幅，也实现了较好管控；此外，上半年财务费用为-0.03亿元，同比减少0.2亿元；为打造未来竞争优势，持续提升核心竞争力，公司上半年以战略性新兴产业和新质生产力为重点方向，继续加大研发投入，研发费用7.8亿元，同比增长23.35%，占营业收入比例约5.6%。</w:t>
            </w:r>
            <w:bookmarkStart w:id="0" w:name="_GoBack"/>
            <w:bookmarkEnd w:id="0"/>
          </w:p>
          <w:p w14:paraId="70DC312E">
            <w:pPr>
              <w:widowControl/>
              <w:numPr>
                <w:ilvl w:val="255"/>
                <w:numId w:val="0"/>
              </w:numPr>
              <w:spacing w:line="380" w:lineRule="exact"/>
              <w:ind w:firstLine="482" w:firstLineChars="200"/>
              <w:rPr>
                <w:rFonts w:ascii="宋体" w:hAnsi="宋体" w:eastAsia="宋体" w:cs="宋体"/>
                <w:b/>
                <w:bCs/>
                <w:sz w:val="24"/>
                <w:szCs w:val="22"/>
                <w:lang w:bidi="zh-CN"/>
              </w:rPr>
            </w:pPr>
          </w:p>
          <w:p w14:paraId="40088031">
            <w:pPr>
              <w:widowControl/>
              <w:numPr>
                <w:ilvl w:val="255"/>
                <w:numId w:val="0"/>
              </w:numPr>
              <w:spacing w:line="380" w:lineRule="exact"/>
              <w:ind w:firstLine="482" w:firstLineChars="200"/>
              <w:rPr>
                <w:rFonts w:hint="eastAsia" w:ascii="宋体" w:hAnsi="宋体" w:eastAsia="宋体" w:cs="宋体"/>
                <w:b/>
                <w:bCs/>
                <w:sz w:val="24"/>
                <w:szCs w:val="22"/>
                <w:lang w:bidi="zh-CN"/>
              </w:rPr>
            </w:pPr>
            <w:r>
              <w:rPr>
                <w:rFonts w:hint="eastAsia" w:ascii="宋体" w:hAnsi="宋体" w:eastAsia="宋体" w:cs="宋体"/>
                <w:b/>
                <w:bCs/>
                <w:sz w:val="24"/>
                <w:szCs w:val="22"/>
                <w:lang w:bidi="zh-CN"/>
              </w:rPr>
              <w:t>5</w:t>
            </w:r>
            <w:r>
              <w:rPr>
                <w:rFonts w:ascii="宋体" w:hAnsi="宋体" w:eastAsia="宋体" w:cs="宋体"/>
                <w:b/>
                <w:bCs/>
                <w:sz w:val="24"/>
                <w:szCs w:val="22"/>
                <w:lang w:bidi="zh-CN"/>
              </w:rPr>
              <w:t>.</w:t>
            </w:r>
            <w:r>
              <w:rPr>
                <w:rFonts w:hint="eastAsia" w:ascii="宋体" w:hAnsi="宋体" w:eastAsia="宋体" w:cs="宋体"/>
                <w:b/>
                <w:bCs/>
                <w:sz w:val="24"/>
                <w:szCs w:val="22"/>
                <w:lang w:bidi="zh-CN"/>
              </w:rPr>
              <w:t>公司对各业务板块的未来规划。</w:t>
            </w:r>
          </w:p>
          <w:p w14:paraId="7B46E32E">
            <w:pPr>
              <w:widowControl/>
              <w:spacing w:line="380" w:lineRule="exact"/>
              <w:ind w:firstLine="480" w:firstLineChars="200"/>
              <w:rPr>
                <w:rFonts w:hint="eastAsia" w:ascii="宋体" w:hAnsi="宋体" w:eastAsia="宋体" w:cs="宋体"/>
                <w:sz w:val="24"/>
                <w:szCs w:val="22"/>
                <w:lang w:bidi="zh-CN"/>
              </w:rPr>
            </w:pPr>
            <w:r>
              <w:rPr>
                <w:rFonts w:hint="eastAsia" w:ascii="宋体" w:hAnsi="宋体" w:eastAsia="宋体" w:cs="宋体"/>
                <w:sz w:val="24"/>
                <w:szCs w:val="22"/>
                <w:lang w:bidi="zh-CN"/>
              </w:rPr>
              <w:t>答：</w:t>
            </w:r>
            <w:r>
              <w:rPr>
                <w:rFonts w:hint="eastAsia" w:ascii="宋体" w:hAnsi="宋体" w:eastAsia="宋体" w:cs="宋体"/>
                <w:b/>
                <w:bCs/>
                <w:sz w:val="24"/>
                <w:szCs w:val="22"/>
                <w:lang w:bidi="zh-CN"/>
              </w:rPr>
              <w:t>在盾构/TBM业务方面</w:t>
            </w:r>
            <w:r>
              <w:rPr>
                <w:rFonts w:hint="eastAsia" w:ascii="宋体" w:hAnsi="宋体" w:eastAsia="宋体" w:cs="宋体"/>
                <w:sz w:val="24"/>
                <w:szCs w:val="22"/>
                <w:lang w:bidi="zh-CN"/>
              </w:rPr>
              <w:t>，持续创新，加快拓展“第二曲线”，进一步提升海外市场占有率；</w:t>
            </w:r>
            <w:r>
              <w:rPr>
                <w:rFonts w:hint="eastAsia" w:ascii="宋体" w:hAnsi="宋体" w:eastAsia="宋体" w:cs="宋体"/>
                <w:b/>
                <w:bCs/>
                <w:sz w:val="24"/>
                <w:szCs w:val="22"/>
                <w:lang w:bidi="zh-CN"/>
              </w:rPr>
              <w:t>在隧道专用设备业务方面</w:t>
            </w:r>
            <w:r>
              <w:rPr>
                <w:rFonts w:hint="eastAsia" w:ascii="宋体" w:hAnsi="宋体" w:eastAsia="宋体" w:cs="宋体"/>
                <w:sz w:val="24"/>
                <w:szCs w:val="22"/>
                <w:lang w:bidi="zh-CN"/>
              </w:rPr>
              <w:t>，提升性能、质量、服务竞争力，扩大铁路、矿山、水利市场份额，提升信息化、智能化水平；</w:t>
            </w:r>
            <w:r>
              <w:rPr>
                <w:rFonts w:hint="eastAsia" w:ascii="宋体" w:hAnsi="宋体" w:eastAsia="宋体" w:cs="宋体"/>
                <w:b/>
                <w:bCs/>
                <w:sz w:val="24"/>
                <w:szCs w:val="22"/>
                <w:lang w:bidi="zh-CN"/>
              </w:rPr>
              <w:t>在特种起重运输设备业务方面，</w:t>
            </w:r>
            <w:r>
              <w:rPr>
                <w:rFonts w:hint="eastAsia" w:ascii="宋体" w:hAnsi="宋体" w:eastAsia="宋体" w:cs="宋体"/>
                <w:sz w:val="24"/>
                <w:szCs w:val="22"/>
                <w:lang w:bidi="zh-CN"/>
              </w:rPr>
              <w:t>巩固传统铁路市场地位，打造海洋、港口工程产品系列，推动绿色化、智能化、信息化转型；</w:t>
            </w:r>
            <w:r>
              <w:rPr>
                <w:rFonts w:hint="eastAsia" w:ascii="宋体" w:hAnsi="宋体" w:eastAsia="宋体" w:cs="宋体"/>
                <w:b/>
                <w:bCs/>
                <w:sz w:val="24"/>
                <w:szCs w:val="22"/>
                <w:lang w:bidi="zh-CN"/>
              </w:rPr>
              <w:t>在道岔业务方面</w:t>
            </w:r>
            <w:r>
              <w:rPr>
                <w:rFonts w:hint="eastAsia" w:ascii="宋体" w:hAnsi="宋体" w:eastAsia="宋体" w:cs="宋体"/>
                <w:sz w:val="24"/>
                <w:szCs w:val="22"/>
                <w:lang w:bidi="zh-CN"/>
              </w:rPr>
              <w:t>，紧抓设备更新机遇，提升精益制造水平，拓展上下游新领域，提供全生命周期产品服务；</w:t>
            </w:r>
            <w:r>
              <w:rPr>
                <w:rFonts w:hint="eastAsia" w:ascii="宋体" w:hAnsi="宋体" w:eastAsia="宋体" w:cs="宋体"/>
                <w:b/>
                <w:bCs/>
                <w:sz w:val="24"/>
                <w:szCs w:val="22"/>
                <w:lang w:bidi="zh-CN"/>
              </w:rPr>
              <w:t>在钢结构制造与安装业务方面</w:t>
            </w:r>
            <w:r>
              <w:rPr>
                <w:rFonts w:hint="eastAsia" w:ascii="宋体" w:hAnsi="宋体" w:eastAsia="宋体" w:cs="宋体"/>
                <w:sz w:val="24"/>
                <w:szCs w:val="22"/>
                <w:lang w:bidi="zh-CN"/>
              </w:rPr>
              <w:t>，打造高品质低成本的核心竞争力，重点聚焦调结构，向“大、难、特、新”领域持续发力；</w:t>
            </w:r>
            <w:r>
              <w:rPr>
                <w:rFonts w:hint="eastAsia" w:ascii="宋体" w:hAnsi="宋体" w:eastAsia="宋体" w:cs="宋体"/>
                <w:b/>
                <w:bCs/>
                <w:sz w:val="24"/>
                <w:szCs w:val="22"/>
                <w:lang w:bidi="zh-CN"/>
              </w:rPr>
              <w:t>在环保装备业务方面</w:t>
            </w:r>
            <w:r>
              <w:rPr>
                <w:rFonts w:hint="eastAsia" w:ascii="宋体" w:hAnsi="宋体" w:eastAsia="宋体" w:cs="宋体"/>
                <w:sz w:val="24"/>
                <w:szCs w:val="22"/>
                <w:lang w:bidi="zh-CN"/>
              </w:rPr>
              <w:t>，重点在污水处理、污泥处理、生态修复、隧道施工渣土处理等领域加大设备研发制造力度；</w:t>
            </w:r>
            <w:r>
              <w:rPr>
                <w:rFonts w:hint="eastAsia" w:ascii="宋体" w:hAnsi="宋体" w:eastAsia="宋体" w:cs="宋体"/>
                <w:b/>
                <w:bCs/>
                <w:sz w:val="24"/>
                <w:szCs w:val="22"/>
                <w:lang w:bidi="zh-CN"/>
              </w:rPr>
              <w:t>在核心零部件业务方面</w:t>
            </w:r>
            <w:r>
              <w:rPr>
                <w:rFonts w:hint="eastAsia" w:ascii="宋体" w:hAnsi="宋体" w:eastAsia="宋体" w:cs="宋体"/>
                <w:sz w:val="24"/>
                <w:szCs w:val="22"/>
                <w:lang w:bidi="zh-CN"/>
              </w:rPr>
              <w:t>，纵向拓展产业链，加大“卡脖子”关键核心零部件研发制造；</w:t>
            </w:r>
            <w:r>
              <w:rPr>
                <w:rFonts w:hint="eastAsia" w:ascii="宋体" w:hAnsi="宋体" w:eastAsia="宋体" w:cs="宋体"/>
                <w:b/>
                <w:bCs/>
                <w:sz w:val="24"/>
                <w:szCs w:val="22"/>
                <w:lang w:bidi="zh-CN"/>
              </w:rPr>
              <w:t>在数字服务业务方面</w:t>
            </w:r>
            <w:r>
              <w:rPr>
                <w:rFonts w:hint="eastAsia" w:ascii="宋体" w:hAnsi="宋体" w:eastAsia="宋体" w:cs="宋体"/>
                <w:sz w:val="24"/>
                <w:szCs w:val="22"/>
                <w:lang w:bidi="zh-CN"/>
              </w:rPr>
              <w:t>，加快大型设备运维数字化平台建设，充分利用数据资产；</w:t>
            </w:r>
            <w:r>
              <w:rPr>
                <w:rFonts w:hint="eastAsia" w:ascii="宋体" w:hAnsi="宋体" w:eastAsia="宋体" w:cs="宋体"/>
                <w:b/>
                <w:bCs/>
                <w:sz w:val="24"/>
                <w:szCs w:val="22"/>
                <w:lang w:bidi="zh-CN"/>
              </w:rPr>
              <w:t>在地下空间业务方面</w:t>
            </w:r>
            <w:r>
              <w:rPr>
                <w:rFonts w:hint="eastAsia" w:ascii="宋体" w:hAnsi="宋体" w:eastAsia="宋体" w:cs="宋体"/>
                <w:sz w:val="24"/>
                <w:szCs w:val="22"/>
                <w:lang w:bidi="zh-CN"/>
              </w:rPr>
              <w:t>，做好深地空间技术储备，拓展相关设备在地下空间的应用场景。</w:t>
            </w:r>
          </w:p>
          <w:p w14:paraId="50A36592">
            <w:pPr>
              <w:widowControl/>
              <w:numPr>
                <w:ilvl w:val="255"/>
                <w:numId w:val="0"/>
              </w:numPr>
              <w:spacing w:line="380" w:lineRule="exact"/>
              <w:ind w:firstLine="482" w:firstLineChars="200"/>
              <w:rPr>
                <w:rFonts w:hint="eastAsia" w:ascii="宋体" w:hAnsi="宋体" w:eastAsia="宋体" w:cs="宋体"/>
                <w:b/>
                <w:bCs/>
                <w:sz w:val="24"/>
                <w:szCs w:val="22"/>
                <w:lang w:bidi="zh-CN"/>
              </w:rPr>
            </w:pPr>
          </w:p>
          <w:p w14:paraId="05ECF6BC">
            <w:pPr>
              <w:widowControl/>
              <w:numPr>
                <w:ilvl w:val="255"/>
                <w:numId w:val="0"/>
              </w:numPr>
              <w:spacing w:line="380" w:lineRule="exact"/>
              <w:ind w:firstLine="482" w:firstLineChars="200"/>
              <w:rPr>
                <w:rFonts w:hint="eastAsia" w:ascii="宋体" w:hAnsi="宋体" w:eastAsia="宋体" w:cs="宋体"/>
                <w:b/>
                <w:bCs/>
                <w:sz w:val="24"/>
                <w:szCs w:val="22"/>
                <w:lang w:bidi="zh-CN"/>
              </w:rPr>
            </w:pPr>
            <w:r>
              <w:rPr>
                <w:rFonts w:hint="eastAsia" w:ascii="宋体" w:hAnsi="宋体" w:eastAsia="宋体" w:cs="宋体"/>
                <w:b/>
                <w:bCs/>
                <w:sz w:val="24"/>
                <w:szCs w:val="22"/>
                <w:lang w:bidi="zh-CN"/>
              </w:rPr>
              <w:t>6.公司在提升盈利能力方面的主要做法。</w:t>
            </w:r>
          </w:p>
          <w:p w14:paraId="3809CB06">
            <w:pPr>
              <w:widowControl/>
              <w:numPr>
                <w:ilvl w:val="255"/>
                <w:numId w:val="0"/>
              </w:numPr>
              <w:spacing w:line="380" w:lineRule="exact"/>
              <w:ind w:firstLine="480" w:firstLineChars="200"/>
              <w:rPr>
                <w:rFonts w:hint="eastAsia" w:ascii="宋体" w:hAnsi="宋体" w:eastAsia="宋体" w:cs="宋体"/>
                <w:sz w:val="24"/>
                <w:szCs w:val="22"/>
                <w:lang w:bidi="zh-CN"/>
              </w:rPr>
            </w:pPr>
            <w:r>
              <w:rPr>
                <w:rFonts w:hint="eastAsia" w:ascii="宋体" w:hAnsi="宋体" w:eastAsia="宋体" w:cs="宋体"/>
                <w:sz w:val="24"/>
                <w:szCs w:val="22"/>
                <w:lang w:bidi="zh-CN"/>
              </w:rPr>
              <w:t>答：</w:t>
            </w:r>
            <w:r>
              <w:rPr>
                <w:rFonts w:hint="eastAsia" w:ascii="宋体" w:hAnsi="宋体" w:eastAsia="宋体" w:cs="宋体"/>
                <w:b/>
                <w:bCs/>
                <w:sz w:val="24"/>
                <w:szCs w:val="22"/>
                <w:lang w:bidi="zh-CN"/>
              </w:rPr>
              <w:t>在研发管理方面，</w:t>
            </w:r>
            <w:r>
              <w:rPr>
                <w:rFonts w:hint="eastAsia" w:ascii="宋体" w:hAnsi="宋体" w:eastAsia="宋体" w:cs="宋体"/>
                <w:sz w:val="24"/>
                <w:szCs w:val="22"/>
                <w:lang w:bidi="zh-CN"/>
              </w:rPr>
              <w:t>以战略性新兴产业为重点方向，持续打造新质生产力，不断开发新技术、新工艺，用技术工艺保障高品质低成本的竞争需要；加大技术攻关力度，瞄准高端化、智能化、绿色化、服务化四大发展方向，助推公司产业升级。</w:t>
            </w:r>
            <w:r>
              <w:rPr>
                <w:rFonts w:hint="eastAsia" w:ascii="宋体" w:hAnsi="宋体" w:eastAsia="宋体" w:cs="宋体"/>
                <w:b/>
                <w:bCs/>
                <w:sz w:val="24"/>
                <w:szCs w:val="22"/>
                <w:lang w:bidi="zh-CN"/>
              </w:rPr>
              <w:t>在经营管理方面，</w:t>
            </w:r>
            <w:r>
              <w:rPr>
                <w:rFonts w:hint="eastAsia" w:ascii="宋体" w:hAnsi="宋体" w:eastAsia="宋体" w:cs="宋体"/>
                <w:sz w:val="24"/>
                <w:szCs w:val="22"/>
                <w:lang w:bidi="zh-CN"/>
              </w:rPr>
              <w:t>提升需求管理的专业化、标准化水平，升级优化经营布局，持续开展经营“调结构”工作，努力提升资金状况佳、合同质量好、业主直接招标的优质项目市场份额。</w:t>
            </w:r>
            <w:r>
              <w:rPr>
                <w:rFonts w:hint="eastAsia" w:ascii="宋体" w:hAnsi="宋体" w:eastAsia="宋体" w:cs="宋体"/>
                <w:b/>
                <w:bCs/>
                <w:sz w:val="24"/>
                <w:szCs w:val="22"/>
                <w:lang w:bidi="zh-CN"/>
              </w:rPr>
              <w:t>在成本管理方面，</w:t>
            </w:r>
            <w:r>
              <w:rPr>
                <w:rFonts w:hint="eastAsia" w:ascii="宋体" w:hAnsi="宋体" w:eastAsia="宋体" w:cs="宋体"/>
                <w:sz w:val="24"/>
                <w:szCs w:val="22"/>
                <w:lang w:bidi="zh-CN"/>
              </w:rPr>
              <w:t>提升项目标前成本测算质量，做好项目责任成本管理；通过生产组织和管理模式优化、生产线智能化改造、推行大商务管理等方式降低生产成本，并设定不同产品的降低成本的阶段性目标。</w:t>
            </w:r>
            <w:r>
              <w:rPr>
                <w:rFonts w:hint="eastAsia" w:ascii="宋体" w:hAnsi="宋体" w:eastAsia="宋体" w:cs="宋体"/>
                <w:b/>
                <w:bCs/>
                <w:sz w:val="24"/>
                <w:szCs w:val="22"/>
                <w:lang w:bidi="zh-CN"/>
              </w:rPr>
              <w:t>在费用控制方面，</w:t>
            </w:r>
            <w:r>
              <w:rPr>
                <w:rFonts w:hint="eastAsia" w:ascii="宋体" w:hAnsi="宋体" w:eastAsia="宋体" w:cs="宋体"/>
                <w:sz w:val="24"/>
                <w:szCs w:val="22"/>
                <w:lang w:bidi="zh-CN"/>
              </w:rPr>
              <w:t>进一步加大对非刚性管理费用的压降力度，巩固上半年费用压降成果。</w:t>
            </w:r>
            <w:r>
              <w:rPr>
                <w:rFonts w:hint="eastAsia" w:ascii="宋体" w:hAnsi="宋体" w:eastAsia="宋体" w:cs="宋体"/>
                <w:b/>
                <w:bCs/>
                <w:sz w:val="24"/>
                <w:szCs w:val="22"/>
                <w:lang w:bidi="zh-CN"/>
              </w:rPr>
              <w:t>在应收账款方面，</w:t>
            </w:r>
            <w:r>
              <w:rPr>
                <w:rFonts w:hint="eastAsia" w:ascii="宋体" w:hAnsi="宋体" w:eastAsia="宋体" w:cs="宋体"/>
                <w:sz w:val="24"/>
                <w:szCs w:val="22"/>
                <w:lang w:bidi="zh-CN"/>
              </w:rPr>
              <w:t>加大对应收账款的清理清欠力度，进一步加大刚性考核和激励力度，按照不同产品类别、不同项目状态分类制定清理目标和考核标准，在明确各项奖惩规定及回收期限基础上，根据工作成效进行及时激励。</w:t>
            </w:r>
            <w:r>
              <w:rPr>
                <w:rFonts w:hint="eastAsia" w:ascii="宋体" w:hAnsi="宋体" w:eastAsia="宋体" w:cs="宋体"/>
                <w:b/>
                <w:bCs/>
                <w:sz w:val="24"/>
                <w:szCs w:val="22"/>
                <w:lang w:bidi="zh-CN"/>
              </w:rPr>
              <w:t>在指标指引方面，</w:t>
            </w:r>
            <w:r>
              <w:rPr>
                <w:rFonts w:hint="eastAsia" w:ascii="宋体" w:hAnsi="宋体" w:eastAsia="宋体" w:cs="宋体"/>
                <w:sz w:val="24"/>
                <w:szCs w:val="22"/>
                <w:lang w:bidi="zh-CN"/>
              </w:rPr>
              <w:t>设置“三增两控五优化”奋斗目标，并制定配套的管理制度、机制和流程，努力实现净资产收益率、全员劳动生产率、营业现金比率、研发投入同比有所增长，项目平均收入净利润率同比有所提高。</w:t>
            </w:r>
          </w:p>
          <w:p w14:paraId="7302C18C">
            <w:pPr>
              <w:widowControl/>
              <w:numPr>
                <w:ilvl w:val="255"/>
                <w:numId w:val="0"/>
              </w:numPr>
              <w:spacing w:line="380" w:lineRule="exact"/>
              <w:ind w:firstLine="480" w:firstLineChars="200"/>
              <w:rPr>
                <w:rFonts w:hint="eastAsia" w:ascii="宋体" w:hAnsi="宋体" w:eastAsia="宋体" w:cs="宋体"/>
                <w:sz w:val="24"/>
                <w:szCs w:val="22"/>
                <w:lang w:bidi="zh-CN"/>
              </w:rPr>
            </w:pPr>
          </w:p>
        </w:tc>
      </w:tr>
    </w:tbl>
    <w:p w14:paraId="3CE2CF10">
      <w:pPr>
        <w:ind w:firstLine="482"/>
        <w:rPr>
          <w:rFonts w:ascii="Calibri" w:hAnsi="Calibri" w:eastAsia="宋体" w:cs="Times New Roman"/>
        </w:rPr>
      </w:pPr>
    </w:p>
    <w:p w14:paraId="422FF879">
      <w:pPr>
        <w:ind w:firstLine="482"/>
        <w:rPr>
          <w:rFonts w:ascii="Calibri" w:hAnsi="Calibri" w:eastAsia="宋体" w:cs="Times New Roman"/>
        </w:rPr>
      </w:pPr>
    </w:p>
    <w:p w14:paraId="57A1B660">
      <w:pPr>
        <w:ind w:firstLine="482"/>
        <w:rPr>
          <w:rFonts w:ascii="Calibri" w:hAnsi="Calibri" w:eastAsia="宋体" w:cs="Times New Roman"/>
        </w:rPr>
      </w:pPr>
    </w:p>
    <w:p w14:paraId="75EB6CD7">
      <w:pPr>
        <w:ind w:firstLine="482"/>
        <w:rPr>
          <w:rFonts w:ascii="Calibri" w:hAnsi="Calibri" w:eastAsia="宋体" w:cs="Times New Roman"/>
        </w:rPr>
      </w:pPr>
    </w:p>
    <w:p w14:paraId="65D1959C">
      <w:pPr>
        <w:ind w:firstLine="482"/>
      </w:pPr>
    </w:p>
    <w:p w14:paraId="586C4CCB"/>
    <w:sectPr>
      <w:pgSz w:w="11910" w:h="16840"/>
      <w:pgMar w:top="1420" w:right="156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icrosoft JhengHei">
    <w:panose1 w:val="020B0604030504040204"/>
    <w:charset w:val="88"/>
    <w:family w:val="swiss"/>
    <w:pitch w:val="default"/>
    <w:sig w:usb0="00000087" w:usb1="28AF4000" w:usb2="00000016" w:usb3="00000000" w:csb0="00100009"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k0YWY5YWNiNDE5NmI3YTYwMGE1ZGJhY2M2ODQ0MjMifQ=="/>
  </w:docVars>
  <w:rsids>
    <w:rsidRoot w:val="2E9D6824"/>
    <w:rsid w:val="000137F3"/>
    <w:rsid w:val="00031371"/>
    <w:rsid w:val="00032B3D"/>
    <w:rsid w:val="000D59AA"/>
    <w:rsid w:val="002668C4"/>
    <w:rsid w:val="002915DF"/>
    <w:rsid w:val="00373013"/>
    <w:rsid w:val="00403978"/>
    <w:rsid w:val="00480270"/>
    <w:rsid w:val="006710FD"/>
    <w:rsid w:val="00754E22"/>
    <w:rsid w:val="00943B9B"/>
    <w:rsid w:val="00A655A1"/>
    <w:rsid w:val="00B62E6A"/>
    <w:rsid w:val="00B84CFF"/>
    <w:rsid w:val="00CD225D"/>
    <w:rsid w:val="00CD7A00"/>
    <w:rsid w:val="00D6292F"/>
    <w:rsid w:val="00E20005"/>
    <w:rsid w:val="00E56062"/>
    <w:rsid w:val="00F1303E"/>
    <w:rsid w:val="014075AF"/>
    <w:rsid w:val="01776618"/>
    <w:rsid w:val="0204347A"/>
    <w:rsid w:val="02146827"/>
    <w:rsid w:val="02746CB9"/>
    <w:rsid w:val="029A3351"/>
    <w:rsid w:val="03351957"/>
    <w:rsid w:val="03354BA9"/>
    <w:rsid w:val="036E1AFC"/>
    <w:rsid w:val="03D913C1"/>
    <w:rsid w:val="0400177C"/>
    <w:rsid w:val="04331757"/>
    <w:rsid w:val="049B5AE0"/>
    <w:rsid w:val="05053E22"/>
    <w:rsid w:val="052B37F3"/>
    <w:rsid w:val="05415D5C"/>
    <w:rsid w:val="054F28E5"/>
    <w:rsid w:val="058853EE"/>
    <w:rsid w:val="06491895"/>
    <w:rsid w:val="06C954F9"/>
    <w:rsid w:val="06E32BC5"/>
    <w:rsid w:val="074C0946"/>
    <w:rsid w:val="07683008"/>
    <w:rsid w:val="07C82502"/>
    <w:rsid w:val="08005EC1"/>
    <w:rsid w:val="09147BD1"/>
    <w:rsid w:val="092E7E14"/>
    <w:rsid w:val="09AC3382"/>
    <w:rsid w:val="0A101979"/>
    <w:rsid w:val="0A712513"/>
    <w:rsid w:val="0ACA1658"/>
    <w:rsid w:val="0B585949"/>
    <w:rsid w:val="0B8056F1"/>
    <w:rsid w:val="0C0952FA"/>
    <w:rsid w:val="0D345C5A"/>
    <w:rsid w:val="0D9C2B47"/>
    <w:rsid w:val="0E1F5F8F"/>
    <w:rsid w:val="0E737D3F"/>
    <w:rsid w:val="0E7C1566"/>
    <w:rsid w:val="0EB5409C"/>
    <w:rsid w:val="0FCD0D0C"/>
    <w:rsid w:val="102E103F"/>
    <w:rsid w:val="103079EA"/>
    <w:rsid w:val="10657B41"/>
    <w:rsid w:val="107447F0"/>
    <w:rsid w:val="116E2D11"/>
    <w:rsid w:val="11ED2806"/>
    <w:rsid w:val="121427F4"/>
    <w:rsid w:val="12215160"/>
    <w:rsid w:val="123A23FE"/>
    <w:rsid w:val="12E26E04"/>
    <w:rsid w:val="136A034F"/>
    <w:rsid w:val="14836F8F"/>
    <w:rsid w:val="14A55986"/>
    <w:rsid w:val="14B4537C"/>
    <w:rsid w:val="15312600"/>
    <w:rsid w:val="15603B98"/>
    <w:rsid w:val="15FF2F49"/>
    <w:rsid w:val="16375667"/>
    <w:rsid w:val="16486D01"/>
    <w:rsid w:val="17236F1E"/>
    <w:rsid w:val="17BB35FC"/>
    <w:rsid w:val="18020E75"/>
    <w:rsid w:val="181A3976"/>
    <w:rsid w:val="18F750BC"/>
    <w:rsid w:val="19D33519"/>
    <w:rsid w:val="19ED57B3"/>
    <w:rsid w:val="1A573973"/>
    <w:rsid w:val="1A6A04AE"/>
    <w:rsid w:val="1A7F45B8"/>
    <w:rsid w:val="1B944F1D"/>
    <w:rsid w:val="1C142612"/>
    <w:rsid w:val="1C1F5442"/>
    <w:rsid w:val="1C213964"/>
    <w:rsid w:val="1CE53D01"/>
    <w:rsid w:val="1D0C271F"/>
    <w:rsid w:val="1E166F81"/>
    <w:rsid w:val="1E4F5FBC"/>
    <w:rsid w:val="1E700E0E"/>
    <w:rsid w:val="1EF74C1E"/>
    <w:rsid w:val="1EFA7E51"/>
    <w:rsid w:val="208E18AB"/>
    <w:rsid w:val="20B724FA"/>
    <w:rsid w:val="20CB1D8C"/>
    <w:rsid w:val="21134F15"/>
    <w:rsid w:val="21720A1F"/>
    <w:rsid w:val="2219319E"/>
    <w:rsid w:val="2292398D"/>
    <w:rsid w:val="23DD70FC"/>
    <w:rsid w:val="23E256F7"/>
    <w:rsid w:val="24445BEF"/>
    <w:rsid w:val="244E4F36"/>
    <w:rsid w:val="24896AB8"/>
    <w:rsid w:val="24D153E7"/>
    <w:rsid w:val="2513542C"/>
    <w:rsid w:val="25404272"/>
    <w:rsid w:val="25444D2D"/>
    <w:rsid w:val="25947FBF"/>
    <w:rsid w:val="267B643F"/>
    <w:rsid w:val="26C72527"/>
    <w:rsid w:val="27655E70"/>
    <w:rsid w:val="276F2CB5"/>
    <w:rsid w:val="27935EA3"/>
    <w:rsid w:val="283A6AB4"/>
    <w:rsid w:val="28706B56"/>
    <w:rsid w:val="28860ECC"/>
    <w:rsid w:val="28A148D5"/>
    <w:rsid w:val="291C069D"/>
    <w:rsid w:val="293C151E"/>
    <w:rsid w:val="297943AC"/>
    <w:rsid w:val="29856BE1"/>
    <w:rsid w:val="29A82D80"/>
    <w:rsid w:val="29E45531"/>
    <w:rsid w:val="2A9F3B8D"/>
    <w:rsid w:val="2AA57B1F"/>
    <w:rsid w:val="2B154DE9"/>
    <w:rsid w:val="2B1D177E"/>
    <w:rsid w:val="2B45013E"/>
    <w:rsid w:val="2CD97EAA"/>
    <w:rsid w:val="2D0B4E83"/>
    <w:rsid w:val="2D484E6F"/>
    <w:rsid w:val="2D7D7AA7"/>
    <w:rsid w:val="2E493757"/>
    <w:rsid w:val="2E7815C7"/>
    <w:rsid w:val="2E9D6824"/>
    <w:rsid w:val="2EA46D31"/>
    <w:rsid w:val="2EB47CF0"/>
    <w:rsid w:val="2F4534B3"/>
    <w:rsid w:val="2F510246"/>
    <w:rsid w:val="2F564BAE"/>
    <w:rsid w:val="2FBF4E5A"/>
    <w:rsid w:val="2FE166F3"/>
    <w:rsid w:val="2FE311E2"/>
    <w:rsid w:val="30295AA3"/>
    <w:rsid w:val="30E4200A"/>
    <w:rsid w:val="311C3E37"/>
    <w:rsid w:val="3151318A"/>
    <w:rsid w:val="31936F51"/>
    <w:rsid w:val="319932AE"/>
    <w:rsid w:val="327B4792"/>
    <w:rsid w:val="327F2B88"/>
    <w:rsid w:val="32B50D97"/>
    <w:rsid w:val="32B6761A"/>
    <w:rsid w:val="331645B1"/>
    <w:rsid w:val="333431EA"/>
    <w:rsid w:val="33B51B2F"/>
    <w:rsid w:val="3440562E"/>
    <w:rsid w:val="347668DA"/>
    <w:rsid w:val="34D72E0D"/>
    <w:rsid w:val="34E473AF"/>
    <w:rsid w:val="34E672F2"/>
    <w:rsid w:val="35526158"/>
    <w:rsid w:val="357E2C89"/>
    <w:rsid w:val="358E6F01"/>
    <w:rsid w:val="371C5DA4"/>
    <w:rsid w:val="379609DC"/>
    <w:rsid w:val="37D80396"/>
    <w:rsid w:val="37F84B3F"/>
    <w:rsid w:val="37FE7526"/>
    <w:rsid w:val="38041E96"/>
    <w:rsid w:val="382D23F5"/>
    <w:rsid w:val="38F2029B"/>
    <w:rsid w:val="391138B2"/>
    <w:rsid w:val="393F1F7B"/>
    <w:rsid w:val="3A0A0FC6"/>
    <w:rsid w:val="3A14549A"/>
    <w:rsid w:val="3A903116"/>
    <w:rsid w:val="3AA24C9F"/>
    <w:rsid w:val="3AFE1875"/>
    <w:rsid w:val="3B29585C"/>
    <w:rsid w:val="3B3549EE"/>
    <w:rsid w:val="3B60096D"/>
    <w:rsid w:val="3C163E60"/>
    <w:rsid w:val="3C5621E1"/>
    <w:rsid w:val="3CC53C2C"/>
    <w:rsid w:val="3CE912B4"/>
    <w:rsid w:val="3E0C3A82"/>
    <w:rsid w:val="3E0D3E5B"/>
    <w:rsid w:val="3E3825F1"/>
    <w:rsid w:val="3E8D1F15"/>
    <w:rsid w:val="3EC7168E"/>
    <w:rsid w:val="3EE447D9"/>
    <w:rsid w:val="3F47085D"/>
    <w:rsid w:val="3FDA2A51"/>
    <w:rsid w:val="40BF1ED5"/>
    <w:rsid w:val="40C95A74"/>
    <w:rsid w:val="40E24008"/>
    <w:rsid w:val="40F26B35"/>
    <w:rsid w:val="421537A4"/>
    <w:rsid w:val="424051C7"/>
    <w:rsid w:val="42452805"/>
    <w:rsid w:val="42567842"/>
    <w:rsid w:val="425A5222"/>
    <w:rsid w:val="427020C1"/>
    <w:rsid w:val="449A33FE"/>
    <w:rsid w:val="44A91919"/>
    <w:rsid w:val="4530130F"/>
    <w:rsid w:val="45B82DA0"/>
    <w:rsid w:val="460D258F"/>
    <w:rsid w:val="46611D24"/>
    <w:rsid w:val="46961585"/>
    <w:rsid w:val="46B16601"/>
    <w:rsid w:val="471B0185"/>
    <w:rsid w:val="478314B3"/>
    <w:rsid w:val="486F66C7"/>
    <w:rsid w:val="488562C7"/>
    <w:rsid w:val="48B021C6"/>
    <w:rsid w:val="48CC55B6"/>
    <w:rsid w:val="495E27E0"/>
    <w:rsid w:val="496635CC"/>
    <w:rsid w:val="49A57642"/>
    <w:rsid w:val="49B2014C"/>
    <w:rsid w:val="49EC2014"/>
    <w:rsid w:val="4A1F6D47"/>
    <w:rsid w:val="4A3E3505"/>
    <w:rsid w:val="4AB96E81"/>
    <w:rsid w:val="4B6058FF"/>
    <w:rsid w:val="4B7E10D3"/>
    <w:rsid w:val="4B8868F7"/>
    <w:rsid w:val="4BEA2C60"/>
    <w:rsid w:val="4C2C2C6D"/>
    <w:rsid w:val="4C95294D"/>
    <w:rsid w:val="4D7475CF"/>
    <w:rsid w:val="4DAB14EE"/>
    <w:rsid w:val="4DC872D1"/>
    <w:rsid w:val="4DCE2C5D"/>
    <w:rsid w:val="4DF80DB9"/>
    <w:rsid w:val="4E1354F7"/>
    <w:rsid w:val="4F1C169F"/>
    <w:rsid w:val="4F5A600F"/>
    <w:rsid w:val="500A107C"/>
    <w:rsid w:val="502C7AAB"/>
    <w:rsid w:val="503A2BCA"/>
    <w:rsid w:val="504C565A"/>
    <w:rsid w:val="505F68CC"/>
    <w:rsid w:val="50701412"/>
    <w:rsid w:val="508B7B19"/>
    <w:rsid w:val="510A20CD"/>
    <w:rsid w:val="51311BD9"/>
    <w:rsid w:val="51AA1E80"/>
    <w:rsid w:val="51E16832"/>
    <w:rsid w:val="51E34174"/>
    <w:rsid w:val="533725EE"/>
    <w:rsid w:val="533F3AB3"/>
    <w:rsid w:val="53755C44"/>
    <w:rsid w:val="53B25CD5"/>
    <w:rsid w:val="53C020FC"/>
    <w:rsid w:val="543F343F"/>
    <w:rsid w:val="54460AFF"/>
    <w:rsid w:val="54552A11"/>
    <w:rsid w:val="546141A1"/>
    <w:rsid w:val="549F386A"/>
    <w:rsid w:val="55007CB9"/>
    <w:rsid w:val="55C87014"/>
    <w:rsid w:val="55D76548"/>
    <w:rsid w:val="56197FF3"/>
    <w:rsid w:val="56651060"/>
    <w:rsid w:val="569C51E4"/>
    <w:rsid w:val="572A5DFA"/>
    <w:rsid w:val="5793080B"/>
    <w:rsid w:val="57C85932"/>
    <w:rsid w:val="57E92765"/>
    <w:rsid w:val="588329AC"/>
    <w:rsid w:val="58D81AFC"/>
    <w:rsid w:val="58F454E2"/>
    <w:rsid w:val="599026A6"/>
    <w:rsid w:val="5A1102F9"/>
    <w:rsid w:val="5A583808"/>
    <w:rsid w:val="5A8C7275"/>
    <w:rsid w:val="5ABE6659"/>
    <w:rsid w:val="5B586CA2"/>
    <w:rsid w:val="5C247843"/>
    <w:rsid w:val="5C55137A"/>
    <w:rsid w:val="5C5525A0"/>
    <w:rsid w:val="5C945C52"/>
    <w:rsid w:val="5CCC3393"/>
    <w:rsid w:val="5D51749F"/>
    <w:rsid w:val="5D545C81"/>
    <w:rsid w:val="5E046864"/>
    <w:rsid w:val="5E452065"/>
    <w:rsid w:val="5ED828B4"/>
    <w:rsid w:val="5EDE5F3A"/>
    <w:rsid w:val="5EFF5A8E"/>
    <w:rsid w:val="5F2A50BF"/>
    <w:rsid w:val="5F8C52D4"/>
    <w:rsid w:val="5FA5294F"/>
    <w:rsid w:val="5FB60E80"/>
    <w:rsid w:val="5FF14891"/>
    <w:rsid w:val="5FFD7F05"/>
    <w:rsid w:val="605908A1"/>
    <w:rsid w:val="60937CF0"/>
    <w:rsid w:val="6097361E"/>
    <w:rsid w:val="60C37A33"/>
    <w:rsid w:val="60EB32BE"/>
    <w:rsid w:val="60F63018"/>
    <w:rsid w:val="6122209C"/>
    <w:rsid w:val="614C5F46"/>
    <w:rsid w:val="62051ED7"/>
    <w:rsid w:val="62E64CBC"/>
    <w:rsid w:val="630C47C7"/>
    <w:rsid w:val="63400147"/>
    <w:rsid w:val="63B46BBD"/>
    <w:rsid w:val="63C128AF"/>
    <w:rsid w:val="63F243ED"/>
    <w:rsid w:val="645C4936"/>
    <w:rsid w:val="65201F66"/>
    <w:rsid w:val="6523130F"/>
    <w:rsid w:val="66003D71"/>
    <w:rsid w:val="66D47C91"/>
    <w:rsid w:val="66E463DE"/>
    <w:rsid w:val="67AF7155"/>
    <w:rsid w:val="68281439"/>
    <w:rsid w:val="6896208D"/>
    <w:rsid w:val="68A04A58"/>
    <w:rsid w:val="68AB3DD0"/>
    <w:rsid w:val="68D832EC"/>
    <w:rsid w:val="68E81ABC"/>
    <w:rsid w:val="68E8766E"/>
    <w:rsid w:val="693C033C"/>
    <w:rsid w:val="696B4984"/>
    <w:rsid w:val="696C6056"/>
    <w:rsid w:val="6A42419F"/>
    <w:rsid w:val="6A464CB0"/>
    <w:rsid w:val="6A4E0447"/>
    <w:rsid w:val="6B24785D"/>
    <w:rsid w:val="6BDF7649"/>
    <w:rsid w:val="6CAE1317"/>
    <w:rsid w:val="6CB30B6E"/>
    <w:rsid w:val="6CBD0A9A"/>
    <w:rsid w:val="6D0468E8"/>
    <w:rsid w:val="6DA33507"/>
    <w:rsid w:val="6DF644C8"/>
    <w:rsid w:val="6E2231D4"/>
    <w:rsid w:val="6E6F0B3C"/>
    <w:rsid w:val="6E711093"/>
    <w:rsid w:val="6F3D0C04"/>
    <w:rsid w:val="6F716CD6"/>
    <w:rsid w:val="6F7D25E3"/>
    <w:rsid w:val="6FA4432C"/>
    <w:rsid w:val="6FB8065A"/>
    <w:rsid w:val="70487187"/>
    <w:rsid w:val="70CA272F"/>
    <w:rsid w:val="70F91928"/>
    <w:rsid w:val="710C67BE"/>
    <w:rsid w:val="71A42734"/>
    <w:rsid w:val="71F16312"/>
    <w:rsid w:val="72151F22"/>
    <w:rsid w:val="72455BE8"/>
    <w:rsid w:val="73105145"/>
    <w:rsid w:val="73A2411E"/>
    <w:rsid w:val="73A609D6"/>
    <w:rsid w:val="73BF1B65"/>
    <w:rsid w:val="74057D8F"/>
    <w:rsid w:val="74171C8C"/>
    <w:rsid w:val="74226089"/>
    <w:rsid w:val="742A0A1E"/>
    <w:rsid w:val="75537A58"/>
    <w:rsid w:val="75A35CCF"/>
    <w:rsid w:val="75EF44B1"/>
    <w:rsid w:val="766156E5"/>
    <w:rsid w:val="76D25753"/>
    <w:rsid w:val="76DE0B94"/>
    <w:rsid w:val="776C55D6"/>
    <w:rsid w:val="78F64BF0"/>
    <w:rsid w:val="796A7452"/>
    <w:rsid w:val="79A4784C"/>
    <w:rsid w:val="79AA5EC1"/>
    <w:rsid w:val="79B4469B"/>
    <w:rsid w:val="7A1A4B8D"/>
    <w:rsid w:val="7A672CBD"/>
    <w:rsid w:val="7A8003EE"/>
    <w:rsid w:val="7A923C37"/>
    <w:rsid w:val="7AA43769"/>
    <w:rsid w:val="7B432F32"/>
    <w:rsid w:val="7C98665E"/>
    <w:rsid w:val="7C9B3495"/>
    <w:rsid w:val="7D3674C0"/>
    <w:rsid w:val="7DA85FAB"/>
    <w:rsid w:val="7DDC1A9F"/>
    <w:rsid w:val="7EA50649"/>
    <w:rsid w:val="7EAF147F"/>
    <w:rsid w:val="7F0B4D0E"/>
    <w:rsid w:val="7F8552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next w:val="3"/>
    <w:qFormat/>
    <w:uiPriority w:val="0"/>
    <w:pPr>
      <w:widowControl w:val="0"/>
      <w:spacing w:after="120"/>
      <w:jc w:val="both"/>
    </w:pPr>
    <w:rPr>
      <w:rFonts w:asciiTheme="minorHAnsi" w:hAnsiTheme="minorHAnsi" w:eastAsiaTheme="minorEastAsia" w:cstheme="minorBidi"/>
      <w:kern w:val="2"/>
      <w:sz w:val="21"/>
      <w:szCs w:val="24"/>
      <w:lang w:val="en-US" w:eastAsia="zh-CN" w:bidi="ar-SA"/>
    </w:rPr>
  </w:style>
  <w:style w:type="paragraph" w:styleId="3">
    <w:name w:val="toc 1"/>
    <w:next w:val="1"/>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tabs>
        <w:tab w:val="center" w:pos="4153"/>
        <w:tab w:val="right" w:pos="8306"/>
      </w:tabs>
      <w:snapToGrid w:val="0"/>
      <w:jc w:val="center"/>
    </w:pPr>
    <w:rPr>
      <w:sz w:val="18"/>
      <w:szCs w:val="18"/>
    </w:rPr>
  </w:style>
  <w:style w:type="paragraph" w:styleId="6">
    <w:name w:val="Body Text First Indent"/>
    <w:qFormat/>
    <w:uiPriority w:val="0"/>
    <w:pPr>
      <w:widowControl w:val="0"/>
      <w:spacing w:after="120"/>
      <w:ind w:firstLine="420" w:firstLineChars="100"/>
      <w:jc w:val="both"/>
    </w:pPr>
    <w:rPr>
      <w:rFonts w:asciiTheme="minorHAnsi" w:hAnsiTheme="minorHAnsi" w:eastAsiaTheme="minorEastAsia" w:cstheme="minorBidi"/>
      <w:kern w:val="2"/>
      <w:sz w:val="21"/>
      <w:szCs w:val="24"/>
      <w:lang w:val="en-US" w:eastAsia="zh-CN" w:bidi="ar-SA"/>
    </w:rPr>
  </w:style>
  <w:style w:type="character" w:customStyle="1" w:styleId="9">
    <w:name w:val="页眉 字符"/>
    <w:basedOn w:val="8"/>
    <w:link w:val="5"/>
    <w:qFormat/>
    <w:uiPriority w:val="0"/>
    <w:rPr>
      <w:kern w:val="2"/>
      <w:sz w:val="18"/>
      <w:szCs w:val="18"/>
    </w:rPr>
  </w:style>
  <w:style w:type="character" w:customStyle="1" w:styleId="10">
    <w:name w:val="页脚 字符"/>
    <w:basedOn w:val="8"/>
    <w:link w:val="4"/>
    <w:qFormat/>
    <w:uiPriority w:val="0"/>
    <w:rPr>
      <w:kern w:val="2"/>
      <w:sz w:val="18"/>
      <w:szCs w:val="18"/>
    </w:rPr>
  </w:style>
  <w:style w:type="paragraph" w:customStyle="1" w:styleId="11">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2994</Words>
  <Characters>3259</Characters>
  <Lines>24</Lines>
  <Paragraphs>6</Paragraphs>
  <TotalTime>42</TotalTime>
  <ScaleCrop>false</ScaleCrop>
  <LinksUpToDate>false</LinksUpToDate>
  <CharactersWithSpaces>3406</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2024-09-06T02:10:00Z</dcterms:created>
  <dc:creator>WH</dc:creator>
  <cp:lastModifiedBy>WH</cp:lastModifiedBy>
  <dcterms:modified xsi:type="dcterms:W3CDTF">2024-09-06T03:50:12Z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7DE00EAE10B4403BAB7DFA20C74D83DC_13</vt:lpwstr>
  </property>
</Properties>
</file>