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8238D" w14:textId="3D589A5D" w:rsidR="00BE2C37" w:rsidRDefault="00BE2C37" w:rsidP="00BE2C37">
      <w:pPr>
        <w:jc w:val="center"/>
        <w:rPr>
          <w:rFonts w:ascii="楷体" w:eastAsia="楷体" w:hAnsi="楷体" w:hint="eastAsia"/>
          <w:b/>
          <w:bCs/>
          <w:sz w:val="21"/>
          <w:szCs w:val="21"/>
        </w:rPr>
      </w:pPr>
      <w:r w:rsidRPr="000C3DAE">
        <w:rPr>
          <w:rFonts w:ascii="楷体" w:eastAsia="楷体" w:hAnsi="楷体" w:hint="eastAsia"/>
          <w:b/>
          <w:bCs/>
          <w:sz w:val="21"/>
          <w:szCs w:val="21"/>
        </w:rPr>
        <w:t>招商轮船、招商南油</w:t>
      </w:r>
      <w:r w:rsidR="00C13EFE">
        <w:rPr>
          <w:rFonts w:ascii="楷体" w:eastAsia="楷体" w:hAnsi="楷体" w:hint="eastAsia"/>
          <w:b/>
          <w:bCs/>
          <w:sz w:val="21"/>
          <w:szCs w:val="21"/>
        </w:rPr>
        <w:t>2024年半年度</w:t>
      </w:r>
      <w:r w:rsidRPr="000C3DAE">
        <w:rPr>
          <w:rFonts w:ascii="楷体" w:eastAsia="楷体" w:hAnsi="楷体" w:hint="eastAsia"/>
          <w:b/>
          <w:bCs/>
          <w:sz w:val="21"/>
          <w:szCs w:val="21"/>
        </w:rPr>
        <w:t>联合</w:t>
      </w:r>
      <w:r w:rsidR="00C13EFE">
        <w:rPr>
          <w:rFonts w:ascii="楷体" w:eastAsia="楷体" w:hAnsi="楷体" w:hint="eastAsia"/>
          <w:b/>
          <w:bCs/>
          <w:sz w:val="21"/>
          <w:szCs w:val="21"/>
        </w:rPr>
        <w:t>业绩说明会</w:t>
      </w:r>
      <w:r w:rsidRPr="000C3DAE">
        <w:rPr>
          <w:rFonts w:ascii="楷体" w:eastAsia="楷体" w:hAnsi="楷体" w:hint="eastAsia"/>
          <w:b/>
          <w:bCs/>
          <w:sz w:val="21"/>
          <w:szCs w:val="21"/>
        </w:rPr>
        <w:t>纪要</w:t>
      </w:r>
    </w:p>
    <w:p w14:paraId="19D8C5A0" w14:textId="5CDA2D2E" w:rsidR="000544B0" w:rsidRPr="000C3DAE" w:rsidRDefault="000544B0" w:rsidP="00BE2C37">
      <w:pPr>
        <w:jc w:val="center"/>
        <w:rPr>
          <w:rFonts w:ascii="楷体" w:eastAsia="楷体" w:hAnsi="楷体" w:hint="eastAsia"/>
          <w:b/>
          <w:bCs/>
          <w:sz w:val="21"/>
          <w:szCs w:val="21"/>
        </w:rPr>
      </w:pPr>
      <w:r>
        <w:rPr>
          <w:rFonts w:ascii="楷体" w:eastAsia="楷体" w:hAnsi="楷体" w:hint="eastAsia"/>
          <w:b/>
          <w:bCs/>
          <w:sz w:val="21"/>
          <w:szCs w:val="21"/>
        </w:rPr>
        <w:t>（招商轮船部分）</w:t>
      </w:r>
    </w:p>
    <w:p w14:paraId="53A8A300" w14:textId="77777777" w:rsidR="00BE2C37" w:rsidRPr="000C3DAE" w:rsidRDefault="00BE2C37" w:rsidP="00BE2C37">
      <w:pPr>
        <w:jc w:val="center"/>
        <w:rPr>
          <w:rFonts w:ascii="楷体" w:eastAsia="楷体" w:hAnsi="楷体" w:hint="eastAsia"/>
          <w:b/>
          <w:bCs/>
          <w:sz w:val="21"/>
          <w:szCs w:val="21"/>
        </w:rPr>
      </w:pPr>
      <w:r w:rsidRPr="000C3DAE">
        <w:rPr>
          <w:rFonts w:ascii="楷体" w:eastAsia="楷体" w:hAnsi="楷体" w:hint="eastAsia"/>
          <w:b/>
          <w:bCs/>
          <w:sz w:val="21"/>
          <w:szCs w:val="21"/>
        </w:rPr>
        <w:t>时间：2024/09/02</w:t>
      </w:r>
    </w:p>
    <w:p w14:paraId="4989DC42" w14:textId="17FFD320" w:rsidR="00E44686" w:rsidRPr="00BE2C37" w:rsidRDefault="00BE2C37">
      <w:pPr>
        <w:rPr>
          <w:rFonts w:ascii="楷体" w:eastAsia="楷体" w:hAnsi="楷体" w:hint="eastAsia"/>
          <w:b/>
          <w:bCs/>
          <w:sz w:val="21"/>
          <w:szCs w:val="21"/>
        </w:rPr>
      </w:pPr>
      <w:r w:rsidRPr="00BE2C37">
        <w:rPr>
          <w:rFonts w:ascii="楷体" w:eastAsia="楷体" w:hAnsi="楷体" w:hint="eastAsia"/>
          <w:b/>
          <w:bCs/>
          <w:sz w:val="21"/>
          <w:szCs w:val="21"/>
        </w:rPr>
        <w:t>招商轮船基本情况介绍：</w:t>
      </w:r>
    </w:p>
    <w:p w14:paraId="300E60E8" w14:textId="27BC4FDE" w:rsidR="00BE2C37" w:rsidRPr="00BE2C37" w:rsidRDefault="00BE2C37">
      <w:pPr>
        <w:rPr>
          <w:rFonts w:ascii="楷体" w:eastAsia="楷体" w:hAnsi="楷体" w:hint="eastAsia"/>
          <w:sz w:val="21"/>
          <w:szCs w:val="21"/>
        </w:rPr>
      </w:pPr>
      <w:r w:rsidRPr="00BE2C37">
        <w:rPr>
          <w:rFonts w:ascii="楷体" w:eastAsia="楷体" w:hAnsi="楷体" w:hint="eastAsia"/>
          <w:sz w:val="21"/>
          <w:szCs w:val="21"/>
        </w:rPr>
        <w:t>2024年上半年公司合并报表实现营收132.35亿元，同比增长1.88%，利润总额29.65亿元，同比增长0.48%，为了满足中期分红</w:t>
      </w:r>
      <w:r w:rsidR="000544B0">
        <w:rPr>
          <w:rFonts w:ascii="楷体" w:eastAsia="楷体" w:hAnsi="楷体" w:hint="eastAsia"/>
          <w:sz w:val="21"/>
          <w:szCs w:val="21"/>
        </w:rPr>
        <w:t>等</w:t>
      </w:r>
      <w:r w:rsidRPr="00BE2C37">
        <w:rPr>
          <w:rFonts w:ascii="楷体" w:eastAsia="楷体" w:hAnsi="楷体" w:hint="eastAsia"/>
          <w:sz w:val="21"/>
          <w:szCs w:val="21"/>
        </w:rPr>
        <w:t>资金需求，公司从境外公司汇回12亿元利润，并</w:t>
      </w:r>
      <w:r w:rsidR="000544B0">
        <w:rPr>
          <w:rFonts w:ascii="楷体" w:eastAsia="楷体" w:hAnsi="楷体" w:hint="eastAsia"/>
          <w:sz w:val="21"/>
          <w:szCs w:val="21"/>
        </w:rPr>
        <w:t>相应</w:t>
      </w:r>
      <w:r w:rsidRPr="00BE2C37">
        <w:rPr>
          <w:rFonts w:ascii="楷体" w:eastAsia="楷体" w:hAnsi="楷体" w:hint="eastAsia"/>
          <w:sz w:val="21"/>
          <w:szCs w:val="21"/>
        </w:rPr>
        <w:t>确认递延所得税负债的暂时性差异，此次中期计提的所得税费用为</w:t>
      </w:r>
      <w:r w:rsidRPr="00BE2C37">
        <w:rPr>
          <w:rFonts w:ascii="楷体" w:eastAsia="楷体" w:hAnsi="楷体"/>
          <w:sz w:val="21"/>
          <w:szCs w:val="21"/>
        </w:rPr>
        <w:t>2.96亿元</w:t>
      </w:r>
      <w:r w:rsidRPr="00BE2C37">
        <w:rPr>
          <w:rFonts w:ascii="楷体" w:eastAsia="楷体" w:hAnsi="楷体" w:hint="eastAsia"/>
          <w:sz w:val="21"/>
          <w:szCs w:val="21"/>
        </w:rPr>
        <w:t>，归属于上市公司股东的净利润为</w:t>
      </w:r>
      <w:r w:rsidRPr="00BE2C37">
        <w:rPr>
          <w:rFonts w:ascii="楷体" w:eastAsia="楷体" w:hAnsi="楷体"/>
          <w:sz w:val="21"/>
          <w:szCs w:val="21"/>
        </w:rPr>
        <w:t>24.97亿元</w:t>
      </w:r>
      <w:r w:rsidRPr="00BE2C37">
        <w:rPr>
          <w:rFonts w:ascii="楷体" w:eastAsia="楷体" w:hAnsi="楷体" w:hint="eastAsia"/>
          <w:sz w:val="21"/>
          <w:szCs w:val="21"/>
        </w:rPr>
        <w:t>，同比下降</w:t>
      </w:r>
      <w:r w:rsidRPr="00BE2C37">
        <w:rPr>
          <w:rFonts w:ascii="楷体" w:eastAsia="楷体" w:hAnsi="楷体"/>
          <w:sz w:val="21"/>
          <w:szCs w:val="21"/>
        </w:rPr>
        <w:t>9.88%。每股收益为0.31元人民币，同比下降8.82%。</w:t>
      </w:r>
    </w:p>
    <w:p w14:paraId="0C6FF32C" w14:textId="40E45886" w:rsidR="00BE2C37" w:rsidRPr="00BE2C37" w:rsidRDefault="00BE2C37">
      <w:pPr>
        <w:rPr>
          <w:rFonts w:ascii="楷体" w:eastAsia="楷体" w:hAnsi="楷体" w:hint="eastAsia"/>
          <w:sz w:val="21"/>
          <w:szCs w:val="21"/>
        </w:rPr>
      </w:pPr>
      <w:r w:rsidRPr="00BE2C37">
        <w:rPr>
          <w:rFonts w:ascii="楷体" w:eastAsia="楷体" w:hAnsi="楷体" w:hint="eastAsia"/>
          <w:sz w:val="21"/>
          <w:szCs w:val="21"/>
        </w:rPr>
        <w:t>利润下降原因除计提所得税费用外，油轮板块受市场运费下滑及坞修和加装脱硫塔影响，</w:t>
      </w:r>
      <w:r w:rsidRPr="00BE2C37">
        <w:rPr>
          <w:rFonts w:ascii="楷体" w:eastAsia="楷体" w:hAnsi="楷体"/>
          <w:sz w:val="21"/>
          <w:szCs w:val="21"/>
        </w:rPr>
        <w:t>VLCC营运天数减少，</w:t>
      </w:r>
      <w:r w:rsidRPr="00BE2C37">
        <w:rPr>
          <w:rFonts w:ascii="楷体" w:eastAsia="楷体" w:hAnsi="楷体" w:hint="eastAsia"/>
          <w:sz w:val="21"/>
          <w:szCs w:val="21"/>
        </w:rPr>
        <w:t>利润同比下降。集装箱板块受东北亚市场下滑影响，净利润同比下降。干散货板块表现较为出色，净利润同比增长，滚装业务继续实现增长。</w:t>
      </w:r>
    </w:p>
    <w:p w14:paraId="08A52BE9" w14:textId="6699B598" w:rsidR="00BE2C37" w:rsidRDefault="00BE2C37" w:rsidP="00BE2C37">
      <w:pPr>
        <w:rPr>
          <w:rFonts w:ascii="楷体" w:eastAsia="楷体" w:hAnsi="楷体" w:hint="eastAsia"/>
          <w:sz w:val="21"/>
          <w:szCs w:val="21"/>
        </w:rPr>
      </w:pPr>
      <w:r w:rsidRPr="00BE2C37">
        <w:rPr>
          <w:rFonts w:ascii="楷体" w:eastAsia="楷体" w:hAnsi="楷体" w:hint="eastAsia"/>
          <w:sz w:val="21"/>
          <w:szCs w:val="21"/>
        </w:rPr>
        <w:t>各板块盈利情况如下：油轮板块实现营业收入</w:t>
      </w:r>
      <w:r w:rsidRPr="00BE2C37">
        <w:rPr>
          <w:rFonts w:ascii="楷体" w:eastAsia="楷体" w:hAnsi="楷体"/>
          <w:sz w:val="21"/>
          <w:szCs w:val="21"/>
        </w:rPr>
        <w:t>49.63亿元，同比下降3.01%，净利润为16.75亿元，同比下降7.66%</w:t>
      </w:r>
      <w:r w:rsidRPr="00BE2C37">
        <w:rPr>
          <w:rFonts w:ascii="楷体" w:eastAsia="楷体" w:hAnsi="楷体" w:hint="eastAsia"/>
          <w:sz w:val="21"/>
          <w:szCs w:val="21"/>
        </w:rPr>
        <w:t>。干散货板块营业收入为</w:t>
      </w:r>
      <w:r w:rsidRPr="00BE2C37">
        <w:rPr>
          <w:rFonts w:ascii="楷体" w:eastAsia="楷体" w:hAnsi="楷体"/>
          <w:sz w:val="21"/>
          <w:szCs w:val="21"/>
        </w:rPr>
        <w:t>39.58亿元，同比增长15.43%，净利润达到8亿元，同比大幅增长125.35%。</w:t>
      </w:r>
      <w:r w:rsidRPr="00BE2C37">
        <w:rPr>
          <w:rFonts w:ascii="楷体" w:eastAsia="楷体" w:hAnsi="楷体" w:hint="eastAsia"/>
          <w:sz w:val="21"/>
          <w:szCs w:val="21"/>
        </w:rPr>
        <w:t>滚装板块的营业收入为</w:t>
      </w:r>
      <w:r w:rsidRPr="00BE2C37">
        <w:rPr>
          <w:rFonts w:ascii="楷体" w:eastAsia="楷体" w:hAnsi="楷体"/>
          <w:sz w:val="21"/>
          <w:szCs w:val="21"/>
        </w:rPr>
        <w:t>9.12亿元，同比增长5.19%，净利润为1.7亿元，同比增长34.92%。</w:t>
      </w:r>
      <w:r w:rsidRPr="00BE2C37">
        <w:rPr>
          <w:rFonts w:ascii="楷体" w:eastAsia="楷体" w:hAnsi="楷体" w:hint="eastAsia"/>
          <w:sz w:val="21"/>
          <w:szCs w:val="21"/>
        </w:rPr>
        <w:t>集装箱板块业收入为</w:t>
      </w:r>
      <w:r w:rsidRPr="00BE2C37">
        <w:rPr>
          <w:rFonts w:ascii="楷体" w:eastAsia="楷体" w:hAnsi="楷体"/>
          <w:sz w:val="21"/>
          <w:szCs w:val="21"/>
        </w:rPr>
        <w:t>27.22亿元，同比下降6.2%，净利润为2.4亿元，同比下降</w:t>
      </w:r>
      <w:r w:rsidR="00906569">
        <w:rPr>
          <w:rFonts w:ascii="楷体" w:eastAsia="楷体" w:hAnsi="楷体" w:hint="eastAsia"/>
          <w:sz w:val="21"/>
          <w:szCs w:val="21"/>
        </w:rPr>
        <w:t>4</w:t>
      </w:r>
      <w:r w:rsidRPr="00BE2C37">
        <w:rPr>
          <w:rFonts w:ascii="楷体" w:eastAsia="楷体" w:hAnsi="楷体"/>
          <w:sz w:val="21"/>
          <w:szCs w:val="21"/>
        </w:rPr>
        <w:t>8.05%。天然气板块的净利润为3.2</w:t>
      </w:r>
      <w:r w:rsidR="00906569">
        <w:rPr>
          <w:rFonts w:ascii="楷体" w:eastAsia="楷体" w:hAnsi="楷体" w:hint="eastAsia"/>
          <w:sz w:val="21"/>
          <w:szCs w:val="21"/>
        </w:rPr>
        <w:t>3</w:t>
      </w:r>
      <w:r w:rsidRPr="00BE2C37">
        <w:rPr>
          <w:rFonts w:ascii="楷体" w:eastAsia="楷体" w:hAnsi="楷体"/>
          <w:sz w:val="21"/>
          <w:szCs w:val="21"/>
        </w:rPr>
        <w:t>亿元，同比下降0.93%。</w:t>
      </w:r>
    </w:p>
    <w:p w14:paraId="16412BC4" w14:textId="7C50C7CA" w:rsidR="00BE2C37" w:rsidRDefault="00BE2C37" w:rsidP="00BE2C37">
      <w:pPr>
        <w:rPr>
          <w:rFonts w:ascii="楷体" w:eastAsia="楷体" w:hAnsi="楷体" w:hint="eastAsia"/>
          <w:sz w:val="21"/>
          <w:szCs w:val="21"/>
        </w:rPr>
      </w:pPr>
      <w:r w:rsidRPr="00BE2C37">
        <w:rPr>
          <w:rFonts w:ascii="楷体" w:eastAsia="楷体" w:hAnsi="楷体" w:hint="eastAsia"/>
          <w:sz w:val="21"/>
          <w:szCs w:val="21"/>
        </w:rPr>
        <w:t>截至报告期末，公司总资产达到</w:t>
      </w:r>
      <w:r w:rsidRPr="00BE2C37">
        <w:rPr>
          <w:rFonts w:ascii="楷体" w:eastAsia="楷体" w:hAnsi="楷体"/>
          <w:sz w:val="21"/>
          <w:szCs w:val="21"/>
        </w:rPr>
        <w:t>673.25亿元，较上年度末增长7.9%。所有者权益为384.51亿元，较上年末增长2.98%；归属于上市公司的所有者权益为376.99亿元，较上年度末增长2.19%。负债合计为288.74亿元，较上年末增长15.24%。整体来看，公司资产负债和现金流状况继续保持在</w:t>
      </w:r>
      <w:r w:rsidR="000544B0">
        <w:rPr>
          <w:rFonts w:ascii="楷体" w:eastAsia="楷体" w:hAnsi="楷体" w:hint="eastAsia"/>
          <w:sz w:val="21"/>
          <w:szCs w:val="21"/>
        </w:rPr>
        <w:t>强健</w:t>
      </w:r>
      <w:r w:rsidRPr="00BE2C37">
        <w:rPr>
          <w:rFonts w:ascii="楷体" w:eastAsia="楷体" w:hAnsi="楷体"/>
          <w:sz w:val="21"/>
          <w:szCs w:val="21"/>
        </w:rPr>
        <w:t>的水平。</w:t>
      </w:r>
    </w:p>
    <w:p w14:paraId="5F572F70" w14:textId="77777777" w:rsidR="00CF589A" w:rsidRDefault="00CF589A" w:rsidP="00BE2C37">
      <w:pPr>
        <w:rPr>
          <w:rFonts w:ascii="楷体" w:eastAsia="楷体" w:hAnsi="楷体" w:hint="eastAsia"/>
          <w:sz w:val="21"/>
          <w:szCs w:val="21"/>
        </w:rPr>
      </w:pPr>
    </w:p>
    <w:p w14:paraId="0AE4FE6E" w14:textId="77777777" w:rsidR="00CF589A" w:rsidRPr="00EE064C" w:rsidRDefault="00CF589A" w:rsidP="00CF589A">
      <w:pPr>
        <w:rPr>
          <w:rFonts w:ascii="楷体" w:eastAsia="楷体" w:hAnsi="楷体" w:cs="Arial" w:hint="eastAsia"/>
          <w:b/>
          <w:bCs/>
          <w:sz w:val="21"/>
          <w:szCs w:val="21"/>
        </w:rPr>
      </w:pPr>
      <w:r w:rsidRPr="00EE064C">
        <w:rPr>
          <w:rFonts w:ascii="楷体" w:eastAsia="楷体" w:hAnsi="楷体" w:cs="Arial"/>
          <w:b/>
          <w:bCs/>
          <w:sz w:val="21"/>
          <w:szCs w:val="21"/>
        </w:rPr>
        <w:t>Q/A</w:t>
      </w:r>
    </w:p>
    <w:p w14:paraId="250C4E3C" w14:textId="1FFED79E" w:rsidR="00CF589A" w:rsidRPr="00CF589A" w:rsidRDefault="00CF589A" w:rsidP="00CF589A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b/>
          <w:bCs/>
          <w:sz w:val="21"/>
          <w:szCs w:val="21"/>
        </w:rPr>
        <w:t>提问招商轮船：油轮市场景气度受市场关注，对目前原油运输市场怎么看？对今年四季度原油运输市场的前景怎么看？如果欧佩克的复产计划顺利实施，将会对市场产生什么影响？</w:t>
      </w:r>
    </w:p>
    <w:p w14:paraId="17046E0E" w14:textId="1BD9E99B" w:rsidR="00CF589A" w:rsidRPr="0081460F" w:rsidRDefault="00CF589A" w:rsidP="00CF589A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sz w:val="21"/>
          <w:szCs w:val="21"/>
        </w:rPr>
        <w:t>答：</w:t>
      </w:r>
      <w:r w:rsidR="00814331" w:rsidRPr="00814331">
        <w:rPr>
          <w:rFonts w:ascii="楷体" w:eastAsia="楷体" w:hAnsi="楷体" w:hint="eastAsia"/>
          <w:sz w:val="21"/>
          <w:szCs w:val="21"/>
        </w:rPr>
        <w:t>关于</w:t>
      </w:r>
      <w:r w:rsidR="00814331" w:rsidRPr="00814331">
        <w:rPr>
          <w:rFonts w:ascii="楷体" w:eastAsia="楷体" w:hAnsi="楷体"/>
          <w:sz w:val="21"/>
          <w:szCs w:val="21"/>
        </w:rPr>
        <w:t>VLCC市场，市场在年初时处于较高水平，但随后</w:t>
      </w:r>
      <w:r w:rsidR="000544B0">
        <w:rPr>
          <w:rFonts w:ascii="楷体" w:eastAsia="楷体" w:hAnsi="楷体" w:hint="eastAsia"/>
          <w:sz w:val="21"/>
          <w:szCs w:val="21"/>
        </w:rPr>
        <w:t>总体</w:t>
      </w:r>
      <w:r w:rsidR="00814331" w:rsidRPr="00814331">
        <w:rPr>
          <w:rFonts w:ascii="楷体" w:eastAsia="楷体" w:hAnsi="楷体"/>
          <w:sz w:val="21"/>
          <w:szCs w:val="21"/>
        </w:rPr>
        <w:t>逐步回落</w:t>
      </w:r>
      <w:r w:rsidR="000544B0">
        <w:rPr>
          <w:rFonts w:ascii="楷体" w:eastAsia="楷体" w:hAnsi="楷体" w:hint="eastAsia"/>
          <w:sz w:val="21"/>
          <w:szCs w:val="21"/>
        </w:rPr>
        <w:t>，波动频繁</w:t>
      </w:r>
      <w:r w:rsidR="00814331" w:rsidRPr="00814331">
        <w:rPr>
          <w:rFonts w:ascii="楷体" w:eastAsia="楷体" w:hAnsi="楷体"/>
          <w:sz w:val="21"/>
          <w:szCs w:val="21"/>
        </w:rPr>
        <w:t>。到了七八月份，市场处于相对较低的位置。</w:t>
      </w:r>
      <w:r w:rsidR="00814331" w:rsidRPr="00814331">
        <w:rPr>
          <w:rFonts w:ascii="楷体" w:eastAsia="楷体" w:hAnsi="楷体" w:hint="eastAsia"/>
          <w:sz w:val="21"/>
          <w:szCs w:val="21"/>
        </w:rPr>
        <w:t>不过，即便是在传统的夏季淡季，市场还是出现了两波显著的反弹</w:t>
      </w:r>
      <w:r w:rsidR="00814331" w:rsidRPr="00814331">
        <w:rPr>
          <w:rFonts w:ascii="楷体" w:eastAsia="楷体" w:hAnsi="楷体"/>
          <w:sz w:val="21"/>
          <w:szCs w:val="21"/>
        </w:rPr>
        <w:t>。</w:t>
      </w:r>
      <w:r w:rsidR="00814331" w:rsidRPr="0081460F">
        <w:rPr>
          <w:rFonts w:ascii="楷体" w:eastAsia="楷体" w:hAnsi="楷体"/>
          <w:b/>
          <w:bCs/>
          <w:sz w:val="21"/>
          <w:szCs w:val="21"/>
        </w:rPr>
        <w:t>这种现象表明，虽然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原油</w:t>
      </w:r>
      <w:r w:rsidR="00814331" w:rsidRPr="0081460F">
        <w:rPr>
          <w:rFonts w:ascii="楷体" w:eastAsia="楷体" w:hAnsi="楷体"/>
          <w:b/>
          <w:bCs/>
          <w:sz w:val="21"/>
          <w:szCs w:val="21"/>
        </w:rPr>
        <w:t>整体需求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暂时疲弱</w:t>
      </w:r>
      <w:r w:rsidR="00814331" w:rsidRPr="0081460F">
        <w:rPr>
          <w:rFonts w:ascii="楷体" w:eastAsia="楷体" w:hAnsi="楷体"/>
          <w:b/>
          <w:bCs/>
          <w:sz w:val="21"/>
          <w:szCs w:val="21"/>
        </w:rPr>
        <w:t>，但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油轮市场供需已经在抽紧，</w:t>
      </w:r>
      <w:r w:rsidR="00814331" w:rsidRPr="0081460F">
        <w:rPr>
          <w:rFonts w:ascii="楷体" w:eastAsia="楷体" w:hAnsi="楷体"/>
          <w:b/>
          <w:bCs/>
          <w:sz w:val="21"/>
          <w:szCs w:val="21"/>
        </w:rPr>
        <w:t>市场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随时具备</w:t>
      </w:r>
      <w:r w:rsidR="00814331" w:rsidRPr="0081460F">
        <w:rPr>
          <w:rFonts w:ascii="楷体" w:eastAsia="楷体" w:hAnsi="楷体"/>
          <w:b/>
          <w:bCs/>
          <w:sz w:val="21"/>
          <w:szCs w:val="21"/>
        </w:rPr>
        <w:t>反弹能力。</w:t>
      </w:r>
    </w:p>
    <w:p w14:paraId="5472FA72" w14:textId="4244507C" w:rsidR="00814331" w:rsidRDefault="00814331" w:rsidP="00CF589A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81460F">
        <w:rPr>
          <w:rFonts w:ascii="楷体" w:eastAsia="楷体" w:hAnsi="楷体" w:hint="eastAsia"/>
          <w:b/>
          <w:bCs/>
          <w:sz w:val="21"/>
          <w:szCs w:val="21"/>
        </w:rPr>
        <w:t>今年</w:t>
      </w:r>
      <w:r w:rsidRPr="0081460F">
        <w:rPr>
          <w:rFonts w:ascii="楷体" w:eastAsia="楷体" w:hAnsi="楷体"/>
          <w:b/>
          <w:bCs/>
          <w:sz w:val="21"/>
          <w:szCs w:val="21"/>
        </w:rPr>
        <w:t>VLCC市场的低迷主要受到几个关键因素的影响。</w:t>
      </w:r>
      <w:r w:rsidRPr="00814331">
        <w:rPr>
          <w:rFonts w:ascii="楷体" w:eastAsia="楷体" w:hAnsi="楷体"/>
          <w:sz w:val="21"/>
          <w:szCs w:val="21"/>
        </w:rPr>
        <w:t>首先是欧佩克+国家</w:t>
      </w:r>
      <w:r w:rsidR="00B46DC8">
        <w:rPr>
          <w:rFonts w:ascii="楷体" w:eastAsia="楷体" w:hAnsi="楷体" w:hint="eastAsia"/>
          <w:sz w:val="21"/>
          <w:szCs w:val="21"/>
        </w:rPr>
        <w:t>的</w:t>
      </w:r>
      <w:r w:rsidR="000544B0">
        <w:rPr>
          <w:rFonts w:ascii="楷体" w:eastAsia="楷体" w:hAnsi="楷体" w:hint="eastAsia"/>
          <w:sz w:val="21"/>
          <w:szCs w:val="21"/>
        </w:rPr>
        <w:t>持续</w:t>
      </w:r>
      <w:r w:rsidR="00B46DC8">
        <w:rPr>
          <w:rFonts w:ascii="楷体" w:eastAsia="楷体" w:hAnsi="楷体" w:hint="eastAsia"/>
          <w:sz w:val="21"/>
          <w:szCs w:val="21"/>
        </w:rPr>
        <w:t>减产</w:t>
      </w:r>
      <w:r w:rsidR="000544B0">
        <w:rPr>
          <w:rFonts w:ascii="楷体" w:eastAsia="楷体" w:hAnsi="楷体" w:hint="eastAsia"/>
          <w:sz w:val="21"/>
          <w:szCs w:val="21"/>
        </w:rPr>
        <w:t>尤其是去年四季度的自愿减产</w:t>
      </w:r>
      <w:r w:rsidR="00B46DC8">
        <w:rPr>
          <w:rFonts w:ascii="楷体" w:eastAsia="楷体" w:hAnsi="楷体" w:hint="eastAsia"/>
          <w:sz w:val="21"/>
          <w:szCs w:val="21"/>
        </w:rPr>
        <w:t>，对VLCC市场冲击较大</w:t>
      </w:r>
      <w:r w:rsidRPr="00814331">
        <w:rPr>
          <w:rFonts w:ascii="楷体" w:eastAsia="楷体" w:hAnsi="楷体"/>
          <w:sz w:val="21"/>
          <w:szCs w:val="21"/>
        </w:rPr>
        <w:t>。此外，中国国内化工行业需求</w:t>
      </w:r>
      <w:r w:rsidRPr="00814331">
        <w:rPr>
          <w:rFonts w:ascii="楷体" w:eastAsia="楷体" w:hAnsi="楷体"/>
          <w:sz w:val="21"/>
          <w:szCs w:val="21"/>
        </w:rPr>
        <w:lastRenderedPageBreak/>
        <w:t>疲软，</w:t>
      </w:r>
      <w:r w:rsidR="00B46DC8">
        <w:rPr>
          <w:rFonts w:ascii="楷体" w:eastAsia="楷体" w:hAnsi="楷体" w:hint="eastAsia"/>
          <w:sz w:val="21"/>
          <w:szCs w:val="21"/>
        </w:rPr>
        <w:t>炼厂</w:t>
      </w:r>
      <w:r w:rsidRPr="00814331">
        <w:rPr>
          <w:rFonts w:ascii="楷体" w:eastAsia="楷体" w:hAnsi="楷体"/>
          <w:sz w:val="21"/>
          <w:szCs w:val="21"/>
        </w:rPr>
        <w:t>利润</w:t>
      </w:r>
      <w:r w:rsidR="000544B0">
        <w:rPr>
          <w:rFonts w:ascii="楷体" w:eastAsia="楷体" w:hAnsi="楷体" w:hint="eastAsia"/>
          <w:sz w:val="21"/>
          <w:szCs w:val="21"/>
        </w:rPr>
        <w:t>差、开工率低迷</w:t>
      </w:r>
      <w:r w:rsidRPr="00814331">
        <w:rPr>
          <w:rFonts w:ascii="楷体" w:eastAsia="楷体" w:hAnsi="楷体"/>
          <w:sz w:val="21"/>
          <w:szCs w:val="21"/>
        </w:rPr>
        <w:t>，导致原油进口需求增速放缓。</w:t>
      </w:r>
      <w:r w:rsidR="000544B0">
        <w:rPr>
          <w:rFonts w:ascii="楷体" w:eastAsia="楷体" w:hAnsi="楷体" w:hint="eastAsia"/>
          <w:sz w:val="21"/>
          <w:szCs w:val="21"/>
        </w:rPr>
        <w:t>此外，我们还观察到一些非常规VLCC承运的</w:t>
      </w:r>
      <w:r w:rsidRPr="00814331">
        <w:rPr>
          <w:rFonts w:ascii="楷体" w:eastAsia="楷体" w:hAnsi="楷体"/>
          <w:sz w:val="21"/>
          <w:szCs w:val="21"/>
        </w:rPr>
        <w:t>原油</w:t>
      </w:r>
      <w:r w:rsidR="000544B0">
        <w:rPr>
          <w:rFonts w:ascii="楷体" w:eastAsia="楷体" w:hAnsi="楷体" w:hint="eastAsia"/>
          <w:sz w:val="21"/>
          <w:szCs w:val="21"/>
        </w:rPr>
        <w:t>进口</w:t>
      </w:r>
      <w:r w:rsidRPr="00814331">
        <w:rPr>
          <w:rFonts w:ascii="楷体" w:eastAsia="楷体" w:hAnsi="楷体"/>
          <w:sz w:val="21"/>
          <w:szCs w:val="21"/>
        </w:rPr>
        <w:t>量在7月份创下新高。</w:t>
      </w:r>
      <w:r w:rsidR="00B46DC8">
        <w:rPr>
          <w:rFonts w:ascii="楷体" w:eastAsia="楷体" w:hAnsi="楷体" w:hint="eastAsia"/>
          <w:sz w:val="21"/>
          <w:szCs w:val="21"/>
        </w:rPr>
        <w:t>因此VLCC市场和中小油轮市场景气度相比较差一些</w:t>
      </w:r>
      <w:r w:rsidRPr="00814331">
        <w:rPr>
          <w:rFonts w:ascii="楷体" w:eastAsia="楷体" w:hAnsi="楷体"/>
          <w:sz w:val="21"/>
          <w:szCs w:val="21"/>
        </w:rPr>
        <w:t>。</w:t>
      </w:r>
    </w:p>
    <w:p w14:paraId="60A953C0" w14:textId="56B3CBFE" w:rsidR="00B46DC8" w:rsidRPr="00B46DC8" w:rsidRDefault="00B46DC8" w:rsidP="00B46DC8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81460F">
        <w:rPr>
          <w:rFonts w:ascii="楷体" w:eastAsia="楷体" w:hAnsi="楷体" w:hint="eastAsia"/>
          <w:b/>
          <w:bCs/>
          <w:sz w:val="21"/>
          <w:szCs w:val="21"/>
        </w:rPr>
        <w:t>展望四季度，我们预期市场边际情况将有所改善</w:t>
      </w:r>
      <w:r w:rsidR="00C5401B" w:rsidRPr="0081460F">
        <w:rPr>
          <w:rFonts w:ascii="楷体" w:eastAsia="楷体" w:hAnsi="楷体" w:hint="eastAsia"/>
          <w:b/>
          <w:bCs/>
          <w:sz w:val="21"/>
          <w:szCs w:val="21"/>
        </w:rPr>
        <w:t>，旺季大概率能够出现</w:t>
      </w:r>
      <w:r w:rsidRPr="0081460F">
        <w:rPr>
          <w:rFonts w:ascii="楷体" w:eastAsia="楷体" w:hAnsi="楷体" w:hint="eastAsia"/>
          <w:b/>
          <w:bCs/>
          <w:sz w:val="21"/>
          <w:szCs w:val="21"/>
        </w:rPr>
        <w:t>。</w:t>
      </w:r>
      <w:r w:rsidRPr="00B46DC8">
        <w:rPr>
          <w:rFonts w:ascii="楷体" w:eastAsia="楷体" w:hAnsi="楷体" w:hint="eastAsia"/>
          <w:sz w:val="21"/>
          <w:szCs w:val="21"/>
        </w:rPr>
        <w:t>一方面，欧佩克</w:t>
      </w:r>
      <w:r w:rsidR="00C5401B">
        <w:rPr>
          <w:rFonts w:ascii="楷体" w:eastAsia="楷体" w:hAnsi="楷体" w:hint="eastAsia"/>
          <w:sz w:val="21"/>
          <w:szCs w:val="21"/>
        </w:rPr>
        <w:t>+</w:t>
      </w:r>
      <w:r w:rsidRPr="00B46DC8">
        <w:rPr>
          <w:rFonts w:ascii="楷体" w:eastAsia="楷体" w:hAnsi="楷体" w:hint="eastAsia"/>
          <w:sz w:val="21"/>
          <w:szCs w:val="21"/>
        </w:rPr>
        <w:t>在今年</w:t>
      </w:r>
      <w:r w:rsidRPr="00B46DC8">
        <w:rPr>
          <w:rFonts w:ascii="楷体" w:eastAsia="楷体" w:hAnsi="楷体"/>
          <w:sz w:val="21"/>
          <w:szCs w:val="21"/>
        </w:rPr>
        <w:t>6月初的会议上讨论了逐步恢复产能的计划。这一计划能否顺利实施仍存在不确定性。</w:t>
      </w:r>
      <w:r w:rsidR="000544B0">
        <w:rPr>
          <w:rFonts w:ascii="楷体" w:eastAsia="楷体" w:hAnsi="楷体" w:hint="eastAsia"/>
          <w:sz w:val="21"/>
          <w:szCs w:val="21"/>
        </w:rPr>
        <w:t>但</w:t>
      </w:r>
      <w:r w:rsidRPr="00B46DC8">
        <w:rPr>
          <w:rFonts w:ascii="楷体" w:eastAsia="楷体" w:hAnsi="楷体"/>
          <w:sz w:val="21"/>
          <w:szCs w:val="21"/>
        </w:rPr>
        <w:t>近期利比亚局势动荡导致其产量</w:t>
      </w:r>
      <w:r w:rsidR="000544B0">
        <w:rPr>
          <w:rFonts w:ascii="楷体" w:eastAsia="楷体" w:hAnsi="楷体" w:hint="eastAsia"/>
          <w:sz w:val="21"/>
          <w:szCs w:val="21"/>
        </w:rPr>
        <w:t>骤</w:t>
      </w:r>
      <w:r w:rsidRPr="00B46DC8">
        <w:rPr>
          <w:rFonts w:ascii="楷体" w:eastAsia="楷体" w:hAnsi="楷体"/>
          <w:sz w:val="21"/>
          <w:szCs w:val="21"/>
        </w:rPr>
        <w:t>减，伊拉克也</w:t>
      </w:r>
      <w:r w:rsidR="000544B0">
        <w:rPr>
          <w:rFonts w:ascii="楷体" w:eastAsia="楷体" w:hAnsi="楷体" w:hint="eastAsia"/>
          <w:sz w:val="21"/>
          <w:szCs w:val="21"/>
        </w:rPr>
        <w:t>在</w:t>
      </w:r>
      <w:r w:rsidRPr="00B46DC8">
        <w:rPr>
          <w:rFonts w:ascii="楷体" w:eastAsia="楷体" w:hAnsi="楷体"/>
          <w:sz w:val="21"/>
          <w:szCs w:val="21"/>
        </w:rPr>
        <w:t>因补偿性减产而减少供应。这些因素</w:t>
      </w:r>
      <w:r w:rsidR="00C5401B">
        <w:rPr>
          <w:rFonts w:ascii="楷体" w:eastAsia="楷体" w:hAnsi="楷体" w:hint="eastAsia"/>
          <w:sz w:val="21"/>
          <w:szCs w:val="21"/>
        </w:rPr>
        <w:t>利好欧佩克+</w:t>
      </w:r>
      <w:r w:rsidR="000544B0">
        <w:rPr>
          <w:rFonts w:ascii="楷体" w:eastAsia="楷体" w:hAnsi="楷体" w:hint="eastAsia"/>
          <w:sz w:val="21"/>
          <w:szCs w:val="21"/>
        </w:rPr>
        <w:t>逐步退出自愿减产的落地</w:t>
      </w:r>
      <w:r w:rsidRPr="00B46DC8">
        <w:rPr>
          <w:rFonts w:ascii="楷体" w:eastAsia="楷体" w:hAnsi="楷体"/>
          <w:sz w:val="21"/>
          <w:szCs w:val="21"/>
        </w:rPr>
        <w:t>。</w:t>
      </w:r>
      <w:r w:rsidR="00C5401B">
        <w:rPr>
          <w:rFonts w:ascii="楷体" w:eastAsia="楷体" w:hAnsi="楷体" w:hint="eastAsia"/>
          <w:sz w:val="21"/>
          <w:szCs w:val="21"/>
        </w:rPr>
        <w:t>需求方面，冬季是北半球需求的旺季，</w:t>
      </w:r>
      <w:r w:rsidR="0081460F">
        <w:rPr>
          <w:rFonts w:ascii="楷体" w:eastAsia="楷体" w:hAnsi="楷体" w:hint="eastAsia"/>
          <w:sz w:val="21"/>
          <w:szCs w:val="21"/>
        </w:rPr>
        <w:t>利比亚原油</w:t>
      </w:r>
      <w:r w:rsidR="000544B0">
        <w:rPr>
          <w:rFonts w:ascii="楷体" w:eastAsia="楷体" w:hAnsi="楷体" w:hint="eastAsia"/>
          <w:sz w:val="21"/>
          <w:szCs w:val="21"/>
        </w:rPr>
        <w:t>（主要出口到欧洲）大幅减少</w:t>
      </w:r>
      <w:r w:rsidR="0081460F">
        <w:rPr>
          <w:rFonts w:ascii="楷体" w:eastAsia="楷体" w:hAnsi="楷体" w:hint="eastAsia"/>
          <w:sz w:val="21"/>
          <w:szCs w:val="21"/>
        </w:rPr>
        <w:t>后，替代品可能是美国原油和中东原油，这</w:t>
      </w:r>
      <w:r w:rsidR="000544B0">
        <w:rPr>
          <w:rFonts w:ascii="楷体" w:eastAsia="楷体" w:hAnsi="楷体" w:hint="eastAsia"/>
          <w:sz w:val="21"/>
          <w:szCs w:val="21"/>
        </w:rPr>
        <w:t>将</w:t>
      </w:r>
      <w:r w:rsidR="0081460F">
        <w:rPr>
          <w:rFonts w:ascii="楷体" w:eastAsia="楷体" w:hAnsi="楷体" w:hint="eastAsia"/>
          <w:sz w:val="21"/>
          <w:szCs w:val="21"/>
        </w:rPr>
        <w:t>是利好因素，但中国国内需求是否有强劲复苏我们仍需</w:t>
      </w:r>
      <w:r w:rsidR="000544B0">
        <w:rPr>
          <w:rFonts w:ascii="楷体" w:eastAsia="楷体" w:hAnsi="楷体" w:hint="eastAsia"/>
          <w:sz w:val="21"/>
          <w:szCs w:val="21"/>
        </w:rPr>
        <w:t>观察</w:t>
      </w:r>
      <w:r w:rsidR="0081460F">
        <w:rPr>
          <w:rFonts w:ascii="楷体" w:eastAsia="楷体" w:hAnsi="楷体" w:hint="eastAsia"/>
          <w:sz w:val="21"/>
          <w:szCs w:val="21"/>
        </w:rPr>
        <w:t>。</w:t>
      </w:r>
    </w:p>
    <w:p w14:paraId="69A9179A" w14:textId="3FCB668B" w:rsidR="0081460F" w:rsidRDefault="00B46DC8" w:rsidP="00B46DC8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B46DC8">
        <w:rPr>
          <w:rFonts w:ascii="楷体" w:eastAsia="楷体" w:hAnsi="楷体" w:hint="eastAsia"/>
          <w:sz w:val="21"/>
          <w:szCs w:val="21"/>
        </w:rPr>
        <w:t>从供应端来看，全球新增运力有限，预计到</w:t>
      </w:r>
      <w:r w:rsidRPr="00B46DC8">
        <w:rPr>
          <w:rFonts w:ascii="楷体" w:eastAsia="楷体" w:hAnsi="楷体"/>
          <w:sz w:val="21"/>
          <w:szCs w:val="21"/>
        </w:rPr>
        <w:t>2026年之前，VLCC市场新增运力将保持在较低水平。同时，老龄船只的逐步退役也将缓解市场的供需压力。</w:t>
      </w:r>
      <w:r w:rsidR="0081460F">
        <w:rPr>
          <w:rFonts w:ascii="楷体" w:eastAsia="楷体" w:hAnsi="楷体" w:hint="eastAsia"/>
          <w:sz w:val="21"/>
          <w:szCs w:val="21"/>
        </w:rPr>
        <w:t>上半年期租市场运价其实能够看到较好涨幅</w:t>
      </w:r>
      <w:r w:rsidR="000544B0">
        <w:rPr>
          <w:rFonts w:ascii="楷体" w:eastAsia="楷体" w:hAnsi="楷体" w:hint="eastAsia"/>
          <w:sz w:val="21"/>
          <w:szCs w:val="21"/>
        </w:rPr>
        <w:t>（17%，参见公司半年报）</w:t>
      </w:r>
      <w:r w:rsidR="0081460F">
        <w:rPr>
          <w:rFonts w:ascii="楷体" w:eastAsia="楷体" w:hAnsi="楷体" w:hint="eastAsia"/>
          <w:sz w:val="21"/>
          <w:szCs w:val="21"/>
        </w:rPr>
        <w:t>，VLCC二手船价也是上涨趋势</w:t>
      </w:r>
      <w:r w:rsidR="00AD5333">
        <w:rPr>
          <w:rFonts w:ascii="楷体" w:eastAsia="楷体" w:hAnsi="楷体" w:hint="eastAsia"/>
          <w:sz w:val="21"/>
          <w:szCs w:val="21"/>
        </w:rPr>
        <w:t>，</w:t>
      </w:r>
      <w:r w:rsidR="0081460F">
        <w:rPr>
          <w:rFonts w:ascii="楷体" w:eastAsia="楷体" w:hAnsi="楷体" w:hint="eastAsia"/>
          <w:sz w:val="21"/>
          <w:szCs w:val="21"/>
        </w:rPr>
        <w:t>业界对于未来市场是</w:t>
      </w:r>
      <w:r w:rsidR="000544B0">
        <w:rPr>
          <w:rFonts w:ascii="楷体" w:eastAsia="楷体" w:hAnsi="楷体" w:hint="eastAsia"/>
          <w:sz w:val="21"/>
          <w:szCs w:val="21"/>
        </w:rPr>
        <w:t>坚定</w:t>
      </w:r>
      <w:r w:rsidR="0081460F">
        <w:rPr>
          <w:rFonts w:ascii="楷体" w:eastAsia="楷体" w:hAnsi="楷体" w:hint="eastAsia"/>
          <w:sz w:val="21"/>
          <w:szCs w:val="21"/>
        </w:rPr>
        <w:t>看好的。</w:t>
      </w:r>
    </w:p>
    <w:p w14:paraId="785B9318" w14:textId="77777777" w:rsidR="00DF2E7B" w:rsidRDefault="00DF2E7B" w:rsidP="00B46DC8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</w:p>
    <w:p w14:paraId="089DA9D2" w14:textId="0BE5D7FB" w:rsidR="0081460F" w:rsidRPr="00CF589A" w:rsidRDefault="0081460F" w:rsidP="0081460F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b/>
          <w:bCs/>
          <w:sz w:val="21"/>
          <w:szCs w:val="21"/>
        </w:rPr>
        <w:t>提问招商轮船：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下半年和</w:t>
      </w:r>
      <w:r w:rsidRPr="0081460F">
        <w:rPr>
          <w:rFonts w:ascii="楷体" w:eastAsia="楷体" w:hAnsi="楷体" w:hint="eastAsia"/>
          <w:b/>
          <w:bCs/>
          <w:sz w:val="21"/>
          <w:szCs w:val="21"/>
        </w:rPr>
        <w:t>未来干散货市场的</w:t>
      </w:r>
      <w:r>
        <w:rPr>
          <w:rFonts w:ascii="楷体" w:eastAsia="楷体" w:hAnsi="楷体" w:hint="eastAsia"/>
          <w:b/>
          <w:bCs/>
          <w:sz w:val="21"/>
          <w:szCs w:val="21"/>
        </w:rPr>
        <w:t>景气程度如何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展望</w:t>
      </w:r>
      <w:r w:rsidRPr="00CF589A">
        <w:rPr>
          <w:rFonts w:ascii="楷体" w:eastAsia="楷体" w:hAnsi="楷体" w:hint="eastAsia"/>
          <w:b/>
          <w:bCs/>
          <w:sz w:val="21"/>
          <w:szCs w:val="21"/>
        </w:rPr>
        <w:t>？</w:t>
      </w:r>
    </w:p>
    <w:p w14:paraId="59780BD1" w14:textId="0B225673" w:rsidR="0081460F" w:rsidRPr="00466D09" w:rsidRDefault="0081460F" w:rsidP="0081460F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 w:rsidRPr="0081460F">
        <w:rPr>
          <w:rFonts w:ascii="楷体" w:eastAsia="楷体" w:hAnsi="楷体" w:hint="eastAsia"/>
          <w:sz w:val="21"/>
          <w:szCs w:val="21"/>
        </w:rPr>
        <w:t>干散货市场的季节性规律通常是下半年表现较好。今年一季度，主流矿山的发货量较高，尤其是铝土矿和铁矿石的发货速度</w:t>
      </w:r>
      <w:r w:rsidR="00466D09">
        <w:rPr>
          <w:rFonts w:ascii="楷体" w:eastAsia="楷体" w:hAnsi="楷体" w:hint="eastAsia"/>
          <w:sz w:val="21"/>
          <w:szCs w:val="21"/>
        </w:rPr>
        <w:t>较</w:t>
      </w:r>
      <w:r w:rsidRPr="0081460F">
        <w:rPr>
          <w:rFonts w:ascii="楷体" w:eastAsia="楷体" w:hAnsi="楷体" w:hint="eastAsia"/>
          <w:sz w:val="21"/>
          <w:szCs w:val="21"/>
        </w:rPr>
        <w:t>快，这与当时的天气条件有一定关系。</w:t>
      </w:r>
      <w:r w:rsidRPr="00466D09">
        <w:rPr>
          <w:rFonts w:ascii="楷体" w:eastAsia="楷体" w:hAnsi="楷体" w:hint="eastAsia"/>
          <w:b/>
          <w:bCs/>
          <w:sz w:val="21"/>
          <w:szCs w:val="21"/>
        </w:rPr>
        <w:t>二季度的发货量虽然有所回落，但整体仍然保持在较高水平。从三季度开始，干散货市场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预计</w:t>
      </w:r>
      <w:r w:rsidRPr="00466D09">
        <w:rPr>
          <w:rFonts w:ascii="楷体" w:eastAsia="楷体" w:hAnsi="楷体" w:hint="eastAsia"/>
          <w:b/>
          <w:bCs/>
          <w:sz w:val="21"/>
          <w:szCs w:val="21"/>
        </w:rPr>
        <w:t>会迎来旺季。</w:t>
      </w:r>
    </w:p>
    <w:p w14:paraId="6D6A4609" w14:textId="5194BBE3" w:rsidR="0081460F" w:rsidRPr="0081460F" w:rsidRDefault="0081460F" w:rsidP="0081460F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EE064C">
        <w:rPr>
          <w:rFonts w:ascii="楷体" w:eastAsia="楷体" w:hAnsi="楷体"/>
          <w:b/>
          <w:bCs/>
          <w:sz w:val="21"/>
          <w:szCs w:val="21"/>
        </w:rPr>
        <w:t>中期来看，干散货市场的供需格局相对乐观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且确定</w:t>
      </w:r>
      <w:r w:rsidR="003E00CA">
        <w:rPr>
          <w:rFonts w:ascii="楷体" w:eastAsia="楷体" w:hAnsi="楷体" w:hint="eastAsia"/>
          <w:b/>
          <w:bCs/>
          <w:sz w:val="21"/>
          <w:szCs w:val="21"/>
        </w:rPr>
        <w:t>性</w:t>
      </w:r>
      <w:r w:rsidR="000544B0">
        <w:rPr>
          <w:rFonts w:ascii="楷体" w:eastAsia="楷体" w:hAnsi="楷体" w:hint="eastAsia"/>
          <w:b/>
          <w:bCs/>
          <w:sz w:val="21"/>
          <w:szCs w:val="21"/>
        </w:rPr>
        <w:t>比较高</w:t>
      </w:r>
      <w:r w:rsidRPr="00EE064C">
        <w:rPr>
          <w:rFonts w:ascii="楷体" w:eastAsia="楷体" w:hAnsi="楷体"/>
          <w:b/>
          <w:bCs/>
          <w:sz w:val="21"/>
          <w:szCs w:val="21"/>
        </w:rPr>
        <w:t>。</w:t>
      </w:r>
      <w:r w:rsidRPr="0081460F">
        <w:rPr>
          <w:rFonts w:ascii="楷体" w:eastAsia="楷体" w:hAnsi="楷体"/>
          <w:sz w:val="21"/>
          <w:szCs w:val="21"/>
        </w:rPr>
        <w:t>特别是好望角型船市场，未来几年供需缺口将逐渐显现。2025年底，西非西芒杜铁矿预计将开始投产，</w:t>
      </w:r>
      <w:r w:rsidR="000544B0">
        <w:rPr>
          <w:rFonts w:ascii="楷体" w:eastAsia="楷体" w:hAnsi="楷体" w:hint="eastAsia"/>
          <w:sz w:val="21"/>
          <w:szCs w:val="21"/>
        </w:rPr>
        <w:t>预计将</w:t>
      </w:r>
      <w:r w:rsidRPr="0081460F">
        <w:rPr>
          <w:rFonts w:ascii="楷体" w:eastAsia="楷体" w:hAnsi="楷体"/>
          <w:sz w:val="21"/>
          <w:szCs w:val="21"/>
        </w:rPr>
        <w:t>扩大市场</w:t>
      </w:r>
      <w:r w:rsidR="000544B0">
        <w:rPr>
          <w:rFonts w:ascii="楷体" w:eastAsia="楷体" w:hAnsi="楷体" w:hint="eastAsia"/>
          <w:sz w:val="21"/>
          <w:szCs w:val="21"/>
        </w:rPr>
        <w:t>大型散货船</w:t>
      </w:r>
      <w:r w:rsidRPr="0081460F">
        <w:rPr>
          <w:rFonts w:ascii="楷体" w:eastAsia="楷体" w:hAnsi="楷体"/>
          <w:sz w:val="21"/>
          <w:szCs w:val="21"/>
        </w:rPr>
        <w:t>的供需缺口。</w:t>
      </w:r>
    </w:p>
    <w:p w14:paraId="5C384CCF" w14:textId="59A07BB6" w:rsidR="00EE064C" w:rsidRPr="00EE064C" w:rsidRDefault="0081460F" w:rsidP="00EE064C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81460F">
        <w:rPr>
          <w:rFonts w:ascii="楷体" w:eastAsia="楷体" w:hAnsi="楷体" w:hint="eastAsia"/>
          <w:sz w:val="21"/>
          <w:szCs w:val="21"/>
        </w:rPr>
        <w:t>东南亚</w:t>
      </w:r>
      <w:r w:rsidR="005E1229">
        <w:rPr>
          <w:rFonts w:ascii="楷体" w:eastAsia="楷体" w:hAnsi="楷体" w:hint="eastAsia"/>
          <w:sz w:val="21"/>
          <w:szCs w:val="21"/>
        </w:rPr>
        <w:t>、</w:t>
      </w:r>
      <w:r w:rsidR="000C6089">
        <w:rPr>
          <w:rFonts w:ascii="楷体" w:eastAsia="楷体" w:hAnsi="楷体" w:hint="eastAsia"/>
          <w:sz w:val="21"/>
          <w:szCs w:val="21"/>
        </w:rPr>
        <w:t>南亚等年轻人口密集的经济体</w:t>
      </w:r>
      <w:r w:rsidRPr="0081460F">
        <w:rPr>
          <w:rFonts w:ascii="楷体" w:eastAsia="楷体" w:hAnsi="楷体" w:hint="eastAsia"/>
          <w:sz w:val="21"/>
          <w:szCs w:val="21"/>
        </w:rPr>
        <w:t>的工业化进程</w:t>
      </w:r>
      <w:r w:rsidR="000C6089">
        <w:rPr>
          <w:rFonts w:ascii="楷体" w:eastAsia="楷体" w:hAnsi="楷体" w:hint="eastAsia"/>
          <w:sz w:val="21"/>
          <w:szCs w:val="21"/>
        </w:rPr>
        <w:t>预计</w:t>
      </w:r>
      <w:r w:rsidRPr="0081460F">
        <w:rPr>
          <w:rFonts w:ascii="楷体" w:eastAsia="楷体" w:hAnsi="楷体" w:hint="eastAsia"/>
          <w:sz w:val="21"/>
          <w:szCs w:val="21"/>
        </w:rPr>
        <w:t>将持续推动干散货需求。这些地区</w:t>
      </w:r>
      <w:r w:rsidR="000C6089">
        <w:rPr>
          <w:rFonts w:ascii="楷体" w:eastAsia="楷体" w:hAnsi="楷体" w:hint="eastAsia"/>
          <w:sz w:val="21"/>
          <w:szCs w:val="21"/>
        </w:rPr>
        <w:t>很多在工业化的起点上</w:t>
      </w:r>
      <w:r w:rsidRPr="0081460F">
        <w:rPr>
          <w:rFonts w:ascii="楷体" w:eastAsia="楷体" w:hAnsi="楷体" w:hint="eastAsia"/>
          <w:sz w:val="21"/>
          <w:szCs w:val="21"/>
        </w:rPr>
        <w:t>，</w:t>
      </w:r>
      <w:r w:rsidR="000C6089">
        <w:rPr>
          <w:rFonts w:ascii="楷体" w:eastAsia="楷体" w:hAnsi="楷体" w:hint="eastAsia"/>
          <w:sz w:val="21"/>
          <w:szCs w:val="21"/>
        </w:rPr>
        <w:t>工业生产和</w:t>
      </w:r>
      <w:r w:rsidRPr="0081460F">
        <w:rPr>
          <w:rFonts w:ascii="楷体" w:eastAsia="楷体" w:hAnsi="楷体" w:hint="eastAsia"/>
          <w:sz w:val="21"/>
          <w:szCs w:val="21"/>
        </w:rPr>
        <w:t>基础设施建设需求旺盛，预计将为市场</w:t>
      </w:r>
      <w:r w:rsidR="000C6089">
        <w:rPr>
          <w:rFonts w:ascii="楷体" w:eastAsia="楷体" w:hAnsi="楷体" w:hint="eastAsia"/>
          <w:sz w:val="21"/>
          <w:szCs w:val="21"/>
        </w:rPr>
        <w:t>需求</w:t>
      </w:r>
      <w:r w:rsidRPr="0081460F">
        <w:rPr>
          <w:rFonts w:ascii="楷体" w:eastAsia="楷体" w:hAnsi="楷体" w:hint="eastAsia"/>
          <w:sz w:val="21"/>
          <w:szCs w:val="21"/>
        </w:rPr>
        <w:t>提供长期支持。其他地区如土耳其、日本、</w:t>
      </w:r>
      <w:r w:rsidR="00EE064C" w:rsidRPr="00EE064C">
        <w:rPr>
          <w:rFonts w:ascii="楷体" w:eastAsia="楷体" w:hAnsi="楷体" w:hint="eastAsia"/>
          <w:sz w:val="21"/>
          <w:szCs w:val="21"/>
        </w:rPr>
        <w:t>韩国的需求也相对稳定。此外，</w:t>
      </w:r>
      <w:r w:rsidR="005E1229">
        <w:rPr>
          <w:rFonts w:ascii="楷体" w:eastAsia="楷体" w:hAnsi="楷体" w:hint="eastAsia"/>
          <w:sz w:val="21"/>
          <w:szCs w:val="21"/>
        </w:rPr>
        <w:t>从</w:t>
      </w:r>
      <w:r w:rsidR="000C6089">
        <w:rPr>
          <w:rFonts w:ascii="楷体" w:eastAsia="楷体" w:hAnsi="楷体" w:hint="eastAsia"/>
          <w:sz w:val="21"/>
          <w:szCs w:val="21"/>
        </w:rPr>
        <w:t>中远期看，</w:t>
      </w:r>
      <w:r w:rsidR="00EE064C" w:rsidRPr="00EE064C">
        <w:rPr>
          <w:rFonts w:ascii="楷体" w:eastAsia="楷体" w:hAnsi="楷体" w:hint="eastAsia"/>
          <w:sz w:val="21"/>
          <w:szCs w:val="21"/>
        </w:rPr>
        <w:t>乌克兰</w:t>
      </w:r>
      <w:r w:rsidR="000C6089">
        <w:rPr>
          <w:rFonts w:ascii="楷体" w:eastAsia="楷体" w:hAnsi="楷体" w:hint="eastAsia"/>
          <w:sz w:val="21"/>
          <w:szCs w:val="21"/>
        </w:rPr>
        <w:t>、中东</w:t>
      </w:r>
      <w:r w:rsidR="00EE064C" w:rsidRPr="00EE064C">
        <w:rPr>
          <w:rFonts w:ascii="楷体" w:eastAsia="楷体" w:hAnsi="楷体" w:hint="eastAsia"/>
          <w:sz w:val="21"/>
          <w:szCs w:val="21"/>
        </w:rPr>
        <w:t>的战后重建</w:t>
      </w:r>
      <w:r w:rsidR="000C6089">
        <w:rPr>
          <w:rFonts w:ascii="楷体" w:eastAsia="楷体" w:hAnsi="楷体" w:hint="eastAsia"/>
          <w:sz w:val="21"/>
          <w:szCs w:val="21"/>
        </w:rPr>
        <w:t>也</w:t>
      </w:r>
      <w:r w:rsidR="00EE064C" w:rsidRPr="00EE064C">
        <w:rPr>
          <w:rFonts w:ascii="楷体" w:eastAsia="楷体" w:hAnsi="楷体" w:hint="eastAsia"/>
          <w:sz w:val="21"/>
          <w:szCs w:val="21"/>
        </w:rPr>
        <w:t>可能带来额外的干散货运输需求。</w:t>
      </w:r>
    </w:p>
    <w:p w14:paraId="76E796C2" w14:textId="29BE69E1" w:rsidR="00EE064C" w:rsidRPr="00EE064C" w:rsidRDefault="00EE064C" w:rsidP="00EE064C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EE064C">
        <w:rPr>
          <w:rFonts w:ascii="楷体" w:eastAsia="楷体" w:hAnsi="楷体" w:hint="eastAsia"/>
          <w:sz w:val="21"/>
          <w:szCs w:val="21"/>
        </w:rPr>
        <w:t>中国方面，尽管</w:t>
      </w:r>
      <w:r w:rsidR="000C6089">
        <w:rPr>
          <w:rFonts w:ascii="楷体" w:eastAsia="楷体" w:hAnsi="楷体" w:hint="eastAsia"/>
          <w:sz w:val="21"/>
          <w:szCs w:val="21"/>
        </w:rPr>
        <w:t>长远看</w:t>
      </w:r>
      <w:r w:rsidRPr="00EE064C">
        <w:rPr>
          <w:rFonts w:ascii="楷体" w:eastAsia="楷体" w:hAnsi="楷体" w:hint="eastAsia"/>
          <w:sz w:val="21"/>
          <w:szCs w:val="21"/>
        </w:rPr>
        <w:t>钢铁和煤炭需求面临挑战，但我们预计中国的铁矿石进口需求仍将保持稳健。</w:t>
      </w:r>
      <w:r w:rsidR="000C6089">
        <w:rPr>
          <w:rFonts w:ascii="楷体" w:eastAsia="楷体" w:hAnsi="楷体" w:hint="eastAsia"/>
          <w:sz w:val="21"/>
          <w:szCs w:val="21"/>
        </w:rPr>
        <w:t>中国新三大件等出口的含铁量在提高，</w:t>
      </w:r>
      <w:r w:rsidRPr="00EE064C">
        <w:rPr>
          <w:rFonts w:ascii="楷体" w:eastAsia="楷体" w:hAnsi="楷体" w:hint="eastAsia"/>
          <w:sz w:val="21"/>
          <w:szCs w:val="21"/>
        </w:rPr>
        <w:t>一些非主流矿山的供应增加，可能为市场带来额外的需求。同时国内煤炭</w:t>
      </w:r>
      <w:r w:rsidR="000C6089">
        <w:rPr>
          <w:rFonts w:ascii="楷体" w:eastAsia="楷体" w:hAnsi="楷体" w:hint="eastAsia"/>
          <w:sz w:val="21"/>
          <w:szCs w:val="21"/>
        </w:rPr>
        <w:t>进口</w:t>
      </w:r>
      <w:r w:rsidRPr="00EE064C">
        <w:rPr>
          <w:rFonts w:ascii="楷体" w:eastAsia="楷体" w:hAnsi="楷体" w:hint="eastAsia"/>
          <w:sz w:val="21"/>
          <w:szCs w:val="21"/>
        </w:rPr>
        <w:t>需求</w:t>
      </w:r>
      <w:r w:rsidR="000C6089">
        <w:rPr>
          <w:rFonts w:ascii="楷体" w:eastAsia="楷体" w:hAnsi="楷体" w:hint="eastAsia"/>
          <w:sz w:val="21"/>
          <w:szCs w:val="21"/>
        </w:rPr>
        <w:t>也是一个扰动因素</w:t>
      </w:r>
      <w:r w:rsidRPr="00EE064C">
        <w:rPr>
          <w:rFonts w:ascii="楷体" w:eastAsia="楷体" w:hAnsi="楷体" w:hint="eastAsia"/>
          <w:sz w:val="21"/>
          <w:szCs w:val="21"/>
        </w:rPr>
        <w:t>。</w:t>
      </w:r>
    </w:p>
    <w:p w14:paraId="0397E078" w14:textId="127A0165" w:rsidR="00B46DC8" w:rsidRDefault="00EE064C" w:rsidP="00EE064C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 w:rsidRPr="00EE064C">
        <w:rPr>
          <w:rFonts w:ascii="楷体" w:eastAsia="楷体" w:hAnsi="楷体" w:hint="eastAsia"/>
          <w:b/>
          <w:bCs/>
          <w:sz w:val="21"/>
          <w:szCs w:val="21"/>
        </w:rPr>
        <w:t>总体而言，干散货市场的供需格局在未来几年内将继续改善。尽管目前运费水平相对较低，但我们预计未来几年内，运费将逐步回升，市场前景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比较</w:t>
      </w:r>
      <w:r w:rsidRPr="00EE064C">
        <w:rPr>
          <w:rFonts w:ascii="楷体" w:eastAsia="楷体" w:hAnsi="楷体" w:hint="eastAsia"/>
          <w:b/>
          <w:bCs/>
          <w:sz w:val="21"/>
          <w:szCs w:val="21"/>
        </w:rPr>
        <w:t>乐观。</w:t>
      </w:r>
    </w:p>
    <w:p w14:paraId="497293FE" w14:textId="77777777" w:rsidR="00DF2E7B" w:rsidRDefault="00DF2E7B" w:rsidP="00EE064C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</w:p>
    <w:p w14:paraId="52E6BD21" w14:textId="62C1D776" w:rsidR="0060711B" w:rsidRPr="00CF589A" w:rsidRDefault="0060711B" w:rsidP="0060711B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b/>
          <w:bCs/>
          <w:sz w:val="21"/>
          <w:szCs w:val="21"/>
        </w:rPr>
        <w:t>提问招商</w:t>
      </w:r>
      <w:r>
        <w:rPr>
          <w:rFonts w:ascii="楷体" w:eastAsia="楷体" w:hAnsi="楷体" w:hint="eastAsia"/>
          <w:b/>
          <w:bCs/>
          <w:sz w:val="21"/>
          <w:szCs w:val="21"/>
        </w:rPr>
        <w:t>轮船</w:t>
      </w:r>
      <w:r w:rsidRPr="00CF589A">
        <w:rPr>
          <w:rFonts w:ascii="楷体" w:eastAsia="楷体" w:hAnsi="楷体" w:hint="eastAsia"/>
          <w:b/>
          <w:bCs/>
          <w:sz w:val="21"/>
          <w:szCs w:val="21"/>
        </w:rPr>
        <w:t>：</w:t>
      </w:r>
      <w:r w:rsidRPr="0060711B">
        <w:rPr>
          <w:rFonts w:ascii="楷体" w:eastAsia="楷体" w:hAnsi="楷体" w:hint="eastAsia"/>
          <w:b/>
          <w:bCs/>
          <w:sz w:val="21"/>
          <w:szCs w:val="21"/>
        </w:rPr>
        <w:t>在当前的原油轮在手订单中，采用双燃料或甲醇燃料的订单比例相对</w:t>
      </w:r>
      <w:r w:rsidRPr="0060711B">
        <w:rPr>
          <w:rFonts w:ascii="楷体" w:eastAsia="楷体" w:hAnsi="楷体" w:hint="eastAsia"/>
          <w:b/>
          <w:bCs/>
          <w:sz w:val="21"/>
          <w:szCs w:val="21"/>
        </w:rPr>
        <w:lastRenderedPageBreak/>
        <w:t>较低</w:t>
      </w:r>
      <w:r w:rsidR="00AB733C">
        <w:rPr>
          <w:rFonts w:ascii="楷体" w:eastAsia="楷体" w:hAnsi="楷体" w:hint="eastAsia"/>
          <w:b/>
          <w:bCs/>
          <w:sz w:val="21"/>
          <w:szCs w:val="21"/>
        </w:rPr>
        <w:t>，</w:t>
      </w:r>
      <w:r w:rsidRPr="0060711B">
        <w:rPr>
          <w:rFonts w:ascii="楷体" w:eastAsia="楷体" w:hAnsi="楷体" w:hint="eastAsia"/>
          <w:b/>
          <w:bCs/>
          <w:sz w:val="21"/>
          <w:szCs w:val="21"/>
        </w:rPr>
        <w:t>请问其中的原因是什么？</w:t>
      </w:r>
      <w:r w:rsidRPr="0060711B">
        <w:rPr>
          <w:rFonts w:ascii="楷体" w:eastAsia="楷体" w:hAnsi="楷体"/>
          <w:b/>
          <w:bCs/>
          <w:sz w:val="21"/>
          <w:szCs w:val="21"/>
        </w:rPr>
        <w:t>如何看待</w:t>
      </w:r>
      <w:r>
        <w:rPr>
          <w:rFonts w:ascii="楷体" w:eastAsia="楷体" w:hAnsi="楷体" w:hint="eastAsia"/>
          <w:b/>
          <w:bCs/>
          <w:sz w:val="21"/>
          <w:szCs w:val="21"/>
        </w:rPr>
        <w:t>油</w:t>
      </w:r>
      <w:r w:rsidRPr="0060711B">
        <w:rPr>
          <w:rFonts w:ascii="楷体" w:eastAsia="楷体" w:hAnsi="楷体"/>
          <w:b/>
          <w:bCs/>
          <w:sz w:val="21"/>
          <w:szCs w:val="21"/>
        </w:rPr>
        <w:t>轮行业的新能源化趋势？这一趋势是否与其他船型，如散货船，会有不同的发展路径？</w:t>
      </w:r>
    </w:p>
    <w:p w14:paraId="686FFF98" w14:textId="68A1541F" w:rsidR="0060711B" w:rsidRPr="00466D09" w:rsidRDefault="0060711B" w:rsidP="0060711B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 w:rsidRPr="0060711B">
        <w:rPr>
          <w:rFonts w:ascii="楷体" w:eastAsia="楷体" w:hAnsi="楷体"/>
          <w:sz w:val="21"/>
          <w:szCs w:val="21"/>
        </w:rPr>
        <w:t>我们确实注意到近年来</w:t>
      </w:r>
      <w:r w:rsidR="000C6089">
        <w:rPr>
          <w:rFonts w:ascii="楷体" w:eastAsia="楷体" w:hAnsi="楷体" w:hint="eastAsia"/>
          <w:sz w:val="21"/>
          <w:szCs w:val="21"/>
        </w:rPr>
        <w:t>VLCC的</w:t>
      </w:r>
      <w:r w:rsidRPr="0060711B">
        <w:rPr>
          <w:rFonts w:ascii="楷体" w:eastAsia="楷体" w:hAnsi="楷体"/>
          <w:sz w:val="21"/>
          <w:szCs w:val="21"/>
        </w:rPr>
        <w:t>双燃料船型，特别是甲醇燃料的订单数量较少。</w:t>
      </w:r>
      <w:r w:rsidRPr="00466D09">
        <w:rPr>
          <w:rFonts w:ascii="楷体" w:eastAsia="楷体" w:hAnsi="楷体"/>
          <w:b/>
          <w:bCs/>
          <w:sz w:val="21"/>
          <w:szCs w:val="21"/>
        </w:rPr>
        <w:t>大部分订单仍然选择了传统燃料配置，主要有以下几个原因：</w:t>
      </w:r>
    </w:p>
    <w:p w14:paraId="2BAD5C30" w14:textId="77DAC3C5" w:rsidR="0060711B" w:rsidRPr="0060711B" w:rsidRDefault="0060711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466D09">
        <w:rPr>
          <w:rFonts w:ascii="楷体" w:eastAsia="楷体" w:hAnsi="楷体" w:hint="eastAsia"/>
          <w:b/>
          <w:bCs/>
          <w:sz w:val="21"/>
          <w:szCs w:val="21"/>
        </w:rPr>
        <w:t>首先，供应问题。</w:t>
      </w:r>
      <w:r w:rsidRPr="0060711B">
        <w:rPr>
          <w:rFonts w:ascii="楷体" w:eastAsia="楷体" w:hAnsi="楷体" w:hint="eastAsia"/>
          <w:sz w:val="21"/>
          <w:szCs w:val="21"/>
        </w:rPr>
        <w:t>甲醇的全球供应链尚未完全成熟，特别是在大型油轮的应用中。甲醇的能量密度较低，这意味着需要更大的燃料舱来储存足够的燃料，这对于超大型油轮（</w:t>
      </w:r>
      <w:r w:rsidRPr="0060711B">
        <w:rPr>
          <w:rFonts w:ascii="楷体" w:eastAsia="楷体" w:hAnsi="楷体"/>
          <w:sz w:val="21"/>
          <w:szCs w:val="21"/>
        </w:rPr>
        <w:t>VLCC）而言是一个挑战。</w:t>
      </w:r>
      <w:r w:rsidR="00AB733C">
        <w:rPr>
          <w:rFonts w:ascii="楷体" w:eastAsia="楷体" w:hAnsi="楷体" w:hint="eastAsia"/>
          <w:sz w:val="21"/>
          <w:szCs w:val="21"/>
        </w:rPr>
        <w:t>但可能MR</w:t>
      </w:r>
      <w:r w:rsidR="000C6089">
        <w:rPr>
          <w:rFonts w:ascii="楷体" w:eastAsia="楷体" w:hAnsi="楷体" w:hint="eastAsia"/>
          <w:sz w:val="21"/>
          <w:szCs w:val="21"/>
        </w:rPr>
        <w:t>等中小型</w:t>
      </w:r>
      <w:r w:rsidR="00AB733C">
        <w:rPr>
          <w:rFonts w:ascii="楷体" w:eastAsia="楷体" w:hAnsi="楷体" w:hint="eastAsia"/>
          <w:sz w:val="21"/>
          <w:szCs w:val="21"/>
        </w:rPr>
        <w:t>船舶会更加适合。</w:t>
      </w:r>
    </w:p>
    <w:p w14:paraId="34B65B7B" w14:textId="164EBBFE" w:rsidR="0060711B" w:rsidRPr="0060711B" w:rsidRDefault="0060711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466D09">
        <w:rPr>
          <w:rFonts w:ascii="楷体" w:eastAsia="楷体" w:hAnsi="楷体" w:hint="eastAsia"/>
          <w:b/>
          <w:bCs/>
          <w:sz w:val="21"/>
          <w:szCs w:val="21"/>
        </w:rPr>
        <w:t>其次，经济性和技术性。</w:t>
      </w:r>
      <w:r w:rsidRPr="0060711B">
        <w:rPr>
          <w:rFonts w:ascii="楷体" w:eastAsia="楷体" w:hAnsi="楷体" w:hint="eastAsia"/>
          <w:sz w:val="21"/>
          <w:szCs w:val="21"/>
        </w:rPr>
        <w:t>甲醇燃料的经济性尚未完全证明，特别是在</w:t>
      </w:r>
      <w:r w:rsidR="000C6089">
        <w:rPr>
          <w:rFonts w:ascii="楷体" w:eastAsia="楷体" w:hAnsi="楷体" w:hint="eastAsia"/>
          <w:sz w:val="21"/>
          <w:szCs w:val="21"/>
        </w:rPr>
        <w:t>VLCC通常都是远距离</w:t>
      </w:r>
      <w:r w:rsidRPr="0060711B">
        <w:rPr>
          <w:rFonts w:ascii="楷体" w:eastAsia="楷体" w:hAnsi="楷体" w:hint="eastAsia"/>
          <w:sz w:val="21"/>
          <w:szCs w:val="21"/>
        </w:rPr>
        <w:t>跨洋运输中，燃料成本和燃料补给的可靠性仍存在不确定性。此外，虽然欧盟推行了</w:t>
      </w:r>
      <w:r w:rsidRPr="0060711B">
        <w:rPr>
          <w:rFonts w:ascii="楷体" w:eastAsia="楷体" w:hAnsi="楷体"/>
          <w:sz w:val="21"/>
          <w:szCs w:val="21"/>
        </w:rPr>
        <w:t>EEXI和CII等环保法规，但由于VLCC去欧洲的比例较低，法规对该类船型的直接影响相对较小，这也是部分船东</w:t>
      </w:r>
      <w:r w:rsidR="000C6089">
        <w:rPr>
          <w:rFonts w:ascii="楷体" w:eastAsia="楷体" w:hAnsi="楷体" w:hint="eastAsia"/>
          <w:sz w:val="21"/>
          <w:szCs w:val="21"/>
        </w:rPr>
        <w:t>暂时先</w:t>
      </w:r>
      <w:r w:rsidRPr="0060711B">
        <w:rPr>
          <w:rFonts w:ascii="楷体" w:eastAsia="楷体" w:hAnsi="楷体"/>
          <w:sz w:val="21"/>
          <w:szCs w:val="21"/>
        </w:rPr>
        <w:t>选择传统燃料的原因之一。</w:t>
      </w:r>
    </w:p>
    <w:p w14:paraId="52E04072" w14:textId="3A0E2B2F" w:rsidR="0060711B" w:rsidRPr="0060711B" w:rsidRDefault="0060711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466D09">
        <w:rPr>
          <w:rFonts w:ascii="楷体" w:eastAsia="楷体" w:hAnsi="楷体" w:hint="eastAsia"/>
          <w:b/>
          <w:bCs/>
          <w:sz w:val="21"/>
          <w:szCs w:val="21"/>
        </w:rPr>
        <w:t>最后，行业趋势。</w:t>
      </w:r>
      <w:r w:rsidRPr="0060711B">
        <w:rPr>
          <w:rFonts w:ascii="楷体" w:eastAsia="楷体" w:hAnsi="楷体" w:hint="eastAsia"/>
          <w:sz w:val="21"/>
          <w:szCs w:val="21"/>
        </w:rPr>
        <w:t>虽然我们看到像马士基这样的公司回归</w:t>
      </w:r>
      <w:r w:rsidRPr="0060711B">
        <w:rPr>
          <w:rFonts w:ascii="楷体" w:eastAsia="楷体" w:hAnsi="楷体"/>
          <w:sz w:val="21"/>
          <w:szCs w:val="21"/>
        </w:rPr>
        <w:t>LNG双燃料船型，但对于超大型油轮（VLCC），双燃料的推广速度仍然较慢。这部分原因是船东对新技术的谨慎态度，特别是在面对燃料供应和运营成本的不确定性时。因此，我们在选择新船配置时，更多地考虑了节能装置和传统燃料的组合。比如，我们</w:t>
      </w:r>
      <w:r w:rsidR="000C6089">
        <w:rPr>
          <w:rFonts w:ascii="楷体" w:eastAsia="楷体" w:hAnsi="楷体" w:hint="eastAsia"/>
          <w:sz w:val="21"/>
          <w:szCs w:val="21"/>
        </w:rPr>
        <w:t>近年新造的</w:t>
      </w:r>
      <w:r w:rsidRPr="0060711B">
        <w:rPr>
          <w:rFonts w:ascii="楷体" w:eastAsia="楷体" w:hAnsi="楷体"/>
          <w:sz w:val="21"/>
          <w:szCs w:val="21"/>
        </w:rPr>
        <w:t>VLCC油轮</w:t>
      </w:r>
      <w:r w:rsidR="000C6089">
        <w:rPr>
          <w:rFonts w:ascii="楷体" w:eastAsia="楷体" w:hAnsi="楷体" w:hint="eastAsia"/>
          <w:sz w:val="21"/>
          <w:szCs w:val="21"/>
        </w:rPr>
        <w:t>和大型散货船</w:t>
      </w:r>
      <w:r w:rsidRPr="0060711B">
        <w:rPr>
          <w:rFonts w:ascii="楷体" w:eastAsia="楷体" w:hAnsi="楷体"/>
          <w:sz w:val="21"/>
          <w:szCs w:val="21"/>
        </w:rPr>
        <w:t>配置了</w:t>
      </w:r>
      <w:r w:rsidR="000C6089">
        <w:rPr>
          <w:rFonts w:ascii="楷体" w:eastAsia="楷体" w:hAnsi="楷体" w:hint="eastAsia"/>
          <w:sz w:val="21"/>
          <w:szCs w:val="21"/>
        </w:rPr>
        <w:t>轴带</w:t>
      </w:r>
      <w:r w:rsidRPr="0060711B">
        <w:rPr>
          <w:rFonts w:ascii="楷体" w:eastAsia="楷体" w:hAnsi="楷体"/>
          <w:sz w:val="21"/>
          <w:szCs w:val="21"/>
        </w:rPr>
        <w:t>发电机</w:t>
      </w:r>
      <w:r w:rsidR="000C6089">
        <w:rPr>
          <w:rFonts w:ascii="楷体" w:eastAsia="楷体" w:hAnsi="楷体" w:hint="eastAsia"/>
          <w:sz w:val="21"/>
          <w:szCs w:val="21"/>
        </w:rPr>
        <w:t>、风帆、气层减</w:t>
      </w:r>
      <w:r w:rsidR="003E00CA">
        <w:rPr>
          <w:rFonts w:ascii="楷体" w:eastAsia="楷体" w:hAnsi="楷体" w:hint="eastAsia"/>
          <w:sz w:val="21"/>
          <w:szCs w:val="21"/>
        </w:rPr>
        <w:t>阻</w:t>
      </w:r>
      <w:r w:rsidR="000C6089">
        <w:rPr>
          <w:rFonts w:ascii="楷体" w:eastAsia="楷体" w:hAnsi="楷体" w:hint="eastAsia"/>
          <w:sz w:val="21"/>
          <w:szCs w:val="21"/>
        </w:rPr>
        <w:t>等各种节能装置。我们在新能源船上也积极探索，订造了世界第一艘甲醇双燃料VLCC和第一批甲醇双燃料PCTC</w:t>
      </w:r>
      <w:r w:rsidRPr="0060711B">
        <w:rPr>
          <w:rFonts w:ascii="楷体" w:eastAsia="楷体" w:hAnsi="楷体"/>
          <w:sz w:val="21"/>
          <w:szCs w:val="21"/>
        </w:rPr>
        <w:t>。</w:t>
      </w:r>
    </w:p>
    <w:p w14:paraId="4DD3D6DD" w14:textId="00152930" w:rsidR="0060711B" w:rsidRDefault="0060711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60711B">
        <w:rPr>
          <w:rFonts w:ascii="楷体" w:eastAsia="楷体" w:hAnsi="楷体" w:hint="eastAsia"/>
          <w:sz w:val="21"/>
          <w:szCs w:val="21"/>
        </w:rPr>
        <w:t>展望未来，我们将在技术进步、燃料供应链完善的基础上，稳步推进新燃料技术的应用。特别是在即将到来的老旧船舶更新过程中，我们将更加关注新能源船型的可能性。</w:t>
      </w:r>
    </w:p>
    <w:p w14:paraId="5B5E0B5E" w14:textId="77777777" w:rsidR="00DF2E7B" w:rsidRDefault="00DF2E7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</w:p>
    <w:p w14:paraId="44A4C06C" w14:textId="410C547F" w:rsidR="00DF2E7B" w:rsidRPr="00CF589A" w:rsidRDefault="00DF2E7B" w:rsidP="00DF2E7B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b/>
          <w:bCs/>
          <w:sz w:val="21"/>
          <w:szCs w:val="21"/>
        </w:rPr>
        <w:t>提问招商</w:t>
      </w:r>
      <w:r>
        <w:rPr>
          <w:rFonts w:ascii="楷体" w:eastAsia="楷体" w:hAnsi="楷体" w:hint="eastAsia"/>
          <w:b/>
          <w:bCs/>
          <w:sz w:val="21"/>
          <w:szCs w:val="21"/>
        </w:rPr>
        <w:t>轮船</w:t>
      </w:r>
      <w:r w:rsidRPr="00CF589A">
        <w:rPr>
          <w:rFonts w:ascii="楷体" w:eastAsia="楷体" w:hAnsi="楷体" w:hint="eastAsia"/>
          <w:b/>
          <w:bCs/>
          <w:sz w:val="21"/>
          <w:szCs w:val="21"/>
        </w:rPr>
        <w:t>：</w:t>
      </w:r>
      <w:r w:rsidRPr="00DF2E7B">
        <w:rPr>
          <w:rFonts w:ascii="楷体" w:eastAsia="楷体" w:hAnsi="楷体" w:hint="eastAsia"/>
          <w:b/>
          <w:bCs/>
          <w:sz w:val="21"/>
          <w:szCs w:val="21"/>
        </w:rPr>
        <w:t>公司是否有一些前瞻性指标来辅助判断短期货盘的释放</w:t>
      </w:r>
      <w:r w:rsidRPr="0060711B">
        <w:rPr>
          <w:rFonts w:ascii="楷体" w:eastAsia="楷体" w:hAnsi="楷体"/>
          <w:b/>
          <w:bCs/>
          <w:sz w:val="21"/>
          <w:szCs w:val="21"/>
        </w:rPr>
        <w:t>？</w:t>
      </w:r>
    </w:p>
    <w:p w14:paraId="00F10757" w14:textId="21FD4D1E" w:rsidR="00DF2E7B" w:rsidRPr="00DF2E7B" w:rsidRDefault="00DF2E7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466D09">
        <w:rPr>
          <w:rFonts w:ascii="楷体" w:eastAsia="楷体" w:hAnsi="楷体"/>
          <w:b/>
          <w:bCs/>
          <w:sz w:val="21"/>
          <w:szCs w:val="21"/>
        </w:rPr>
        <w:t>至于短期货盘的预测，确实非常复杂。</w:t>
      </w:r>
      <w:r w:rsidRPr="00DF2E7B">
        <w:rPr>
          <w:rFonts w:ascii="楷体" w:eastAsia="楷体" w:hAnsi="楷体"/>
          <w:sz w:val="21"/>
          <w:szCs w:val="21"/>
        </w:rPr>
        <w:t>短期运价波动往往受到多种因素的影响，包括季节性需求、地缘政治、上游出货量</w:t>
      </w:r>
      <w:r w:rsidR="000C6089">
        <w:rPr>
          <w:rFonts w:ascii="楷体" w:eastAsia="楷体" w:hAnsi="楷体" w:hint="eastAsia"/>
          <w:sz w:val="21"/>
          <w:szCs w:val="21"/>
        </w:rPr>
        <w:t>、偶发因素</w:t>
      </w:r>
      <w:r w:rsidRPr="00DF2E7B">
        <w:rPr>
          <w:rFonts w:ascii="楷体" w:eastAsia="楷体" w:hAnsi="楷体"/>
          <w:sz w:val="21"/>
          <w:szCs w:val="21"/>
        </w:rPr>
        <w:t>等，因此我们建议</w:t>
      </w:r>
      <w:r w:rsidRPr="00466D09">
        <w:rPr>
          <w:rFonts w:ascii="楷体" w:eastAsia="楷体" w:hAnsi="楷体"/>
          <w:b/>
          <w:bCs/>
          <w:sz w:val="21"/>
          <w:szCs w:val="21"/>
        </w:rPr>
        <w:t>更关注中长期的市场趋势和基本面因</w:t>
      </w:r>
      <w:r w:rsidRPr="00466D09">
        <w:rPr>
          <w:rFonts w:ascii="楷体" w:eastAsia="楷体" w:hAnsi="楷体" w:hint="eastAsia"/>
          <w:b/>
          <w:bCs/>
          <w:sz w:val="21"/>
          <w:szCs w:val="21"/>
        </w:rPr>
        <w:t>素，比如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出口国</w:t>
      </w:r>
      <w:r w:rsidRPr="00466D09">
        <w:rPr>
          <w:rFonts w:ascii="楷体" w:eastAsia="楷体" w:hAnsi="楷体" w:hint="eastAsia"/>
          <w:b/>
          <w:bCs/>
          <w:sz w:val="21"/>
          <w:szCs w:val="21"/>
        </w:rPr>
        <w:t>动态、以及船舶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二手</w:t>
      </w:r>
      <w:r w:rsidRPr="00466D09">
        <w:rPr>
          <w:rFonts w:ascii="楷体" w:eastAsia="楷体" w:hAnsi="楷体" w:hint="eastAsia"/>
          <w:b/>
          <w:bCs/>
          <w:sz w:val="21"/>
          <w:szCs w:val="21"/>
        </w:rPr>
        <w:t>资产价格和期租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运价等</w:t>
      </w:r>
      <w:r w:rsidRPr="00DF2E7B">
        <w:rPr>
          <w:rFonts w:ascii="楷体" w:eastAsia="楷体" w:hAnsi="楷体" w:hint="eastAsia"/>
          <w:sz w:val="21"/>
          <w:szCs w:val="21"/>
        </w:rPr>
        <w:t>，这些因素</w:t>
      </w:r>
      <w:r w:rsidR="000C6089">
        <w:rPr>
          <w:rFonts w:ascii="楷体" w:eastAsia="楷体" w:hAnsi="楷体" w:hint="eastAsia"/>
          <w:sz w:val="21"/>
          <w:szCs w:val="21"/>
        </w:rPr>
        <w:t>可能</w:t>
      </w:r>
      <w:r w:rsidRPr="00DF2E7B">
        <w:rPr>
          <w:rFonts w:ascii="楷体" w:eastAsia="楷体" w:hAnsi="楷体" w:hint="eastAsia"/>
          <w:sz w:val="21"/>
          <w:szCs w:val="21"/>
        </w:rPr>
        <w:t>能够为市场提供更</w:t>
      </w:r>
      <w:r w:rsidR="000C6089">
        <w:rPr>
          <w:rFonts w:ascii="楷体" w:eastAsia="楷体" w:hAnsi="楷体" w:hint="eastAsia"/>
          <w:sz w:val="21"/>
          <w:szCs w:val="21"/>
        </w:rPr>
        <w:t>可靠</w:t>
      </w:r>
      <w:r w:rsidRPr="00DF2E7B">
        <w:rPr>
          <w:rFonts w:ascii="楷体" w:eastAsia="楷体" w:hAnsi="楷体" w:hint="eastAsia"/>
          <w:sz w:val="21"/>
          <w:szCs w:val="21"/>
        </w:rPr>
        <w:t>的判断</w:t>
      </w:r>
      <w:r w:rsidR="000C6089">
        <w:rPr>
          <w:rFonts w:ascii="楷体" w:eastAsia="楷体" w:hAnsi="楷体" w:hint="eastAsia"/>
          <w:sz w:val="21"/>
          <w:szCs w:val="21"/>
        </w:rPr>
        <w:t>参考</w:t>
      </w:r>
      <w:r w:rsidRPr="00DF2E7B">
        <w:rPr>
          <w:rFonts w:ascii="楷体" w:eastAsia="楷体" w:hAnsi="楷体" w:hint="eastAsia"/>
          <w:sz w:val="21"/>
          <w:szCs w:val="21"/>
        </w:rPr>
        <w:t>。</w:t>
      </w:r>
    </w:p>
    <w:p w14:paraId="2C09B483" w14:textId="77777777" w:rsidR="00DF2E7B" w:rsidRDefault="00DF2E7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</w:p>
    <w:p w14:paraId="22B65E8E" w14:textId="67A91A13" w:rsidR="00DF2E7B" w:rsidRPr="00CF589A" w:rsidRDefault="00DF2E7B" w:rsidP="00DF2E7B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CF589A">
        <w:rPr>
          <w:rFonts w:ascii="楷体" w:eastAsia="楷体" w:hAnsi="楷体" w:hint="eastAsia"/>
          <w:b/>
          <w:bCs/>
          <w:sz w:val="21"/>
          <w:szCs w:val="21"/>
        </w:rPr>
        <w:t>提问招商</w:t>
      </w:r>
      <w:r>
        <w:rPr>
          <w:rFonts w:ascii="楷体" w:eastAsia="楷体" w:hAnsi="楷体" w:hint="eastAsia"/>
          <w:b/>
          <w:bCs/>
          <w:sz w:val="21"/>
          <w:szCs w:val="21"/>
        </w:rPr>
        <w:t>轮船</w:t>
      </w:r>
      <w:r w:rsidRPr="00CF589A">
        <w:rPr>
          <w:rFonts w:ascii="楷体" w:eastAsia="楷体" w:hAnsi="楷体" w:hint="eastAsia"/>
          <w:b/>
          <w:bCs/>
          <w:sz w:val="21"/>
          <w:szCs w:val="21"/>
        </w:rPr>
        <w:t>：</w:t>
      </w:r>
      <w:r w:rsidRPr="00DF2E7B">
        <w:rPr>
          <w:rFonts w:ascii="楷体" w:eastAsia="楷体" w:hAnsi="楷体" w:hint="eastAsia"/>
          <w:b/>
          <w:bCs/>
          <w:sz w:val="21"/>
          <w:szCs w:val="21"/>
        </w:rPr>
        <w:t>现在的船舶</w:t>
      </w:r>
      <w:r>
        <w:rPr>
          <w:rFonts w:ascii="楷体" w:eastAsia="楷体" w:hAnsi="楷体" w:hint="eastAsia"/>
          <w:b/>
          <w:bCs/>
          <w:sz w:val="21"/>
          <w:szCs w:val="21"/>
        </w:rPr>
        <w:t>摆</w:t>
      </w:r>
      <w:r w:rsidRPr="00DF2E7B">
        <w:rPr>
          <w:rFonts w:ascii="楷体" w:eastAsia="楷体" w:hAnsi="楷体" w:hint="eastAsia"/>
          <w:b/>
          <w:bCs/>
          <w:sz w:val="21"/>
          <w:szCs w:val="21"/>
        </w:rPr>
        <w:t>位策略</w:t>
      </w:r>
      <w:r w:rsidR="00466D09">
        <w:rPr>
          <w:rFonts w:ascii="楷体" w:eastAsia="楷体" w:hAnsi="楷体" w:hint="eastAsia"/>
          <w:b/>
          <w:bCs/>
          <w:sz w:val="21"/>
          <w:szCs w:val="21"/>
        </w:rPr>
        <w:t>？</w:t>
      </w:r>
      <w:r w:rsidRPr="00DF2E7B">
        <w:rPr>
          <w:rFonts w:ascii="楷体" w:eastAsia="楷体" w:hAnsi="楷体" w:hint="eastAsia"/>
          <w:b/>
          <w:bCs/>
          <w:sz w:val="21"/>
          <w:szCs w:val="21"/>
        </w:rPr>
        <w:t>下半年运营天数有什么变化吗？</w:t>
      </w:r>
    </w:p>
    <w:p w14:paraId="512176F8" w14:textId="4228D1C9" w:rsidR="00DF2E7B" w:rsidRDefault="00DF2E7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  <w:r w:rsidRPr="000C3DAE">
        <w:rPr>
          <w:rFonts w:ascii="楷体" w:eastAsia="楷体" w:hAnsi="楷体"/>
          <w:sz w:val="21"/>
          <w:szCs w:val="21"/>
        </w:rPr>
        <w:t>对于VLCC来说，当前的</w:t>
      </w:r>
      <w:r>
        <w:rPr>
          <w:rFonts w:ascii="楷体" w:eastAsia="楷体" w:hAnsi="楷体" w:hint="eastAsia"/>
          <w:sz w:val="21"/>
          <w:szCs w:val="21"/>
        </w:rPr>
        <w:t>摆</w:t>
      </w:r>
      <w:r w:rsidRPr="000C3DAE">
        <w:rPr>
          <w:rFonts w:ascii="楷体" w:eastAsia="楷体" w:hAnsi="楷体"/>
          <w:sz w:val="21"/>
          <w:szCs w:val="21"/>
        </w:rPr>
        <w:t>位策略主要是根据市场需求动态调整。我们公司约60%的VLCC船舶为节能型船，平均船龄为9.14年。此外，我们的</w:t>
      </w:r>
      <w:r w:rsidR="000C6089">
        <w:rPr>
          <w:rFonts w:ascii="楷体" w:eastAsia="楷体" w:hAnsi="楷体" w:hint="eastAsia"/>
          <w:sz w:val="21"/>
          <w:szCs w:val="21"/>
        </w:rPr>
        <w:t>VLCC</w:t>
      </w:r>
      <w:r w:rsidRPr="000C3DAE">
        <w:rPr>
          <w:rFonts w:ascii="楷体" w:eastAsia="楷体" w:hAnsi="楷体"/>
          <w:sz w:val="21"/>
          <w:szCs w:val="21"/>
        </w:rPr>
        <w:t>船队中有28艘船已安装了</w:t>
      </w:r>
      <w:r>
        <w:rPr>
          <w:rFonts w:ascii="楷体" w:eastAsia="楷体" w:hAnsi="楷体" w:hint="eastAsia"/>
          <w:sz w:val="21"/>
          <w:szCs w:val="21"/>
        </w:rPr>
        <w:t>脱硫</w:t>
      </w:r>
      <w:r w:rsidRPr="000C3DAE">
        <w:rPr>
          <w:rFonts w:ascii="楷体" w:eastAsia="楷体" w:hAnsi="楷体"/>
          <w:sz w:val="21"/>
          <w:szCs w:val="21"/>
        </w:rPr>
        <w:t>塔。由于我们是全球最大的VLCC运营商之一，</w:t>
      </w:r>
      <w:r w:rsidRPr="00466D09">
        <w:rPr>
          <w:rFonts w:ascii="楷体" w:eastAsia="楷体" w:hAnsi="楷体"/>
          <w:b/>
          <w:bCs/>
          <w:sz w:val="21"/>
          <w:szCs w:val="21"/>
        </w:rPr>
        <w:t>整体来看，在中东航线需求较差的情况下，我们更多地选择将船舶调配至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全球</w:t>
      </w:r>
      <w:r w:rsidRPr="00466D09">
        <w:rPr>
          <w:rFonts w:ascii="楷体" w:eastAsia="楷体" w:hAnsi="楷体"/>
          <w:b/>
          <w:bCs/>
          <w:sz w:val="21"/>
          <w:szCs w:val="21"/>
        </w:rPr>
        <w:t>航线，通过运营大三角航线来提高</w:t>
      </w:r>
      <w:r w:rsidR="000C6089">
        <w:rPr>
          <w:rFonts w:ascii="楷体" w:eastAsia="楷体" w:hAnsi="楷体" w:hint="eastAsia"/>
          <w:b/>
          <w:bCs/>
          <w:sz w:val="21"/>
          <w:szCs w:val="21"/>
        </w:rPr>
        <w:t>重载率</w:t>
      </w:r>
      <w:r w:rsidRPr="00466D09">
        <w:rPr>
          <w:rFonts w:ascii="楷体" w:eastAsia="楷体" w:hAnsi="楷体"/>
          <w:b/>
          <w:bCs/>
          <w:sz w:val="21"/>
          <w:szCs w:val="21"/>
        </w:rPr>
        <w:t>，从而实现较高的TCE水平。</w:t>
      </w:r>
      <w:r w:rsidRPr="000C3DAE">
        <w:rPr>
          <w:rFonts w:ascii="楷体" w:eastAsia="楷体" w:hAnsi="楷体"/>
          <w:sz w:val="21"/>
          <w:szCs w:val="21"/>
        </w:rPr>
        <w:t>七八月份的市场尽管现货市场较为疲软，尤其是</w:t>
      </w:r>
      <w:r w:rsidRPr="000C3DAE">
        <w:rPr>
          <w:rFonts w:ascii="楷体" w:eastAsia="楷体" w:hAnsi="楷体"/>
          <w:sz w:val="21"/>
          <w:szCs w:val="21"/>
        </w:rPr>
        <w:lastRenderedPageBreak/>
        <w:t>T</w:t>
      </w:r>
      <w:r>
        <w:rPr>
          <w:rFonts w:ascii="楷体" w:eastAsia="楷体" w:hAnsi="楷体" w:hint="eastAsia"/>
          <w:sz w:val="21"/>
          <w:szCs w:val="21"/>
        </w:rPr>
        <w:t>D</w:t>
      </w:r>
      <w:r w:rsidRPr="000C3DAE">
        <w:rPr>
          <w:rFonts w:ascii="楷体" w:eastAsia="楷体" w:hAnsi="楷体"/>
          <w:sz w:val="21"/>
          <w:szCs w:val="21"/>
        </w:rPr>
        <w:t>3</w:t>
      </w:r>
      <w:r>
        <w:rPr>
          <w:rFonts w:ascii="楷体" w:eastAsia="楷体" w:hAnsi="楷体" w:hint="eastAsia"/>
          <w:sz w:val="21"/>
          <w:szCs w:val="21"/>
        </w:rPr>
        <w:t>C</w:t>
      </w:r>
      <w:r w:rsidRPr="000C3DAE">
        <w:rPr>
          <w:rFonts w:ascii="楷体" w:eastAsia="楷体" w:hAnsi="楷体"/>
          <w:sz w:val="21"/>
          <w:szCs w:val="21"/>
        </w:rPr>
        <w:t>航线（中东-中国航线）表现较弱，但我们的实际运营情况仍然优于市场平均水平。我们今年的策略在半年报中有所提及，</w:t>
      </w:r>
      <w:r w:rsidR="00A62F23">
        <w:rPr>
          <w:rFonts w:ascii="楷体" w:eastAsia="楷体" w:hAnsi="楷体" w:hint="eastAsia"/>
          <w:sz w:val="21"/>
          <w:szCs w:val="21"/>
        </w:rPr>
        <w:t>大家可以参考</w:t>
      </w:r>
      <w:r w:rsidRPr="000C3DAE">
        <w:rPr>
          <w:rFonts w:ascii="楷体" w:eastAsia="楷体" w:hAnsi="楷体"/>
          <w:sz w:val="21"/>
          <w:szCs w:val="21"/>
        </w:rPr>
        <w:t>。</w:t>
      </w:r>
      <w:r w:rsidRPr="00466D09">
        <w:rPr>
          <w:rFonts w:ascii="楷体" w:eastAsia="楷体" w:hAnsi="楷体"/>
          <w:b/>
          <w:bCs/>
          <w:sz w:val="21"/>
          <w:szCs w:val="21"/>
        </w:rPr>
        <w:t>虽然由于三季度加装</w:t>
      </w:r>
      <w:r w:rsidR="00FA31C7" w:rsidRPr="00466D09">
        <w:rPr>
          <w:rFonts w:ascii="楷体" w:eastAsia="楷体" w:hAnsi="楷体" w:hint="eastAsia"/>
          <w:b/>
          <w:bCs/>
          <w:sz w:val="21"/>
          <w:szCs w:val="21"/>
        </w:rPr>
        <w:t>脱硫</w:t>
      </w:r>
      <w:r w:rsidR="00FA31C7" w:rsidRPr="00466D09">
        <w:rPr>
          <w:rFonts w:ascii="楷体" w:eastAsia="楷体" w:hAnsi="楷体"/>
          <w:b/>
          <w:bCs/>
          <w:sz w:val="21"/>
          <w:szCs w:val="21"/>
        </w:rPr>
        <w:t>塔</w:t>
      </w:r>
      <w:r w:rsidRPr="00466D09">
        <w:rPr>
          <w:rFonts w:ascii="楷体" w:eastAsia="楷体" w:hAnsi="楷体"/>
          <w:b/>
          <w:bCs/>
          <w:sz w:val="21"/>
          <w:szCs w:val="21"/>
        </w:rPr>
        <w:t>导致部分船舶的维修时间增加，营运天数减少了约2%，但下半年</w:t>
      </w:r>
      <w:r w:rsidR="00A62F23">
        <w:rPr>
          <w:rFonts w:ascii="楷体" w:eastAsia="楷体" w:hAnsi="楷体" w:hint="eastAsia"/>
          <w:b/>
          <w:bCs/>
          <w:sz w:val="21"/>
          <w:szCs w:val="21"/>
        </w:rPr>
        <w:t>坞修和</w:t>
      </w:r>
      <w:r w:rsidRPr="00466D09">
        <w:rPr>
          <w:rFonts w:ascii="楷体" w:eastAsia="楷体" w:hAnsi="楷体"/>
          <w:b/>
          <w:bCs/>
          <w:sz w:val="21"/>
          <w:szCs w:val="21"/>
        </w:rPr>
        <w:t>装塔的</w:t>
      </w:r>
      <w:r w:rsidR="00A62F23">
        <w:rPr>
          <w:rFonts w:ascii="楷体" w:eastAsia="楷体" w:hAnsi="楷体" w:hint="eastAsia"/>
          <w:b/>
          <w:bCs/>
          <w:sz w:val="21"/>
          <w:szCs w:val="21"/>
        </w:rPr>
        <w:t>会比较少，有效</w:t>
      </w:r>
      <w:r w:rsidRPr="00466D09">
        <w:rPr>
          <w:rFonts w:ascii="楷体" w:eastAsia="楷体" w:hAnsi="楷体"/>
          <w:b/>
          <w:bCs/>
          <w:sz w:val="21"/>
          <w:szCs w:val="21"/>
        </w:rPr>
        <w:t>营运天数将恢复正常，</w:t>
      </w:r>
      <w:r w:rsidRPr="000C3DAE">
        <w:rPr>
          <w:rFonts w:ascii="楷体" w:eastAsia="楷体" w:hAnsi="楷体"/>
          <w:sz w:val="21"/>
          <w:szCs w:val="21"/>
        </w:rPr>
        <w:t>特别是在旺季，我们将最大化运营天数。</w:t>
      </w:r>
    </w:p>
    <w:p w14:paraId="39D8C50A" w14:textId="541634BE" w:rsidR="00417CBA" w:rsidRDefault="00417CBA" w:rsidP="00417CBA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b/>
          <w:bCs/>
          <w:sz w:val="21"/>
          <w:szCs w:val="21"/>
        </w:rPr>
      </w:pPr>
      <w:r w:rsidRPr="00FA31C7">
        <w:rPr>
          <w:rFonts w:ascii="楷体" w:eastAsia="楷体" w:hAnsi="楷体" w:hint="eastAsia"/>
          <w:b/>
          <w:bCs/>
          <w:sz w:val="21"/>
          <w:szCs w:val="21"/>
        </w:rPr>
        <w:t>提问招商</w:t>
      </w:r>
      <w:r>
        <w:rPr>
          <w:rFonts w:ascii="楷体" w:eastAsia="楷体" w:hAnsi="楷体" w:hint="eastAsia"/>
          <w:b/>
          <w:bCs/>
          <w:sz w:val="21"/>
          <w:szCs w:val="21"/>
        </w:rPr>
        <w:t>轮船</w:t>
      </w:r>
      <w:r w:rsidRPr="00FA31C7">
        <w:rPr>
          <w:rFonts w:ascii="楷体" w:eastAsia="楷体" w:hAnsi="楷体" w:hint="eastAsia"/>
          <w:b/>
          <w:bCs/>
          <w:sz w:val="21"/>
          <w:szCs w:val="21"/>
        </w:rPr>
        <w:t>：</w:t>
      </w:r>
      <w:r>
        <w:rPr>
          <w:rFonts w:ascii="楷体" w:eastAsia="楷体" w:hAnsi="楷体" w:hint="eastAsia"/>
          <w:b/>
          <w:bCs/>
          <w:sz w:val="21"/>
          <w:szCs w:val="21"/>
        </w:rPr>
        <w:t>三季度中外运集运在航线排布上做了哪些调整</w:t>
      </w:r>
      <w:r w:rsidRPr="00FA31C7">
        <w:rPr>
          <w:rFonts w:ascii="楷体" w:eastAsia="楷体" w:hAnsi="楷体" w:hint="eastAsia"/>
          <w:b/>
          <w:bCs/>
          <w:sz w:val="21"/>
          <w:szCs w:val="21"/>
        </w:rPr>
        <w:t>？</w:t>
      </w:r>
      <w:r>
        <w:rPr>
          <w:rFonts w:ascii="楷体" w:eastAsia="楷体" w:hAnsi="楷体" w:hint="eastAsia"/>
          <w:b/>
          <w:bCs/>
          <w:sz w:val="21"/>
          <w:szCs w:val="21"/>
        </w:rPr>
        <w:t>下半年集运公司的盈利贡献是否会明显提升？</w:t>
      </w:r>
      <w:r w:rsidR="00A81384">
        <w:rPr>
          <w:rFonts w:ascii="楷体" w:eastAsia="楷体" w:hAnsi="楷体" w:hint="eastAsia"/>
          <w:b/>
          <w:bCs/>
          <w:sz w:val="21"/>
          <w:szCs w:val="21"/>
        </w:rPr>
        <w:t>未来贸易流向转变对航线布局影响？</w:t>
      </w:r>
    </w:p>
    <w:p w14:paraId="4BCEDCDA" w14:textId="0F1E2388" w:rsidR="00417CBA" w:rsidRPr="009633A7" w:rsidRDefault="00A62F23" w:rsidP="00417CBA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公司</w:t>
      </w:r>
      <w:r w:rsidR="00417CBA" w:rsidRPr="00417CBA">
        <w:rPr>
          <w:rFonts w:ascii="楷体" w:eastAsia="楷体" w:hAnsi="楷体" w:hint="eastAsia"/>
          <w:sz w:val="21"/>
          <w:szCs w:val="21"/>
        </w:rPr>
        <w:t>班轮</w:t>
      </w:r>
      <w:r>
        <w:rPr>
          <w:rFonts w:ascii="楷体" w:eastAsia="楷体" w:hAnsi="楷体" w:hint="eastAsia"/>
          <w:sz w:val="21"/>
          <w:szCs w:val="21"/>
        </w:rPr>
        <w:t>业务</w:t>
      </w:r>
      <w:r w:rsidR="00417CBA" w:rsidRPr="00417CBA">
        <w:rPr>
          <w:rFonts w:ascii="楷体" w:eastAsia="楷体" w:hAnsi="楷体" w:hint="eastAsia"/>
          <w:sz w:val="21"/>
          <w:szCs w:val="21"/>
        </w:rPr>
        <w:t>一季度表现</w:t>
      </w:r>
      <w:r w:rsidR="009633A7">
        <w:rPr>
          <w:rFonts w:ascii="楷体" w:eastAsia="楷体" w:hAnsi="楷体" w:hint="eastAsia"/>
          <w:sz w:val="21"/>
          <w:szCs w:val="21"/>
        </w:rPr>
        <w:t>一般</w:t>
      </w:r>
      <w:r w:rsidR="00417CBA" w:rsidRPr="00417CBA">
        <w:rPr>
          <w:rFonts w:ascii="楷体" w:eastAsia="楷体" w:hAnsi="楷体" w:hint="eastAsia"/>
          <w:sz w:val="21"/>
          <w:szCs w:val="21"/>
        </w:rPr>
        <w:t>，去年同期日本、韩国航线相对处在高位，</w:t>
      </w:r>
      <w:r w:rsidR="00417CBA">
        <w:rPr>
          <w:rFonts w:ascii="楷体" w:eastAsia="楷体" w:hAnsi="楷体" w:hint="eastAsia"/>
          <w:sz w:val="21"/>
          <w:szCs w:val="21"/>
        </w:rPr>
        <w:t>韩国航线出现亏损，日本航线微利；二季度东北亚航线有一些好转，二季度东南亚航线、澳洲航线都受到了红海局势的影响，运价涨幅比较大。去年8月份我们也开了印度东航线，这些航线二季度都已经开始盈利。我们班轮公司业绩走势和干线公司相对不一样。</w:t>
      </w:r>
      <w:r w:rsidR="00417CBA" w:rsidRPr="009633A7">
        <w:rPr>
          <w:rFonts w:ascii="楷体" w:eastAsia="楷体" w:hAnsi="楷体" w:hint="eastAsia"/>
          <w:b/>
          <w:bCs/>
          <w:sz w:val="21"/>
          <w:szCs w:val="21"/>
        </w:rPr>
        <w:t>从7-8月情况来看，</w:t>
      </w:r>
      <w:r>
        <w:rPr>
          <w:rFonts w:ascii="楷体" w:eastAsia="楷体" w:hAnsi="楷体" w:hint="eastAsia"/>
          <w:b/>
          <w:bCs/>
          <w:sz w:val="21"/>
          <w:szCs w:val="21"/>
        </w:rPr>
        <w:t>公司</w:t>
      </w:r>
      <w:r w:rsidR="00417CBA" w:rsidRPr="009633A7">
        <w:rPr>
          <w:rFonts w:ascii="楷体" w:eastAsia="楷体" w:hAnsi="楷体" w:hint="eastAsia"/>
          <w:b/>
          <w:bCs/>
          <w:sz w:val="21"/>
          <w:szCs w:val="21"/>
        </w:rPr>
        <w:t>集运</w:t>
      </w:r>
      <w:r>
        <w:rPr>
          <w:rFonts w:ascii="楷体" w:eastAsia="楷体" w:hAnsi="楷体" w:hint="eastAsia"/>
          <w:b/>
          <w:bCs/>
          <w:sz w:val="21"/>
          <w:szCs w:val="21"/>
        </w:rPr>
        <w:t>业务的表现已经明显好转</w:t>
      </w:r>
      <w:r w:rsidR="00417CBA" w:rsidRPr="009633A7">
        <w:rPr>
          <w:rFonts w:ascii="楷体" w:eastAsia="楷体" w:hAnsi="楷体" w:hint="eastAsia"/>
          <w:b/>
          <w:bCs/>
          <w:sz w:val="21"/>
          <w:szCs w:val="21"/>
        </w:rPr>
        <w:t>。</w:t>
      </w:r>
    </w:p>
    <w:p w14:paraId="508E9533" w14:textId="1F185007" w:rsidR="00A81384" w:rsidRPr="009633A7" w:rsidRDefault="00A81384" w:rsidP="00417CBA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未来东南亚发展机会是比较大的，我们打算提升该航线运力；</w:t>
      </w:r>
      <w:r w:rsidR="00A62F23">
        <w:rPr>
          <w:rFonts w:ascii="楷体" w:eastAsia="楷体" w:hAnsi="楷体" w:hint="eastAsia"/>
          <w:sz w:val="21"/>
          <w:szCs w:val="21"/>
        </w:rPr>
        <w:t>近期</w:t>
      </w:r>
      <w:r>
        <w:rPr>
          <w:rFonts w:ascii="楷体" w:eastAsia="楷体" w:hAnsi="楷体" w:hint="eastAsia"/>
          <w:sz w:val="21"/>
          <w:szCs w:val="21"/>
        </w:rPr>
        <w:t>我们从安通</w:t>
      </w:r>
      <w:r w:rsidR="00A62F23">
        <w:rPr>
          <w:rFonts w:ascii="楷体" w:eastAsia="楷体" w:hAnsi="楷体" w:hint="eastAsia"/>
          <w:sz w:val="21"/>
          <w:szCs w:val="21"/>
        </w:rPr>
        <w:t>、中谷等</w:t>
      </w:r>
      <w:r>
        <w:rPr>
          <w:rFonts w:ascii="楷体" w:eastAsia="楷体" w:hAnsi="楷体" w:hint="eastAsia"/>
          <w:sz w:val="21"/>
          <w:szCs w:val="21"/>
        </w:rPr>
        <w:t>租</w:t>
      </w:r>
      <w:r w:rsidR="00A62F23">
        <w:rPr>
          <w:rFonts w:ascii="楷体" w:eastAsia="楷体" w:hAnsi="楷体" w:hint="eastAsia"/>
          <w:sz w:val="21"/>
          <w:szCs w:val="21"/>
        </w:rPr>
        <w:t>了一些</w:t>
      </w:r>
      <w:r>
        <w:rPr>
          <w:rFonts w:ascii="楷体" w:eastAsia="楷体" w:hAnsi="楷体" w:hint="eastAsia"/>
          <w:sz w:val="21"/>
          <w:szCs w:val="21"/>
        </w:rPr>
        <w:t>船去运营外贸市场。</w:t>
      </w:r>
    </w:p>
    <w:p w14:paraId="16EFFDD3" w14:textId="750BC46D" w:rsidR="00A81384" w:rsidRPr="00417CBA" w:rsidRDefault="00A62F23" w:rsidP="00A81384">
      <w:pPr>
        <w:pStyle w:val="a3"/>
        <w:ind w:left="357" w:firstLineChars="0" w:hanging="357"/>
        <w:rPr>
          <w:rFonts w:ascii="楷体" w:eastAsia="楷体" w:hAnsi="楷体" w:hint="eastAsia"/>
          <w:b/>
          <w:bCs/>
          <w:sz w:val="21"/>
          <w:szCs w:val="21"/>
        </w:rPr>
      </w:pPr>
      <w:r>
        <w:rPr>
          <w:rFonts w:ascii="楷体" w:eastAsia="楷体" w:hAnsi="楷体" w:hint="eastAsia"/>
          <w:b/>
          <w:bCs/>
          <w:sz w:val="21"/>
          <w:szCs w:val="21"/>
        </w:rPr>
        <w:t>7</w:t>
      </w:r>
      <w:r w:rsidR="00A81384" w:rsidRPr="00417CBA">
        <w:rPr>
          <w:rFonts w:ascii="楷体" w:eastAsia="楷体" w:hAnsi="楷体"/>
          <w:b/>
          <w:bCs/>
          <w:sz w:val="21"/>
          <w:szCs w:val="21"/>
        </w:rPr>
        <w:t>、提问招商</w:t>
      </w:r>
      <w:r w:rsidR="00A81384">
        <w:rPr>
          <w:rFonts w:ascii="楷体" w:eastAsia="楷体" w:hAnsi="楷体" w:hint="eastAsia"/>
          <w:b/>
          <w:bCs/>
          <w:sz w:val="21"/>
          <w:szCs w:val="21"/>
        </w:rPr>
        <w:t>轮船</w:t>
      </w:r>
      <w:r w:rsidR="00A81384" w:rsidRPr="00417CBA">
        <w:rPr>
          <w:rFonts w:ascii="楷体" w:eastAsia="楷体" w:hAnsi="楷体"/>
          <w:b/>
          <w:bCs/>
          <w:sz w:val="21"/>
          <w:szCs w:val="21"/>
        </w:rPr>
        <w:t>：</w:t>
      </w:r>
      <w:r w:rsidR="00A81384">
        <w:rPr>
          <w:rFonts w:ascii="楷体" w:eastAsia="楷体" w:hAnsi="楷体" w:hint="eastAsia"/>
          <w:b/>
          <w:bCs/>
          <w:sz w:val="21"/>
          <w:szCs w:val="21"/>
        </w:rPr>
        <w:t>如何看待关于老旧船舶退出的节奏</w:t>
      </w:r>
      <w:r w:rsidR="00A81384" w:rsidRPr="00A81384">
        <w:rPr>
          <w:rFonts w:ascii="楷体" w:eastAsia="楷体" w:hAnsi="楷体" w:hint="eastAsia"/>
          <w:b/>
          <w:bCs/>
          <w:sz w:val="21"/>
          <w:szCs w:val="21"/>
        </w:rPr>
        <w:t>？</w:t>
      </w:r>
    </w:p>
    <w:p w14:paraId="55E335EE" w14:textId="22304B8D" w:rsidR="00417CBA" w:rsidRPr="009633A7" w:rsidRDefault="00A81384" w:rsidP="00417CBA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  <w:r w:rsidRPr="00A81384">
        <w:rPr>
          <w:rFonts w:ascii="楷体" w:eastAsia="楷体" w:hAnsi="楷体"/>
          <w:sz w:val="21"/>
          <w:szCs w:val="21"/>
        </w:rPr>
        <w:t>油轮行业确实面临较为严重的老龄化问题。我们公司的VLCC平均船龄为9.1年，而阿芙拉型油轮的平均船龄为15年。历史上，我们通常在VLCC达到13至15岁时将其出售，阿芙拉型油轮</w:t>
      </w:r>
      <w:r w:rsidR="00A62F23">
        <w:rPr>
          <w:rFonts w:ascii="楷体" w:eastAsia="楷体" w:hAnsi="楷体" w:hint="eastAsia"/>
          <w:sz w:val="21"/>
          <w:szCs w:val="21"/>
        </w:rPr>
        <w:t>也类似</w:t>
      </w:r>
      <w:r w:rsidRPr="00A81384">
        <w:rPr>
          <w:rFonts w:ascii="楷体" w:eastAsia="楷体" w:hAnsi="楷体"/>
          <w:sz w:val="21"/>
          <w:szCs w:val="21"/>
        </w:rPr>
        <w:t>。</w:t>
      </w:r>
      <w:r w:rsidR="00A62F23">
        <w:rPr>
          <w:rFonts w:ascii="楷体" w:eastAsia="楷体" w:hAnsi="楷体" w:hint="eastAsia"/>
          <w:sz w:val="21"/>
          <w:szCs w:val="21"/>
        </w:rPr>
        <w:t>近年</w:t>
      </w:r>
      <w:r w:rsidRPr="00A81384">
        <w:rPr>
          <w:rFonts w:ascii="楷体" w:eastAsia="楷体" w:hAnsi="楷体"/>
          <w:sz w:val="21"/>
          <w:szCs w:val="21"/>
        </w:rPr>
        <w:t>市场运力供给紧张</w:t>
      </w:r>
      <w:r w:rsidR="00A62F23">
        <w:rPr>
          <w:rFonts w:ascii="楷体" w:eastAsia="楷体" w:hAnsi="楷体" w:hint="eastAsia"/>
          <w:sz w:val="21"/>
          <w:szCs w:val="21"/>
        </w:rPr>
        <w:t>，</w:t>
      </w:r>
      <w:r w:rsidRPr="00A81384">
        <w:rPr>
          <w:rFonts w:ascii="楷体" w:eastAsia="楷体" w:hAnsi="楷体"/>
          <w:sz w:val="21"/>
          <w:szCs w:val="21"/>
        </w:rPr>
        <w:t>我们暂时保留了一些老旧船舶，但这些船舶未来仍将面临较高的维护成本和更严格的技术要求，例如在坞修时需要符合最严格的标准。因此，老旧船舶的经济价值和营运能力在未来将逐步下降。尤其是在现货市场运费不高</w:t>
      </w:r>
      <w:r w:rsidR="00A62F23">
        <w:rPr>
          <w:rFonts w:ascii="楷体" w:eastAsia="楷体" w:hAnsi="楷体" w:hint="eastAsia"/>
          <w:sz w:val="21"/>
          <w:szCs w:val="21"/>
        </w:rPr>
        <w:t>收入端没有足够补偿</w:t>
      </w:r>
      <w:r w:rsidRPr="00A81384">
        <w:rPr>
          <w:rFonts w:ascii="楷体" w:eastAsia="楷体" w:hAnsi="楷体"/>
          <w:sz w:val="21"/>
          <w:szCs w:val="21"/>
        </w:rPr>
        <w:t>的情况下，老旧船舶</w:t>
      </w:r>
      <w:r w:rsidRPr="00A81384">
        <w:rPr>
          <w:rFonts w:ascii="楷体" w:eastAsia="楷体" w:hAnsi="楷体" w:hint="eastAsia"/>
          <w:sz w:val="21"/>
          <w:szCs w:val="21"/>
        </w:rPr>
        <w:t>的运营将更加困难。</w:t>
      </w:r>
      <w:r w:rsidRPr="009633A7">
        <w:rPr>
          <w:rFonts w:ascii="楷体" w:eastAsia="楷体" w:hAnsi="楷体" w:hint="eastAsia"/>
          <w:b/>
          <w:bCs/>
          <w:sz w:val="21"/>
          <w:szCs w:val="21"/>
        </w:rPr>
        <w:t>我们预计未来几年，老旧船舶的退出将是一个确定性较高的趋势，虽然当前市场条件延缓了这一进程，但最终这些船舶将不可避免地退出市场。</w:t>
      </w:r>
    </w:p>
    <w:p w14:paraId="1DE08A20" w14:textId="77777777" w:rsidR="00417CBA" w:rsidRPr="00417CBA" w:rsidRDefault="00417CBA" w:rsidP="00417CBA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</w:p>
    <w:p w14:paraId="118E882C" w14:textId="700E2D61" w:rsidR="00843AC1" w:rsidRDefault="00A62F23" w:rsidP="00843AC1">
      <w:pPr>
        <w:pStyle w:val="a3"/>
        <w:ind w:left="357" w:firstLineChars="0" w:hanging="357"/>
        <w:rPr>
          <w:rFonts w:ascii="楷体" w:eastAsia="楷体" w:hAnsi="楷体" w:hint="eastAsia"/>
          <w:b/>
          <w:bCs/>
          <w:sz w:val="21"/>
          <w:szCs w:val="21"/>
        </w:rPr>
      </w:pPr>
      <w:r>
        <w:rPr>
          <w:rFonts w:ascii="楷体" w:eastAsia="楷体" w:hAnsi="楷体" w:hint="eastAsia"/>
          <w:b/>
          <w:bCs/>
          <w:sz w:val="21"/>
          <w:szCs w:val="21"/>
        </w:rPr>
        <w:t>8</w:t>
      </w:r>
      <w:r w:rsidR="00843AC1" w:rsidRPr="00417CBA">
        <w:rPr>
          <w:rFonts w:ascii="楷体" w:eastAsia="楷体" w:hAnsi="楷体"/>
          <w:b/>
          <w:bCs/>
          <w:sz w:val="21"/>
          <w:szCs w:val="21"/>
        </w:rPr>
        <w:t>、</w:t>
      </w:r>
      <w:r w:rsidR="00843AC1">
        <w:rPr>
          <w:rFonts w:ascii="楷体" w:eastAsia="楷体" w:hAnsi="楷体" w:hint="eastAsia"/>
          <w:b/>
          <w:bCs/>
          <w:sz w:val="21"/>
          <w:szCs w:val="21"/>
        </w:rPr>
        <w:t>股东回报相关情况分析：</w:t>
      </w:r>
    </w:p>
    <w:p w14:paraId="3CECD864" w14:textId="1AAF0AC2" w:rsidR="00843AC1" w:rsidRPr="005E1229" w:rsidRDefault="00843AC1" w:rsidP="00843AC1">
      <w:pPr>
        <w:pStyle w:val="a3"/>
        <w:ind w:left="357" w:firstLineChars="0" w:hanging="357"/>
        <w:rPr>
          <w:rFonts w:ascii="楷体" w:eastAsia="楷体" w:hAnsi="楷体" w:hint="eastAsia"/>
          <w:sz w:val="21"/>
          <w:szCs w:val="21"/>
        </w:rPr>
      </w:pPr>
      <w:r>
        <w:rPr>
          <w:rFonts w:ascii="楷体" w:eastAsia="楷体" w:hAnsi="楷体" w:hint="eastAsia"/>
          <w:b/>
          <w:bCs/>
          <w:sz w:val="21"/>
          <w:szCs w:val="21"/>
        </w:rPr>
        <w:t xml:space="preserve">   </w:t>
      </w:r>
      <w:r w:rsidRPr="00843AC1">
        <w:rPr>
          <w:rFonts w:ascii="楷体" w:eastAsia="楷体" w:hAnsi="楷体" w:hint="eastAsia"/>
          <w:sz w:val="21"/>
          <w:szCs w:val="21"/>
        </w:rPr>
        <w:t>过去几年公司经过业务整合，利润规模上了新的台阶，公司业务相对多元，</w:t>
      </w:r>
      <w:r w:rsidR="00A62F23">
        <w:rPr>
          <w:rFonts w:ascii="楷体" w:eastAsia="楷体" w:hAnsi="楷体" w:hint="eastAsia"/>
          <w:sz w:val="21"/>
          <w:szCs w:val="21"/>
        </w:rPr>
        <w:t>盈利稳定性和韧性增强，</w:t>
      </w:r>
      <w:r w:rsidRPr="00843AC1">
        <w:rPr>
          <w:rFonts w:ascii="楷体" w:eastAsia="楷体" w:hAnsi="楷体" w:hint="eastAsia"/>
          <w:sz w:val="21"/>
          <w:szCs w:val="21"/>
        </w:rPr>
        <w:t>整体业绩波动在航运板块中较小。20</w:t>
      </w:r>
      <w:r w:rsidR="00A62F23">
        <w:rPr>
          <w:rFonts w:ascii="楷体" w:eastAsia="楷体" w:hAnsi="楷体" w:hint="eastAsia"/>
          <w:sz w:val="21"/>
          <w:szCs w:val="21"/>
        </w:rPr>
        <w:t>0</w:t>
      </w:r>
      <w:r w:rsidRPr="00843AC1">
        <w:rPr>
          <w:rFonts w:ascii="楷体" w:eastAsia="楷体" w:hAnsi="楷体" w:hint="eastAsia"/>
          <w:sz w:val="21"/>
          <w:szCs w:val="21"/>
        </w:rPr>
        <w:t>7年以来现金分红</w:t>
      </w:r>
      <w:r>
        <w:rPr>
          <w:rFonts w:ascii="楷体" w:eastAsia="楷体" w:hAnsi="楷体" w:hint="eastAsia"/>
          <w:sz w:val="21"/>
          <w:szCs w:val="21"/>
        </w:rPr>
        <w:t>比例</w:t>
      </w:r>
      <w:r w:rsidR="00A62F23">
        <w:rPr>
          <w:rFonts w:ascii="楷体" w:eastAsia="楷体" w:hAnsi="楷体" w:hint="eastAsia"/>
          <w:sz w:val="21"/>
          <w:szCs w:val="21"/>
        </w:rPr>
        <w:t>基本</w:t>
      </w:r>
      <w:r w:rsidRPr="00843AC1">
        <w:rPr>
          <w:rFonts w:ascii="楷体" w:eastAsia="楷体" w:hAnsi="楷体" w:hint="eastAsia"/>
          <w:sz w:val="21"/>
          <w:szCs w:val="21"/>
        </w:rPr>
        <w:t>是30%，去年提升到40%，这也是国资委提倡的，也是符合资本市场诉求的。今年也增加了中期分红，同时也公布了24-26年的分红规划。但公司26年以后也会进入到资本开支相对高峰的阶段。董事会同意我们维持40%的分红比例，</w:t>
      </w:r>
      <w:r w:rsidR="00A62F23">
        <w:rPr>
          <w:rFonts w:ascii="楷体" w:eastAsia="楷体" w:hAnsi="楷体" w:hint="eastAsia"/>
          <w:sz w:val="21"/>
          <w:szCs w:val="21"/>
        </w:rPr>
        <w:t>同时授权</w:t>
      </w:r>
      <w:r w:rsidRPr="00843AC1">
        <w:rPr>
          <w:rFonts w:ascii="楷体" w:eastAsia="楷体" w:hAnsi="楷体" w:hint="eastAsia"/>
          <w:sz w:val="21"/>
          <w:szCs w:val="21"/>
        </w:rPr>
        <w:t>在适当的时候通过回购的方法提升股东回报。</w:t>
      </w:r>
      <w:r w:rsidRPr="00A62F23">
        <w:rPr>
          <w:rFonts w:ascii="楷体" w:eastAsia="楷体" w:hAnsi="楷体" w:hint="eastAsia"/>
          <w:sz w:val="21"/>
          <w:szCs w:val="21"/>
        </w:rPr>
        <w:t>我们希望以持续稳定的现金分红，</w:t>
      </w:r>
      <w:r w:rsidR="00A62F23" w:rsidRPr="00A62F23">
        <w:rPr>
          <w:rFonts w:ascii="楷体" w:eastAsia="楷体" w:hAnsi="楷体" w:hint="eastAsia"/>
          <w:sz w:val="21"/>
          <w:szCs w:val="21"/>
        </w:rPr>
        <w:t>以及必要时</w:t>
      </w:r>
      <w:r w:rsidRPr="00A62F23">
        <w:rPr>
          <w:rFonts w:ascii="楷体" w:eastAsia="楷体" w:hAnsi="楷体" w:hint="eastAsia"/>
          <w:sz w:val="21"/>
          <w:szCs w:val="21"/>
        </w:rPr>
        <w:t>可能的回购，给大家带来比较好的持股体验</w:t>
      </w:r>
      <w:r w:rsidR="00A62F23">
        <w:rPr>
          <w:rFonts w:ascii="楷体" w:eastAsia="楷体" w:hAnsi="楷体" w:hint="eastAsia"/>
          <w:sz w:val="21"/>
          <w:szCs w:val="21"/>
        </w:rPr>
        <w:t>，给长期投资者带来稳定的回报</w:t>
      </w:r>
      <w:r w:rsidRPr="00A62F23">
        <w:rPr>
          <w:rFonts w:ascii="楷体" w:eastAsia="楷体" w:hAnsi="楷体" w:hint="eastAsia"/>
          <w:sz w:val="21"/>
          <w:szCs w:val="21"/>
        </w:rPr>
        <w:t>。</w:t>
      </w:r>
    </w:p>
    <w:p w14:paraId="48A019C9" w14:textId="77777777" w:rsidR="00843AC1" w:rsidRPr="00417CBA" w:rsidRDefault="00843AC1" w:rsidP="00843AC1">
      <w:pPr>
        <w:pStyle w:val="a3"/>
        <w:ind w:left="357" w:firstLineChars="0" w:hanging="357"/>
        <w:rPr>
          <w:rFonts w:ascii="楷体" w:eastAsia="楷体" w:hAnsi="楷体" w:hint="eastAsia"/>
          <w:b/>
          <w:bCs/>
          <w:sz w:val="21"/>
          <w:szCs w:val="21"/>
        </w:rPr>
      </w:pPr>
    </w:p>
    <w:p w14:paraId="747861FD" w14:textId="77777777" w:rsidR="00417CBA" w:rsidRPr="00843AC1" w:rsidRDefault="00417CBA" w:rsidP="00843AC1">
      <w:pPr>
        <w:pStyle w:val="a3"/>
        <w:ind w:left="360" w:firstLineChars="0" w:hanging="357"/>
        <w:rPr>
          <w:rFonts w:ascii="楷体" w:eastAsia="楷体" w:hAnsi="楷体" w:hint="eastAsia"/>
          <w:b/>
          <w:bCs/>
          <w:sz w:val="21"/>
          <w:szCs w:val="21"/>
        </w:rPr>
      </w:pPr>
    </w:p>
    <w:p w14:paraId="3B847FD5" w14:textId="77777777" w:rsidR="00417CBA" w:rsidRDefault="00417CBA" w:rsidP="00843AC1">
      <w:pPr>
        <w:pStyle w:val="a3"/>
        <w:ind w:left="360" w:firstLineChars="0" w:hanging="357"/>
        <w:rPr>
          <w:rFonts w:ascii="楷体" w:eastAsia="楷体" w:hAnsi="楷体" w:hint="eastAsia"/>
          <w:b/>
          <w:bCs/>
          <w:sz w:val="21"/>
          <w:szCs w:val="21"/>
        </w:rPr>
      </w:pPr>
    </w:p>
    <w:p w14:paraId="0B71AD43" w14:textId="77777777" w:rsidR="00417CBA" w:rsidRPr="00417CBA" w:rsidRDefault="00417CBA" w:rsidP="00843AC1">
      <w:pPr>
        <w:ind w:hanging="357"/>
        <w:rPr>
          <w:rFonts w:ascii="楷体" w:eastAsia="楷体" w:hAnsi="楷体" w:hint="eastAsia"/>
          <w:b/>
          <w:bCs/>
          <w:sz w:val="21"/>
          <w:szCs w:val="21"/>
        </w:rPr>
      </w:pPr>
    </w:p>
    <w:p w14:paraId="5802E6BD" w14:textId="77777777" w:rsidR="00FA31C7" w:rsidRPr="00417CBA" w:rsidRDefault="00FA31C7" w:rsidP="00FA31C7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</w:p>
    <w:p w14:paraId="6F24617C" w14:textId="77777777" w:rsidR="00FA31C7" w:rsidRPr="00FA31C7" w:rsidRDefault="00FA31C7" w:rsidP="00FA31C7">
      <w:pPr>
        <w:pStyle w:val="a3"/>
        <w:ind w:left="360" w:firstLineChars="0" w:firstLine="0"/>
        <w:rPr>
          <w:rFonts w:ascii="楷体" w:eastAsia="楷体" w:hAnsi="楷体" w:hint="eastAsia"/>
          <w:b/>
          <w:bCs/>
          <w:sz w:val="21"/>
          <w:szCs w:val="21"/>
        </w:rPr>
      </w:pPr>
    </w:p>
    <w:p w14:paraId="7ABFF823" w14:textId="77777777" w:rsidR="00DF2E7B" w:rsidRPr="00FA31C7" w:rsidRDefault="00DF2E7B" w:rsidP="00DF2E7B">
      <w:pPr>
        <w:rPr>
          <w:rFonts w:ascii="楷体" w:eastAsia="楷体" w:hAnsi="楷体" w:hint="eastAsia"/>
          <w:sz w:val="21"/>
          <w:szCs w:val="21"/>
        </w:rPr>
      </w:pPr>
    </w:p>
    <w:p w14:paraId="2CF481ED" w14:textId="77777777" w:rsidR="00DF2E7B" w:rsidRPr="00DF2E7B" w:rsidRDefault="00DF2E7B" w:rsidP="0060711B">
      <w:pPr>
        <w:pStyle w:val="a3"/>
        <w:ind w:left="360" w:firstLineChars="0" w:firstLine="0"/>
        <w:rPr>
          <w:rFonts w:ascii="楷体" w:eastAsia="楷体" w:hAnsi="楷体" w:hint="eastAsia"/>
          <w:sz w:val="21"/>
          <w:szCs w:val="21"/>
        </w:rPr>
      </w:pPr>
    </w:p>
    <w:sectPr w:rsidR="00DF2E7B" w:rsidRPr="00DF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2A31" w14:textId="77777777" w:rsidR="009B5388" w:rsidRDefault="009B5388" w:rsidP="009B53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0700A5" w14:textId="77777777" w:rsidR="009B5388" w:rsidRDefault="009B5388" w:rsidP="009B53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0C8F5" w14:textId="77777777" w:rsidR="009B5388" w:rsidRDefault="009B5388" w:rsidP="009B53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82AB2D" w14:textId="77777777" w:rsidR="009B5388" w:rsidRDefault="009B5388" w:rsidP="009B53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20F39"/>
    <w:multiLevelType w:val="hybridMultilevel"/>
    <w:tmpl w:val="8AF69756"/>
    <w:lvl w:ilvl="0" w:tplc="A828A6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9672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7"/>
    <w:rsid w:val="00004343"/>
    <w:rsid w:val="00011786"/>
    <w:rsid w:val="00012A05"/>
    <w:rsid w:val="00020871"/>
    <w:rsid w:val="00022DEC"/>
    <w:rsid w:val="000252AD"/>
    <w:rsid w:val="00044B07"/>
    <w:rsid w:val="000544B0"/>
    <w:rsid w:val="00073AC7"/>
    <w:rsid w:val="000C6089"/>
    <w:rsid w:val="000D1943"/>
    <w:rsid w:val="000D407B"/>
    <w:rsid w:val="000E709A"/>
    <w:rsid w:val="000F0FB5"/>
    <w:rsid w:val="000F4ED8"/>
    <w:rsid w:val="001068CE"/>
    <w:rsid w:val="00106DED"/>
    <w:rsid w:val="00124AAC"/>
    <w:rsid w:val="00152808"/>
    <w:rsid w:val="00154B18"/>
    <w:rsid w:val="00156D21"/>
    <w:rsid w:val="00172B27"/>
    <w:rsid w:val="001763F4"/>
    <w:rsid w:val="001A2351"/>
    <w:rsid w:val="001B7AD0"/>
    <w:rsid w:val="001C6DC7"/>
    <w:rsid w:val="001D3FEE"/>
    <w:rsid w:val="001D7FAB"/>
    <w:rsid w:val="001F0E2B"/>
    <w:rsid w:val="001F6A77"/>
    <w:rsid w:val="002075AD"/>
    <w:rsid w:val="00215238"/>
    <w:rsid w:val="002227F1"/>
    <w:rsid w:val="002612E0"/>
    <w:rsid w:val="002737DF"/>
    <w:rsid w:val="00291280"/>
    <w:rsid w:val="002A04C5"/>
    <w:rsid w:val="002A490D"/>
    <w:rsid w:val="002A6545"/>
    <w:rsid w:val="002C145D"/>
    <w:rsid w:val="002E2272"/>
    <w:rsid w:val="002F013E"/>
    <w:rsid w:val="002F6337"/>
    <w:rsid w:val="002F6921"/>
    <w:rsid w:val="00320AFD"/>
    <w:rsid w:val="003220E0"/>
    <w:rsid w:val="003504F4"/>
    <w:rsid w:val="003623B0"/>
    <w:rsid w:val="003B2ADD"/>
    <w:rsid w:val="003B7381"/>
    <w:rsid w:val="003E00CA"/>
    <w:rsid w:val="003F0227"/>
    <w:rsid w:val="003F3402"/>
    <w:rsid w:val="00417CBA"/>
    <w:rsid w:val="004209B7"/>
    <w:rsid w:val="004404E3"/>
    <w:rsid w:val="00460509"/>
    <w:rsid w:val="00461AE2"/>
    <w:rsid w:val="004669F3"/>
    <w:rsid w:val="00466D09"/>
    <w:rsid w:val="004775BB"/>
    <w:rsid w:val="004A65C9"/>
    <w:rsid w:val="004C374F"/>
    <w:rsid w:val="004C4060"/>
    <w:rsid w:val="004D2043"/>
    <w:rsid w:val="004D2068"/>
    <w:rsid w:val="004D4679"/>
    <w:rsid w:val="004F1C69"/>
    <w:rsid w:val="00503B29"/>
    <w:rsid w:val="00510F11"/>
    <w:rsid w:val="005547F5"/>
    <w:rsid w:val="00582112"/>
    <w:rsid w:val="0059475B"/>
    <w:rsid w:val="0059481D"/>
    <w:rsid w:val="00597AA4"/>
    <w:rsid w:val="005B6504"/>
    <w:rsid w:val="005E01D9"/>
    <w:rsid w:val="005E1229"/>
    <w:rsid w:val="005E42B2"/>
    <w:rsid w:val="005F1366"/>
    <w:rsid w:val="005F7733"/>
    <w:rsid w:val="0060711B"/>
    <w:rsid w:val="00620671"/>
    <w:rsid w:val="0062095A"/>
    <w:rsid w:val="00630581"/>
    <w:rsid w:val="00632985"/>
    <w:rsid w:val="0065750C"/>
    <w:rsid w:val="006A40A0"/>
    <w:rsid w:val="006B6CA0"/>
    <w:rsid w:val="006C5AA1"/>
    <w:rsid w:val="006C73FF"/>
    <w:rsid w:val="006F4938"/>
    <w:rsid w:val="00705282"/>
    <w:rsid w:val="00705DC0"/>
    <w:rsid w:val="0070716A"/>
    <w:rsid w:val="00707C0A"/>
    <w:rsid w:val="00722F9E"/>
    <w:rsid w:val="00726539"/>
    <w:rsid w:val="00727495"/>
    <w:rsid w:val="00727F1D"/>
    <w:rsid w:val="0073438C"/>
    <w:rsid w:val="00745B5A"/>
    <w:rsid w:val="00750823"/>
    <w:rsid w:val="007A205D"/>
    <w:rsid w:val="007C0275"/>
    <w:rsid w:val="007C323C"/>
    <w:rsid w:val="00806816"/>
    <w:rsid w:val="00807619"/>
    <w:rsid w:val="00814303"/>
    <w:rsid w:val="00814331"/>
    <w:rsid w:val="0081460F"/>
    <w:rsid w:val="00822B54"/>
    <w:rsid w:val="00836599"/>
    <w:rsid w:val="00836C2B"/>
    <w:rsid w:val="0083797E"/>
    <w:rsid w:val="00843AC1"/>
    <w:rsid w:val="00846BD3"/>
    <w:rsid w:val="00863656"/>
    <w:rsid w:val="008858EF"/>
    <w:rsid w:val="00885B96"/>
    <w:rsid w:val="00892CD9"/>
    <w:rsid w:val="008A6A71"/>
    <w:rsid w:val="008C06B6"/>
    <w:rsid w:val="008C2416"/>
    <w:rsid w:val="008D07D0"/>
    <w:rsid w:val="008E6C04"/>
    <w:rsid w:val="009042A7"/>
    <w:rsid w:val="00906569"/>
    <w:rsid w:val="00911B7F"/>
    <w:rsid w:val="0091406B"/>
    <w:rsid w:val="0092079B"/>
    <w:rsid w:val="00934262"/>
    <w:rsid w:val="0094682B"/>
    <w:rsid w:val="009633A7"/>
    <w:rsid w:val="009634A2"/>
    <w:rsid w:val="00980940"/>
    <w:rsid w:val="009863BB"/>
    <w:rsid w:val="009B50E8"/>
    <w:rsid w:val="009B5388"/>
    <w:rsid w:val="009C7118"/>
    <w:rsid w:val="009D2884"/>
    <w:rsid w:val="009D7F70"/>
    <w:rsid w:val="009E22AA"/>
    <w:rsid w:val="009E2EFD"/>
    <w:rsid w:val="009E5662"/>
    <w:rsid w:val="009F22B5"/>
    <w:rsid w:val="009F3C10"/>
    <w:rsid w:val="009F71CB"/>
    <w:rsid w:val="00A04401"/>
    <w:rsid w:val="00A05BC5"/>
    <w:rsid w:val="00A142BA"/>
    <w:rsid w:val="00A162A0"/>
    <w:rsid w:val="00A21781"/>
    <w:rsid w:val="00A26052"/>
    <w:rsid w:val="00A26913"/>
    <w:rsid w:val="00A26949"/>
    <w:rsid w:val="00A27CA4"/>
    <w:rsid w:val="00A51556"/>
    <w:rsid w:val="00A53DF3"/>
    <w:rsid w:val="00A62F23"/>
    <w:rsid w:val="00A71C17"/>
    <w:rsid w:val="00A73CDC"/>
    <w:rsid w:val="00A77704"/>
    <w:rsid w:val="00A81384"/>
    <w:rsid w:val="00AB3A47"/>
    <w:rsid w:val="00AB733C"/>
    <w:rsid w:val="00AD5333"/>
    <w:rsid w:val="00AF19C8"/>
    <w:rsid w:val="00AF26A4"/>
    <w:rsid w:val="00B116A2"/>
    <w:rsid w:val="00B17834"/>
    <w:rsid w:val="00B46DC8"/>
    <w:rsid w:val="00B536D9"/>
    <w:rsid w:val="00B72E00"/>
    <w:rsid w:val="00BA0B74"/>
    <w:rsid w:val="00BA4138"/>
    <w:rsid w:val="00BC03EB"/>
    <w:rsid w:val="00BE15BE"/>
    <w:rsid w:val="00BE2C37"/>
    <w:rsid w:val="00C1024C"/>
    <w:rsid w:val="00C13EFE"/>
    <w:rsid w:val="00C26E62"/>
    <w:rsid w:val="00C30D1E"/>
    <w:rsid w:val="00C351FD"/>
    <w:rsid w:val="00C361C1"/>
    <w:rsid w:val="00C5401B"/>
    <w:rsid w:val="00C6533A"/>
    <w:rsid w:val="00C6597A"/>
    <w:rsid w:val="00C77D2C"/>
    <w:rsid w:val="00C82BFC"/>
    <w:rsid w:val="00C958E2"/>
    <w:rsid w:val="00CA1A60"/>
    <w:rsid w:val="00CA4FC5"/>
    <w:rsid w:val="00CC77AA"/>
    <w:rsid w:val="00CD3361"/>
    <w:rsid w:val="00CD3B7C"/>
    <w:rsid w:val="00CE4004"/>
    <w:rsid w:val="00CF0B1A"/>
    <w:rsid w:val="00CF589A"/>
    <w:rsid w:val="00CF6819"/>
    <w:rsid w:val="00D25661"/>
    <w:rsid w:val="00D25911"/>
    <w:rsid w:val="00D35D13"/>
    <w:rsid w:val="00D52C78"/>
    <w:rsid w:val="00D54E82"/>
    <w:rsid w:val="00D65C9C"/>
    <w:rsid w:val="00D83A5D"/>
    <w:rsid w:val="00D9109B"/>
    <w:rsid w:val="00D921B7"/>
    <w:rsid w:val="00DE2B63"/>
    <w:rsid w:val="00DF2E7B"/>
    <w:rsid w:val="00DF75B5"/>
    <w:rsid w:val="00E02F2A"/>
    <w:rsid w:val="00E15B8F"/>
    <w:rsid w:val="00E26485"/>
    <w:rsid w:val="00E42994"/>
    <w:rsid w:val="00E44686"/>
    <w:rsid w:val="00E71505"/>
    <w:rsid w:val="00E907F5"/>
    <w:rsid w:val="00E95510"/>
    <w:rsid w:val="00EA4E69"/>
    <w:rsid w:val="00EE064C"/>
    <w:rsid w:val="00EE10B1"/>
    <w:rsid w:val="00F6700B"/>
    <w:rsid w:val="00F80CA7"/>
    <w:rsid w:val="00F81D92"/>
    <w:rsid w:val="00F846D5"/>
    <w:rsid w:val="00FA1B04"/>
    <w:rsid w:val="00FA2C76"/>
    <w:rsid w:val="00FA31C7"/>
    <w:rsid w:val="00FA42A2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037E27"/>
  <w15:chartTrackingRefBased/>
  <w15:docId w15:val="{6C8FA99C-C2AE-4F87-8263-ED7825D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C37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9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B53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538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53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5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欣晨 肖</dc:creator>
  <cp:keywords/>
  <dc:description/>
  <cp:lastModifiedBy>娟 赵</cp:lastModifiedBy>
  <cp:revision>6</cp:revision>
  <dcterms:created xsi:type="dcterms:W3CDTF">2024-09-06T05:39:00Z</dcterms:created>
  <dcterms:modified xsi:type="dcterms:W3CDTF">2024-09-06T06:39:00Z</dcterms:modified>
</cp:coreProperties>
</file>