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ind w:firstLine="480" w:firstLineChars="200"/>
        <w:rPr>
          <w:rFonts w:hint="eastAsia"/>
        </w:rPr>
      </w:pPr>
      <w:bookmarkStart w:id="0" w:name="_GoBack"/>
      <w:bookmarkEnd w:id="0"/>
      <w:r>
        <w:rPr>
          <w:rFonts w:hint="eastAsia"/>
        </w:rPr>
        <w:t>证券代码：</w:t>
      </w:r>
      <w:r>
        <w:rPr>
          <w:rFonts w:hint="eastAsia"/>
          <w:b/>
        </w:rPr>
        <w:t>6</w:t>
      </w:r>
      <w:r>
        <w:rPr>
          <w:b/>
        </w:rPr>
        <w:t>00941</w:t>
      </w:r>
      <w:r>
        <w:rPr>
          <w:rFonts w:hint="eastAsia"/>
        </w:rPr>
        <w:t xml:space="preserve">                          证券简称：</w:t>
      </w:r>
      <w:r>
        <w:rPr>
          <w:rFonts w:hint="eastAsia"/>
          <w:b/>
        </w:rPr>
        <w:t>中国移动</w:t>
      </w:r>
    </w:p>
    <w:p>
      <w:pPr>
        <w:pStyle w:val="6"/>
        <w:spacing w:before="0" w:beforeAutospacing="0" w:after="0" w:afterAutospacing="0" w:line="360" w:lineRule="auto"/>
        <w:jc w:val="center"/>
        <w:rPr>
          <w:rFonts w:hint="eastAsia"/>
          <w:b/>
        </w:rPr>
      </w:pPr>
      <w:r>
        <w:rPr>
          <w:rFonts w:hint="eastAsia"/>
          <w:b/>
        </w:rPr>
        <w:t>中国移动有限公司投资者关系活动记录表</w:t>
      </w:r>
    </w:p>
    <w:p>
      <w:pPr>
        <w:pStyle w:val="6"/>
        <w:spacing w:before="0" w:beforeAutospacing="0" w:after="0" w:afterAutospacing="0" w:line="360" w:lineRule="auto"/>
        <w:ind w:firstLine="480" w:firstLineChars="200"/>
        <w:jc w:val="right"/>
        <w:rPr>
          <w:rFonts w:hint="eastAsia"/>
        </w:rPr>
      </w:pPr>
      <w:r>
        <w:rPr>
          <w:rFonts w:hint="eastAsia"/>
        </w:rPr>
        <w:t>编号：2024-005</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rPr>
                <w:rFonts w:hint="eastAsia"/>
              </w:rPr>
            </w:pPr>
            <w:r>
              <w:rPr>
                <w:rFonts w:hint="eastAsia"/>
              </w:rPr>
              <w:t>投资者关系活动类别</w:t>
            </w:r>
          </w:p>
        </w:tc>
        <w:tc>
          <w:tcPr>
            <w:tcW w:w="6600" w:type="dxa"/>
          </w:tcPr>
          <w:p>
            <w:pPr>
              <w:pStyle w:val="6"/>
              <w:spacing w:line="360" w:lineRule="auto"/>
              <w:rPr>
                <w:rFonts w:hint="eastAsia"/>
              </w:rPr>
            </w:pPr>
            <w:r>
              <w:rPr>
                <w:rFonts w:hint="eastAsia"/>
              </w:rPr>
              <w:t xml:space="preserve">□特定对象调研 </w:t>
            </w:r>
            <w:r>
              <w:rPr/>
              <w:sym w:font="Wingdings 2" w:char="F052"/>
            </w:r>
            <w:r>
              <w:rPr>
                <w:rFonts w:hint="eastAsia"/>
              </w:rPr>
              <w:t xml:space="preserve">分析师会议 </w:t>
            </w:r>
            <w:r>
              <w:rPr>
                <w:rFonts w:hint="eastAsia"/>
              </w:rPr>
              <w:sym w:font="Wingdings 2" w:char="00A3"/>
            </w:r>
            <w:r>
              <w:rPr>
                <w:rFonts w:hint="eastAsia"/>
              </w:rPr>
              <w:t xml:space="preserve">媒体采访 </w:t>
            </w:r>
            <w:r>
              <w:rPr>
                <w:rFonts w:hint="eastAsia"/>
              </w:rPr>
              <w:sym w:font="Wingdings 2" w:char="0052"/>
            </w:r>
            <w:r>
              <w:rPr>
                <w:rFonts w:hint="eastAsia"/>
              </w:rPr>
              <w:t>业绩说明会</w:t>
            </w:r>
          </w:p>
          <w:p>
            <w:pPr>
              <w:pStyle w:val="6"/>
              <w:spacing w:line="360" w:lineRule="auto"/>
              <w:rPr>
                <w:rFonts w:hint="eastAsia"/>
              </w:rPr>
            </w:pPr>
            <w:r>
              <w:rPr>
                <w:rFonts w:hint="eastAsia"/>
              </w:rPr>
              <w:t>□新闻发布会 □路演活动 □现场参观</w:t>
            </w:r>
          </w:p>
          <w:p>
            <w:pPr>
              <w:pStyle w:val="6"/>
              <w:spacing w:before="0" w:beforeAutospacing="0" w:after="0" w:afterAutospacing="0" w:line="360" w:lineRule="auto"/>
              <w:rPr>
                <w:rFonts w:hint="eastAsia"/>
              </w:rPr>
            </w:pPr>
            <w:r>
              <w:rPr>
                <w:rFonts w:hint="eastAsia"/>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96" w:type="dxa"/>
          </w:tcPr>
          <w:p>
            <w:pPr>
              <w:pStyle w:val="6"/>
              <w:spacing w:before="0" w:beforeAutospacing="0" w:after="0" w:afterAutospacing="0" w:line="360" w:lineRule="auto"/>
              <w:rPr>
                <w:rFonts w:hint="eastAsia"/>
              </w:rPr>
            </w:pPr>
            <w:r>
              <w:rPr>
                <w:rFonts w:hint="eastAsia"/>
              </w:rPr>
              <w:t>参与单位名称及人员姓名</w:t>
            </w:r>
          </w:p>
        </w:tc>
        <w:tc>
          <w:tcPr>
            <w:tcW w:w="6600" w:type="dxa"/>
          </w:tcPr>
          <w:p>
            <w:pPr>
              <w:pStyle w:val="6"/>
              <w:spacing w:line="360" w:lineRule="auto"/>
              <w:rPr>
                <w:rFonts w:hint="eastAsia"/>
              </w:rPr>
            </w:pPr>
            <w:r>
              <w:rPr>
                <w:rFonts w:hint="eastAsia"/>
              </w:rPr>
              <w:t>中金公司、中银国际、广发证券、招商证券、中信证券、摩根士丹利、摩根大通、富瑞证券、瑞银证券、花旗证券等机构共77人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rPr>
                <w:rFonts w:hint="eastAsia"/>
              </w:rPr>
            </w:pPr>
            <w:r>
              <w:rPr>
                <w:rFonts w:hint="eastAsia"/>
              </w:rPr>
              <w:t>时间</w:t>
            </w:r>
          </w:p>
        </w:tc>
        <w:tc>
          <w:tcPr>
            <w:tcW w:w="6600" w:type="dxa"/>
          </w:tcPr>
          <w:p>
            <w:pPr>
              <w:pStyle w:val="6"/>
              <w:spacing w:before="0" w:beforeAutospacing="0" w:after="0" w:afterAutospacing="0" w:line="360" w:lineRule="auto"/>
              <w:rPr>
                <w:rFonts w:hint="eastAsia"/>
              </w:rPr>
            </w:pPr>
            <w:r>
              <w:rPr>
                <w:rFonts w:hint="eastAsia"/>
              </w:rPr>
              <w:t>2</w:t>
            </w:r>
            <w:r>
              <w:t>02</w:t>
            </w:r>
            <w:r>
              <w:rPr>
                <w:rFonts w:hint="eastAsia"/>
              </w:rPr>
              <w:t>4年8月8日 19：0</w:t>
            </w:r>
            <w:r>
              <w:t>0-2</w:t>
            </w:r>
            <w:r>
              <w:rPr>
                <w:rFonts w:hint="eastAsi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rPr>
                <w:rFonts w:hint="eastAsia"/>
              </w:rPr>
            </w:pPr>
            <w:r>
              <w:rPr>
                <w:rFonts w:hint="eastAsia"/>
              </w:rPr>
              <w:t>地点</w:t>
            </w:r>
          </w:p>
        </w:tc>
        <w:tc>
          <w:tcPr>
            <w:tcW w:w="6600" w:type="dxa"/>
          </w:tcPr>
          <w:p>
            <w:pPr>
              <w:pStyle w:val="6"/>
              <w:spacing w:before="0" w:beforeAutospacing="0" w:after="0" w:afterAutospacing="0" w:line="360" w:lineRule="auto"/>
              <w:rPr>
                <w:rFonts w:hint="eastAsia"/>
              </w:rPr>
            </w:pPr>
            <w:r>
              <w:rPr>
                <w:rFonts w:hint="eastAsia"/>
              </w:rPr>
              <w:t>中国香港（现场交流+上证路演中心网络直播）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696" w:type="dxa"/>
          </w:tcPr>
          <w:p>
            <w:pPr>
              <w:pStyle w:val="6"/>
              <w:spacing w:before="0" w:beforeAutospacing="0" w:after="0" w:afterAutospacing="0" w:line="360" w:lineRule="auto"/>
              <w:rPr>
                <w:rFonts w:hint="eastAsia"/>
              </w:rPr>
            </w:pPr>
            <w:r>
              <w:rPr>
                <w:rFonts w:hint="eastAsia"/>
              </w:rPr>
              <w:t>上市公司接待人员姓名</w:t>
            </w:r>
          </w:p>
        </w:tc>
        <w:tc>
          <w:tcPr>
            <w:tcW w:w="6600" w:type="dxa"/>
          </w:tcPr>
          <w:p>
            <w:pPr>
              <w:pStyle w:val="6"/>
              <w:spacing w:before="0" w:beforeAutospacing="0" w:after="0" w:afterAutospacing="0" w:line="360" w:lineRule="auto"/>
              <w:rPr>
                <w:rFonts w:hint="eastAsia"/>
              </w:rPr>
            </w:pPr>
            <w:r>
              <w:rPr>
                <w:rFonts w:hint="eastAsia"/>
              </w:rPr>
              <w:t>中国移动执行董事兼董事长杨杰、执行董事兼首席执行官何飚、执行董事李丕征、执行董事兼财务总监李荣华、副总经理孙迎新、副总经理张冬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1696" w:type="dxa"/>
          </w:tcPr>
          <w:p>
            <w:pPr>
              <w:pStyle w:val="6"/>
              <w:spacing w:before="0" w:beforeAutospacing="0" w:after="0" w:afterAutospacing="0" w:line="360" w:lineRule="auto"/>
              <w:rPr>
                <w:rFonts w:hint="eastAsia"/>
              </w:rPr>
            </w:pPr>
            <w:r>
              <w:rPr>
                <w:rFonts w:hint="eastAsia"/>
              </w:rPr>
              <w:t>投资者关系活动主要内容介绍</w:t>
            </w:r>
          </w:p>
        </w:tc>
        <w:tc>
          <w:tcPr>
            <w:tcW w:w="6600" w:type="dxa"/>
          </w:tcPr>
          <w:p>
            <w:pPr>
              <w:pStyle w:val="6"/>
              <w:spacing w:before="0" w:beforeAutospacing="0" w:after="0" w:afterAutospacing="0" w:line="360" w:lineRule="auto"/>
              <w:ind w:firstLine="480" w:firstLineChars="200"/>
              <w:rPr>
                <w:rFonts w:hint="eastAsia"/>
              </w:rPr>
            </w:pPr>
            <w:r>
              <w:rPr>
                <w:rFonts w:hint="eastAsia"/>
              </w:rPr>
              <w:t>问答环节主要内容（以下内容中相关财务数据均为国际财务报告准则下数据，相关详情可参考公司于联交所网站或本公司官方网站发布的港股业绩公告、业绩推介材料等文件）：</w:t>
            </w:r>
          </w:p>
          <w:p>
            <w:pPr>
              <w:pStyle w:val="6"/>
              <w:numPr>
                <w:ilvl w:val="255"/>
                <w:numId w:val="0"/>
              </w:numPr>
              <w:spacing w:before="0" w:beforeAutospacing="0" w:after="0" w:afterAutospacing="0" w:line="360" w:lineRule="auto"/>
              <w:ind w:firstLine="482" w:firstLineChars="200"/>
              <w:rPr>
                <w:rFonts w:hint="eastAsia"/>
                <w:b/>
              </w:rPr>
            </w:pPr>
            <w:r>
              <w:rPr>
                <w:rFonts w:hint="eastAsia"/>
                <w:b/>
              </w:rPr>
              <w:t>1.公司指引下半年会在上半年的基础上努力实现收入增速稳步提升、利润良好增长。请问管理层下半年会有哪些举措实现以上目标？</w:t>
            </w:r>
          </w:p>
          <w:p>
            <w:pPr>
              <w:pStyle w:val="6"/>
              <w:spacing w:before="0" w:beforeAutospacing="0" w:after="0" w:afterAutospacing="0" w:line="360" w:lineRule="auto"/>
              <w:ind w:firstLine="480" w:firstLineChars="200"/>
              <w:rPr>
                <w:rFonts w:hint="eastAsia"/>
              </w:rPr>
            </w:pPr>
            <w:r>
              <w:rPr>
                <w:rFonts w:hint="eastAsia"/>
              </w:rPr>
              <w:t>上半年营运收入增长3.0%、净利润增长</w:t>
            </w:r>
            <w:r>
              <w:t>5.3%</w:t>
            </w:r>
            <w:r>
              <w:rPr>
                <w:rFonts w:hint="eastAsia"/>
              </w:rPr>
              <w:t>，收入增幅有所放缓，主要是以下原因：一是全球外部环境变化的传导效应，二是目前处于新旧动能的转换期。近年来公司坚持基于规模的价值经营，CHBN融合发展、全向发力，收入、利润均实现良好增长。</w:t>
            </w:r>
          </w:p>
          <w:p>
            <w:pPr>
              <w:pStyle w:val="6"/>
              <w:spacing w:before="0" w:beforeAutospacing="0" w:after="0" w:afterAutospacing="0" w:line="360" w:lineRule="auto"/>
              <w:ind w:firstLine="480" w:firstLineChars="200"/>
              <w:rPr>
                <w:rFonts w:hint="eastAsia"/>
              </w:rPr>
            </w:pPr>
            <w:r>
              <w:rPr>
                <w:rFonts w:hint="eastAsia"/>
              </w:rPr>
              <w:t>随着大模型为代表的人工智能的快速发展，人类社会进入数智化时代，科技发展到新的阶段，信息服务市场呈现出新的变化。从需求侧来看，传统通信需求趋于饱和，潜在的新型信息服务需求还需进一步挖掘激发；从供给侧来看，传统的增收动能有所减弱，AI新动能的培育还需时间。面对这样的发展态势，公司需要与时俱进，积极进行转型升级。</w:t>
            </w:r>
          </w:p>
          <w:p>
            <w:pPr>
              <w:pStyle w:val="6"/>
              <w:spacing w:before="0" w:beforeAutospacing="0" w:after="0" w:afterAutospacing="0" w:line="360" w:lineRule="auto"/>
              <w:ind w:firstLine="480" w:firstLineChars="200"/>
              <w:rPr>
                <w:rFonts w:hint="eastAsia"/>
              </w:rPr>
            </w:pPr>
            <w:r>
              <w:rPr>
                <w:rFonts w:hint="eastAsia"/>
              </w:rPr>
              <w:t>公司的经营发展呈现波浪式前进、螺旋式上升态势。今年全年公司将在上半年基础上，努力实现收入增幅稳步提升、利润良好增长。下半年将重点开展三大行动：</w:t>
            </w:r>
            <w:r>
              <w:rPr>
                <w:rFonts w:hint="eastAsia"/>
                <w:b/>
                <w:bCs/>
              </w:rPr>
              <w:t>一是“两个新型”升级计划</w:t>
            </w:r>
            <w:r>
              <w:rPr>
                <w:rFonts w:hint="eastAsia"/>
              </w:rPr>
              <w:t>，逐步向算力网络、低空经济、卫星互联网等新型信息基础设施及相应的新型信息服务体系升级。</w:t>
            </w:r>
            <w:r>
              <w:rPr>
                <w:rFonts w:hint="eastAsia"/>
                <w:b/>
                <w:bCs/>
              </w:rPr>
              <w:t>二是“</w:t>
            </w:r>
            <w:r>
              <w:rPr>
                <w:b/>
                <w:bCs/>
              </w:rPr>
              <w:t>AI+”行动</w:t>
            </w:r>
            <w:r>
              <w:rPr>
                <w:rFonts w:hint="eastAsia"/>
                <w:b/>
                <w:bCs/>
              </w:rPr>
              <w:t>计划</w:t>
            </w:r>
            <w:r>
              <w:rPr>
                <w:rFonts w:hint="eastAsia"/>
              </w:rPr>
              <w:t>，一方面实现AI技术能力的规模效应，系统提升大算力、大数据、大模型供给能力，打造超万卡智算集群，沉淀万亿级token数据集，推进万亿参数大模型训练；另一方面实现AI经济效益的规模效应，将AI和其他新型技术融合创新，赋能个人、家庭、政企市场的AI应用，如AI+DICT、AI Agent等。同时公司内部广泛应用AI技术，目前公司上岗数字员工5.5万个，助力低成本高效运营。</w:t>
            </w:r>
            <w:r>
              <w:rPr>
                <w:rFonts w:hint="eastAsia"/>
                <w:b/>
                <w:bCs/>
              </w:rPr>
              <w:t>三是“</w:t>
            </w:r>
            <w:r>
              <w:rPr>
                <w:b/>
                <w:bCs/>
              </w:rPr>
              <w:t>BASIC6”科创</w:t>
            </w:r>
            <w:r>
              <w:rPr>
                <w:rFonts w:hint="eastAsia"/>
                <w:b/>
                <w:bCs/>
              </w:rPr>
              <w:t>计划</w:t>
            </w:r>
            <w:r>
              <w:rPr>
                <w:rFonts w:hint="eastAsia"/>
              </w:rPr>
              <w:t>，大力推进大数据、人工智能、安全、能力中台、算力网络、6G等领域的科技创新，这几年已经卓有成效。</w:t>
            </w:r>
          </w:p>
          <w:p>
            <w:pPr>
              <w:pStyle w:val="6"/>
              <w:numPr>
                <w:ilvl w:val="255"/>
                <w:numId w:val="0"/>
              </w:numPr>
              <w:spacing w:before="0" w:beforeAutospacing="0" w:after="0" w:afterAutospacing="0" w:line="360" w:lineRule="auto"/>
              <w:ind w:firstLine="482" w:firstLineChars="200"/>
              <w:rPr>
                <w:rFonts w:hint="eastAsia"/>
                <w:b/>
              </w:rPr>
            </w:pPr>
            <w:r>
              <w:rPr>
                <w:rFonts w:hint="eastAsia"/>
                <w:b/>
              </w:rPr>
              <w:t>2. 公司在新业务尤其是算力方面的投入较大，业务增长也比较快，上半年EBITDA仅小幅下降0.6%，是否意味着新业务的利润率在逐渐改善？随着规模经济的出现，EBITDA率如何变化？</w:t>
            </w:r>
          </w:p>
          <w:p>
            <w:pPr>
              <w:pStyle w:val="6"/>
              <w:spacing w:before="0" w:beforeAutospacing="0" w:after="0" w:afterAutospacing="0" w:line="360" w:lineRule="auto"/>
              <w:ind w:firstLine="480" w:firstLineChars="200"/>
              <w:rPr>
                <w:rFonts w:hint="eastAsia"/>
              </w:rPr>
            </w:pPr>
            <w:r>
              <w:rPr>
                <w:rFonts w:hint="eastAsia"/>
              </w:rPr>
              <w:t>上半年公司实现EBITDA 1,823亿元，EBITDA率为33.3%，成绩来之不易。公司对未来的可持续发展、盈利能力仍非常有信心，一是传统业务基本盘稳固，二是新兴业务增收增利的动能逐步强劲，2024年努力实现EBITDA平稳增长。未来2～3年，公司将坚持稳中求进，力争实现收入、利润的良好增长，盈利能力保持全球主流运营商领先水平。</w:t>
            </w:r>
          </w:p>
          <w:p>
            <w:pPr>
              <w:pStyle w:val="6"/>
              <w:numPr>
                <w:ilvl w:val="255"/>
                <w:numId w:val="0"/>
              </w:numPr>
              <w:spacing w:before="0" w:beforeAutospacing="0" w:after="0" w:afterAutospacing="0" w:line="360" w:lineRule="auto"/>
              <w:ind w:firstLine="482" w:firstLineChars="200"/>
              <w:rPr>
                <w:rFonts w:hint="eastAsia"/>
                <w:b/>
              </w:rPr>
            </w:pPr>
            <w:r>
              <w:rPr>
                <w:rFonts w:hint="eastAsia"/>
                <w:b/>
              </w:rPr>
              <w:t>3. 公司指引全年移动ARPU保持平稳，下半年会采取哪些举措？能否展望下中长期ARPU的发展趋势？</w:t>
            </w:r>
          </w:p>
          <w:p>
            <w:pPr>
              <w:pStyle w:val="6"/>
              <w:numPr>
                <w:ilvl w:val="255"/>
                <w:numId w:val="0"/>
              </w:numPr>
              <w:spacing w:before="0" w:beforeAutospacing="0" w:after="0" w:afterAutospacing="0" w:line="360" w:lineRule="auto"/>
              <w:ind w:firstLine="480" w:firstLineChars="200"/>
              <w:rPr>
                <w:rFonts w:hint="eastAsia"/>
              </w:rPr>
            </w:pPr>
            <w:r>
              <w:rPr>
                <w:rFonts w:hint="eastAsia"/>
              </w:rPr>
              <w:t>移动通信运营目前处于新旧动能转换的新发展阶段，上半年移动ARPU小幅下降主要有三方面原因。</w:t>
            </w:r>
            <w:r>
              <w:rPr>
                <w:rFonts w:hint="eastAsia"/>
                <w:b/>
                <w:bCs/>
              </w:rPr>
              <w:t>一是</w:t>
            </w:r>
            <w:r>
              <w:rPr>
                <w:rFonts w:hint="eastAsia"/>
              </w:rPr>
              <w:t>规模增长动力不足，目前国内移动电话普及率已经达到125部/百人，公众市场趋于饱和。</w:t>
            </w:r>
            <w:r>
              <w:rPr>
                <w:rFonts w:hint="eastAsia"/>
                <w:b/>
                <w:bCs/>
              </w:rPr>
              <w:t>二是</w:t>
            </w:r>
            <w:r>
              <w:rPr>
                <w:rFonts w:hint="eastAsia"/>
              </w:rPr>
              <w:t>目前新增客户以中低</w:t>
            </w:r>
            <w:r>
              <w:rPr>
                <w:rFonts w:hint="eastAsia"/>
                <w:lang w:val="en-US" w:eastAsia="zh-CN"/>
              </w:rPr>
              <w:t>档套餐消费的</w:t>
            </w:r>
            <w:r>
              <w:rPr>
                <w:rFonts w:hint="eastAsia"/>
              </w:rPr>
              <w:t>客户为主，同时公司结合一定场景发展副卡业务，对ARPU有所摊薄。</w:t>
            </w:r>
            <w:r>
              <w:rPr>
                <w:rFonts w:hint="eastAsia"/>
                <w:b/>
                <w:bCs/>
              </w:rPr>
              <w:t>三是</w:t>
            </w:r>
            <w:r>
              <w:rPr>
                <w:rFonts w:hint="eastAsia"/>
              </w:rPr>
              <w:t>流量增速</w:t>
            </w:r>
            <w:r>
              <w:rPr>
                <w:rFonts w:hint="eastAsia" w:ascii="Times New Roman"/>
              </w:rPr>
              <w:t>有所</w:t>
            </w:r>
            <w:r>
              <w:rPr>
                <w:rFonts w:hint="eastAsia"/>
              </w:rPr>
              <w:t>放缓，主要由以下</w:t>
            </w:r>
            <w:r>
              <w:rPr>
                <w:rFonts w:hint="eastAsia" w:ascii="Times New Roman"/>
              </w:rPr>
              <w:t>三</w:t>
            </w:r>
            <w:r>
              <w:rPr>
                <w:rFonts w:hint="eastAsia"/>
              </w:rPr>
              <w:t>方面导致：（</w:t>
            </w:r>
            <w:r>
              <w:rPr>
                <w:rFonts w:hint="eastAsia" w:ascii="Times New Roman"/>
              </w:rPr>
              <w:t>1</w:t>
            </w:r>
            <w:r>
              <w:rPr>
                <w:rFonts w:hint="eastAsia"/>
              </w:rPr>
              <w:t>）客户上网时长进入平稳期；（</w:t>
            </w:r>
            <w:r>
              <w:rPr>
                <w:rFonts w:hint="eastAsia" w:ascii="Times New Roman"/>
              </w:rPr>
              <w:t>2</w:t>
            </w:r>
            <w:r>
              <w:rPr>
                <w:rFonts w:hint="eastAsia"/>
              </w:rPr>
              <w:t>）</w:t>
            </w:r>
            <w:r>
              <w:rPr>
                <w:rFonts w:hint="eastAsia"/>
                <w:lang w:val="en-US" w:eastAsia="zh-CN"/>
              </w:rPr>
              <w:t>进一步激发</w:t>
            </w:r>
            <w:r>
              <w:rPr>
                <w:rFonts w:hint="eastAsia" w:ascii="Times New Roman"/>
              </w:rPr>
              <w:t>流量</w:t>
            </w:r>
            <w:r>
              <w:rPr>
                <w:rFonts w:hint="eastAsia" w:ascii="Times New Roman"/>
                <w:lang w:val="en-US" w:eastAsia="zh-CN"/>
              </w:rPr>
              <w:t>的</w:t>
            </w:r>
            <w:r>
              <w:rPr>
                <w:rFonts w:hint="eastAsia" w:ascii="Times New Roman"/>
              </w:rPr>
              <w:t>应用和</w:t>
            </w:r>
            <w:r>
              <w:rPr>
                <w:rFonts w:hint="eastAsia"/>
              </w:rPr>
              <w:t>业务</w:t>
            </w:r>
            <w:r>
              <w:rPr>
                <w:rFonts w:hint="eastAsia" w:ascii="Times New Roman"/>
              </w:rPr>
              <w:t>还在培育发展，</w:t>
            </w:r>
            <w:r>
              <w:rPr>
                <w:rFonts w:hint="eastAsia"/>
              </w:rPr>
              <w:t>需要一定时间；（</w:t>
            </w:r>
            <w:r>
              <w:rPr>
                <w:rFonts w:hint="eastAsia" w:ascii="Times New Roman"/>
              </w:rPr>
              <w:t>3</w:t>
            </w:r>
            <w:r>
              <w:rPr>
                <w:rFonts w:hint="eastAsia"/>
              </w:rPr>
              <w:t>）</w:t>
            </w:r>
            <w:r>
              <w:rPr>
                <w:rFonts w:hint="eastAsia" w:ascii="Times New Roman"/>
              </w:rPr>
              <w:t>公司业务融合发展，</w:t>
            </w:r>
            <w:r>
              <w:rPr>
                <w:rFonts w:hint="eastAsia"/>
              </w:rPr>
              <w:t>个人市场流量受到多场景分流影响，一方面</w:t>
            </w:r>
            <w:r>
              <w:rPr>
                <w:rFonts w:hint="eastAsia" w:ascii="Times New Roman"/>
              </w:rPr>
              <w:t>家庭市场增长比较快，随着家宽、FTTR等业务进一步发展，</w:t>
            </w:r>
            <w:r>
              <w:rPr>
                <w:rFonts w:hint="eastAsia"/>
              </w:rPr>
              <w:t>对</w:t>
            </w:r>
            <w:r>
              <w:rPr>
                <w:rFonts w:hint="eastAsia" w:ascii="Times New Roman"/>
              </w:rPr>
              <w:t>个人</w:t>
            </w:r>
            <w:r>
              <w:rPr>
                <w:rFonts w:hint="eastAsia"/>
              </w:rPr>
              <w:t>上网流量有一定分流，另一方面</w:t>
            </w:r>
            <w:r>
              <w:rPr>
                <w:rFonts w:hint="eastAsia" w:ascii="Times New Roman"/>
              </w:rPr>
              <w:t>随着“人车家”中“车”的场景应用越来越丰富，对个人流量也有一定分流</w:t>
            </w:r>
            <w:r>
              <w:rPr>
                <w:rFonts w:hint="eastAsia"/>
              </w:rPr>
              <w:t>。</w:t>
            </w:r>
          </w:p>
          <w:p>
            <w:pPr>
              <w:pStyle w:val="6"/>
              <w:numPr>
                <w:ilvl w:val="255"/>
                <w:numId w:val="0"/>
              </w:numPr>
              <w:spacing w:before="0" w:beforeAutospacing="0" w:after="0" w:afterAutospacing="0" w:line="360" w:lineRule="auto"/>
              <w:ind w:firstLine="480" w:firstLineChars="200"/>
              <w:rPr>
                <w:rFonts w:hint="eastAsia"/>
              </w:rPr>
            </w:pPr>
            <w:r>
              <w:rPr>
                <w:rFonts w:hint="eastAsia"/>
              </w:rPr>
              <w:t>下半年公司在C、H、N三</w:t>
            </w:r>
            <w:r>
              <w:rPr>
                <w:rFonts w:hint="eastAsia"/>
                <w:lang w:val="en-US" w:eastAsia="zh-CN"/>
              </w:rPr>
              <w:t>个</w:t>
            </w:r>
            <w:r>
              <w:rPr>
                <w:rFonts w:hint="eastAsia"/>
              </w:rPr>
              <w:t>市场将采取一系列举措。</w:t>
            </w:r>
            <w:r>
              <w:rPr>
                <w:rFonts w:hint="eastAsia"/>
                <w:b/>
                <w:bCs/>
              </w:rPr>
              <w:t>个人市场方面，</w:t>
            </w:r>
            <w:r>
              <w:rPr>
                <w:rFonts w:hint="eastAsia"/>
              </w:rPr>
              <w:t>从基于通信要素的运营转为基于信息服务的运营，从共性转向个性，追求价值提升。</w:t>
            </w:r>
            <w:r>
              <w:rPr>
                <w:rFonts w:hint="eastAsia"/>
                <w:b/>
                <w:bCs/>
              </w:rPr>
              <w:t>家庭市场方面，</w:t>
            </w:r>
            <w:r>
              <w:rPr>
                <w:rFonts w:hint="eastAsia"/>
              </w:rPr>
              <w:t>构建“一根线、一张网、一个家”的智慧家庭体系，一根线即通过全屋WIFI、千兆宽带和FTTR加强连接能力，一张网即布局存储、算力、视频、感知、控制五大技术能力，一个家即围绕娱乐、健康、教育、生活、安全做一系列产品部署。</w:t>
            </w:r>
            <w:r>
              <w:rPr>
                <w:rFonts w:hint="eastAsia"/>
                <w:b/>
                <w:bCs/>
              </w:rPr>
              <w:t>新兴市场方面，</w:t>
            </w:r>
            <w:r>
              <w:rPr>
                <w:rFonts w:hint="eastAsia"/>
              </w:rPr>
              <w:t>围绕</w:t>
            </w:r>
            <w:r>
              <w:rPr>
                <w:rFonts w:hint="eastAsia"/>
                <w:lang w:eastAsia="zh-CN"/>
              </w:rPr>
              <w:t>“</w:t>
            </w:r>
            <w:r>
              <w:rPr>
                <w:rFonts w:hint="eastAsia"/>
              </w:rPr>
              <w:t>5G+</w:t>
            </w:r>
            <w:r>
              <w:rPr>
                <w:rFonts w:hint="eastAsia"/>
                <w:lang w:eastAsia="zh-CN"/>
              </w:rPr>
              <w:t>”</w:t>
            </w:r>
            <w:r>
              <w:rPr>
                <w:rFonts w:hint="eastAsia"/>
              </w:rPr>
              <w:t>、</w:t>
            </w:r>
            <w:r>
              <w:rPr>
                <w:rFonts w:hint="eastAsia"/>
                <w:lang w:eastAsia="zh-CN"/>
              </w:rPr>
              <w:t>“</w:t>
            </w:r>
            <w:r>
              <w:rPr>
                <w:rFonts w:hint="eastAsia"/>
              </w:rPr>
              <w:t>AI+</w:t>
            </w:r>
            <w:r>
              <w:rPr>
                <w:rFonts w:hint="eastAsia"/>
                <w:lang w:eastAsia="zh-CN"/>
              </w:rPr>
              <w:t>”</w:t>
            </w:r>
            <w:r>
              <w:rPr>
                <w:rFonts w:hint="eastAsia"/>
              </w:rPr>
              <w:t>部署一系列产品，布局好、设计好、运营好，打造有运营商特色的“专精特新”，不断提升客户活跃度。在存量时代，公司将通过增量的思维不断寻找增长新空间、新引擎和新路径。</w:t>
            </w:r>
          </w:p>
          <w:p>
            <w:pPr>
              <w:pStyle w:val="6"/>
              <w:numPr>
                <w:ilvl w:val="255"/>
                <w:numId w:val="0"/>
              </w:numPr>
              <w:spacing w:before="0" w:beforeAutospacing="0" w:after="0" w:afterAutospacing="0" w:line="360" w:lineRule="auto"/>
              <w:ind w:firstLine="482" w:firstLineChars="200"/>
              <w:rPr>
                <w:rFonts w:hint="eastAsia"/>
                <w:b/>
              </w:rPr>
            </w:pPr>
            <w:r>
              <w:rPr>
                <w:rFonts w:hint="eastAsia"/>
                <w:b/>
              </w:rPr>
              <w:t>4. 公司移动云业务发展的情况怎样？</w:t>
            </w:r>
          </w:p>
          <w:p>
            <w:pPr>
              <w:pStyle w:val="6"/>
              <w:numPr>
                <w:ilvl w:val="255"/>
                <w:numId w:val="0"/>
              </w:numPr>
              <w:spacing w:before="0" w:beforeAutospacing="0" w:after="0" w:afterAutospacing="0" w:line="360" w:lineRule="auto"/>
              <w:ind w:firstLine="480" w:firstLineChars="200"/>
              <w:rPr>
                <w:rFonts w:hint="eastAsia"/>
              </w:rPr>
            </w:pPr>
            <w:r>
              <w:rPr>
                <w:rFonts w:hint="eastAsia"/>
              </w:rPr>
              <w:t>云是数智化时代最主要的数字基础设施，也是公司第二曲线增长的重要动力和基础。移动云收入从2019年的19亿增长到2023年的833亿，今年上半年移动云收入达到504亿元，同比增长19%，增长态势没有改变。公司根据发展阶段和内外部环境的变化，不断调整能力和结构，从规模型增长转向价值型增长。</w:t>
            </w:r>
          </w:p>
          <w:p>
            <w:pPr>
              <w:pStyle w:val="6"/>
              <w:numPr>
                <w:ilvl w:val="255"/>
                <w:numId w:val="0"/>
              </w:numPr>
              <w:spacing w:before="0" w:beforeAutospacing="0" w:after="0" w:afterAutospacing="0" w:line="360" w:lineRule="auto"/>
              <w:ind w:firstLine="480" w:firstLineChars="200"/>
              <w:rPr>
                <w:rFonts w:hint="eastAsia"/>
              </w:rPr>
            </w:pPr>
            <w:r>
              <w:rPr>
                <w:rFonts w:hint="eastAsia"/>
              </w:rPr>
              <w:t>移动云业务的发展有很多优势，</w:t>
            </w:r>
            <w:r>
              <w:rPr>
                <w:rFonts w:hint="eastAsia"/>
                <w:b/>
              </w:rPr>
              <w:t>一是基础资源优势</w:t>
            </w:r>
            <w:r>
              <w:rPr>
                <w:rFonts w:hint="eastAsia"/>
              </w:rPr>
              <w:t>，上半年公司通算规模达</w:t>
            </w:r>
            <w:r>
              <w:t>8.2 EFLOPS</w:t>
            </w:r>
            <w:r>
              <w:rPr>
                <w:rFonts w:hint="eastAsia"/>
              </w:rPr>
              <w:t>（FP32）、智算规模达</w:t>
            </w:r>
            <w:r>
              <w:t>19.6 EFLOPS</w:t>
            </w:r>
            <w:r>
              <w:rPr>
                <w:rFonts w:hint="eastAsia"/>
              </w:rPr>
              <w:t>（FP16）。</w:t>
            </w:r>
            <w:r>
              <w:rPr>
                <w:rFonts w:hint="eastAsia"/>
                <w:b/>
              </w:rPr>
              <w:t>二是网络优势</w:t>
            </w:r>
            <w:r>
              <w:rPr>
                <w:rFonts w:hint="eastAsia"/>
              </w:rPr>
              <w:t>，公司建设云专网，覆盖300多个地市，实现分钟级业务组网能力。</w:t>
            </w:r>
            <w:r>
              <w:rPr>
                <w:rFonts w:hint="eastAsia"/>
                <w:b/>
              </w:rPr>
              <w:t>三是科技创新优势</w:t>
            </w:r>
            <w:r>
              <w:rPr>
                <w:rFonts w:hint="eastAsia"/>
              </w:rPr>
              <w:t>，特别是在推动“AI+”行动过程中，移动云向智能云方向发展，有很多创新。</w:t>
            </w:r>
            <w:r>
              <w:rPr>
                <w:rFonts w:hint="eastAsia"/>
                <w:b/>
              </w:rPr>
              <w:t>四是属地服务优势</w:t>
            </w:r>
            <w:r>
              <w:rPr>
                <w:rFonts w:hint="eastAsia"/>
              </w:rPr>
              <w:t>，公司拥有遍布全国的渠道以及属地化支撑和交付体系。</w:t>
            </w:r>
            <w:r>
              <w:rPr>
                <w:rFonts w:hint="eastAsia"/>
                <w:b/>
              </w:rPr>
              <w:t>五是央企品牌优势</w:t>
            </w:r>
            <w:r>
              <w:rPr>
                <w:rFonts w:hint="eastAsia"/>
              </w:rPr>
              <w:t>。移动云是数字经济的基石，在智能时代，AI对云能力需求具有更大空间，公司对云业务发展充满期待。</w:t>
            </w:r>
          </w:p>
          <w:p>
            <w:pPr>
              <w:pStyle w:val="6"/>
              <w:numPr>
                <w:ilvl w:val="255"/>
                <w:numId w:val="0"/>
              </w:numPr>
              <w:spacing w:before="0" w:beforeAutospacing="0" w:after="0" w:afterAutospacing="0" w:line="360" w:lineRule="auto"/>
              <w:ind w:firstLine="480" w:firstLineChars="200"/>
              <w:rPr>
                <w:rFonts w:hint="eastAsia"/>
              </w:rPr>
            </w:pPr>
            <w:r>
              <w:rPr>
                <w:rFonts w:hint="eastAsia"/>
              </w:rPr>
              <w:t>下一步具体举措：</w:t>
            </w:r>
            <w:r>
              <w:rPr>
                <w:rFonts w:hint="eastAsia"/>
                <w:b/>
                <w:bCs/>
              </w:rPr>
              <w:t>一是</w:t>
            </w:r>
            <w:r>
              <w:rPr>
                <w:rFonts w:hint="eastAsia"/>
              </w:rPr>
              <w:t>继续发挥中国移动在算力、存储和网络的融合优势，为用户提供一体化的算力服务。</w:t>
            </w:r>
            <w:r>
              <w:rPr>
                <w:rFonts w:hint="eastAsia"/>
                <w:b/>
                <w:bCs/>
              </w:rPr>
              <w:t>二是</w:t>
            </w:r>
            <w:r>
              <w:rPr>
                <w:rFonts w:hint="eastAsia"/>
              </w:rPr>
              <w:t>不断推进标准化、产品化、平台化，通过“三化”提升盈利水平。</w:t>
            </w:r>
            <w:r>
              <w:rPr>
                <w:rFonts w:hint="eastAsia"/>
                <w:b/>
              </w:rPr>
              <w:t>三是</w:t>
            </w:r>
            <w:r>
              <w:rPr>
                <w:rFonts w:hint="eastAsia"/>
              </w:rPr>
              <w:t>紧抓人工智能对云的带动性机遇，一方面通过“九天”大模型让移动云更智能，对移动云算力、存储、网络进行更优化、更绿色的配置，降低成本，提高能力；另一方面推动智能化AI服务，主要分为三个层面：在IaaS层面，重点研发虚拟服务器及通算、智算一体化调度相关能力，攻关大模型断点续推、数据存储等技术，研发训练和推理相结合的IaaS服务，满足用户在大模型训练和推理上的算力需求，在PaaS层面，加强模型即服务的研发和输出，把通用大模型通过MaaS服务对外提供，或把专业大模型集中在MaaS平台上供用户直接开发专业的AI应用，在SaaS层面，公司抓住AI Agent应用服务的机遇，正在布局人工智能相关的应用服务。相信移动云将保持快速的增长态势。</w:t>
            </w:r>
          </w:p>
          <w:p>
            <w:pPr>
              <w:pStyle w:val="6"/>
              <w:numPr>
                <w:ilvl w:val="255"/>
                <w:numId w:val="0"/>
              </w:numPr>
              <w:spacing w:before="0" w:beforeAutospacing="0" w:after="0" w:afterAutospacing="0" w:line="360" w:lineRule="auto"/>
              <w:ind w:firstLine="482" w:firstLineChars="200"/>
              <w:rPr>
                <w:rFonts w:hint="eastAsia"/>
                <w:b/>
              </w:rPr>
            </w:pPr>
            <w:r>
              <w:rPr>
                <w:rFonts w:hint="eastAsia"/>
                <w:b/>
              </w:rPr>
              <w:t>5. 公司从对内降本增效、对外业务开拓方面怎样实现AI、算力的投资回报？内外部是否看到典型的可规模化拓展的模式或案例？</w:t>
            </w:r>
          </w:p>
          <w:p>
            <w:pPr>
              <w:pStyle w:val="6"/>
              <w:spacing w:before="0" w:beforeAutospacing="0" w:after="0" w:afterAutospacing="0" w:line="360" w:lineRule="auto"/>
              <w:ind w:firstLine="480" w:firstLineChars="200"/>
              <w:rPr>
                <w:rFonts w:hint="eastAsia"/>
              </w:rPr>
            </w:pPr>
            <w:r>
              <w:rPr>
                <w:rFonts w:hint="eastAsia"/>
              </w:rPr>
              <w:t>公司主要通过以下几方面实现AI落地：</w:t>
            </w:r>
            <w:r>
              <w:rPr>
                <w:rFonts w:hint="eastAsia"/>
                <w:b/>
                <w:bCs/>
              </w:rPr>
              <w:t>一是</w:t>
            </w:r>
            <w:r>
              <w:rPr>
                <w:rFonts w:hint="eastAsia"/>
              </w:rPr>
              <w:t>要把大模型的底座做好，发挥出规模效应，实现更好的性能，这是基础。</w:t>
            </w:r>
            <w:r>
              <w:rPr>
                <w:rFonts w:hint="eastAsia"/>
                <w:b/>
                <w:bCs/>
              </w:rPr>
              <w:t>二是</w:t>
            </w:r>
            <w:r>
              <w:rPr>
                <w:rFonts w:hint="eastAsia"/>
              </w:rPr>
              <w:t>大模型应用在政企市场已有很多应用场景，公司依托“九天”基础大模型，聚焦40个细分领域研发行业大模型，已经开始注智赋能各行各业的生产运营。</w:t>
            </w:r>
            <w:r>
              <w:rPr>
                <w:rFonts w:hint="eastAsia"/>
                <w:b/>
                <w:bCs/>
              </w:rPr>
              <w:t>三是</w:t>
            </w:r>
            <w:r>
              <w:rPr>
                <w:rFonts w:hint="eastAsia"/>
              </w:rPr>
              <w:t>融合创新，包括AI技术和其他新型技术的融合创新以及AI技术和各行各业的融合创新，例如AI+DICT。</w:t>
            </w:r>
            <w:r>
              <w:rPr>
                <w:rFonts w:hint="eastAsia"/>
                <w:b/>
                <w:bCs/>
              </w:rPr>
              <w:t>四是</w:t>
            </w:r>
            <w:r>
              <w:rPr>
                <w:rFonts w:hint="eastAsia"/>
              </w:rPr>
              <w:t>面向个人、家庭市场积极推进AI Agent智能体的研发。</w:t>
            </w:r>
            <w:r>
              <w:rPr>
                <w:rFonts w:hint="eastAsia"/>
                <w:b/>
                <w:bCs/>
              </w:rPr>
              <w:t>五是</w:t>
            </w:r>
            <w:r>
              <w:rPr>
                <w:rFonts w:hint="eastAsia"/>
              </w:rPr>
              <w:t>积极推进MaaS（模型即服务）。</w:t>
            </w:r>
            <w:r>
              <w:rPr>
                <w:rFonts w:hint="eastAsia"/>
                <w:b/>
              </w:rPr>
              <w:t>六是</w:t>
            </w:r>
            <w:r>
              <w:rPr>
                <w:rFonts w:hint="eastAsia"/>
              </w:rPr>
              <w:t>内部注智赋能，目前已上岗数字员工5.5万个，推动运营管理智慧升级，助力降本增效。</w:t>
            </w:r>
          </w:p>
          <w:p>
            <w:pPr>
              <w:pStyle w:val="6"/>
              <w:numPr>
                <w:ilvl w:val="255"/>
                <w:numId w:val="0"/>
              </w:numPr>
              <w:spacing w:before="0" w:beforeAutospacing="0" w:after="0" w:afterAutospacing="0" w:line="360" w:lineRule="auto"/>
              <w:ind w:firstLine="482" w:firstLineChars="200"/>
              <w:rPr>
                <w:rFonts w:hint="eastAsia"/>
                <w:b/>
              </w:rPr>
            </w:pPr>
            <w:r>
              <w:rPr>
                <w:rFonts w:hint="eastAsia"/>
                <w:b/>
              </w:rPr>
              <w:t>6. 公司新业务的发展需要人才，公司在人才激励方面有哪些手段？</w:t>
            </w:r>
          </w:p>
          <w:p>
            <w:pPr>
              <w:pStyle w:val="6"/>
              <w:spacing w:before="0" w:beforeAutospacing="0" w:after="0" w:afterAutospacing="0" w:line="360" w:lineRule="auto"/>
              <w:ind w:firstLine="480" w:firstLineChars="200"/>
              <w:rPr>
                <w:rFonts w:hint="eastAsia"/>
              </w:rPr>
            </w:pPr>
            <w:r>
              <w:rPr>
                <w:rFonts w:hint="eastAsia"/>
              </w:rPr>
              <w:t>中国移动要迈向世界一流信息服务科技创新公司，科技人才是非常关键的。公司在2022年召开了人才</w:t>
            </w:r>
            <w:r>
              <w:rPr>
                <w:rFonts w:hint="eastAsia"/>
                <w:lang w:val="en-US" w:eastAsia="zh-CN"/>
              </w:rPr>
              <w:t>工作会议</w:t>
            </w:r>
            <w:r>
              <w:rPr>
                <w:rFonts w:hint="eastAsia"/>
              </w:rPr>
              <w:t>，推出多项人才计划，取得较好成效。具体来讲，持续建强“十百千万”人才雁阵，累计评聘产生2名集团级首席科学家、24名集团级首席专家、5,</w:t>
            </w:r>
            <w:r>
              <w:rPr>
                <w:rFonts w:hint="eastAsia"/>
                <w:lang w:val="en-US" w:eastAsia="zh-CN"/>
              </w:rPr>
              <w:t>5</w:t>
            </w:r>
            <w:r>
              <w:rPr>
                <w:rFonts w:hint="eastAsia"/>
              </w:rPr>
              <w:t>00余名省级专家，覆盖“BASIC6”六大领域；“拔尖计划”累计引进以互联网头部企业和科研院所为主的核心人才230余人；“金种子计划”录取范围为清华、北大等13所重点目标院校或上年度QS全球排名前100的知名高校博士毕业生，累计引进超300人。为以上人才提供具有市场竞争力的薪酬。</w:t>
            </w:r>
          </w:p>
          <w:p>
            <w:pPr>
              <w:pStyle w:val="6"/>
              <w:spacing w:before="0" w:beforeAutospacing="0" w:after="0" w:afterAutospacing="0" w:line="360" w:lineRule="auto"/>
              <w:ind w:firstLine="480" w:firstLineChars="200"/>
              <w:rPr>
                <w:rFonts w:hint="eastAsia"/>
              </w:rPr>
            </w:pPr>
            <w:r>
              <w:rPr>
                <w:rFonts w:hint="eastAsia"/>
              </w:rPr>
              <w:t>同时，公司</w:t>
            </w:r>
            <w:r>
              <w:rPr>
                <w:rFonts w:hint="eastAsia"/>
                <w:lang w:val="en-US" w:eastAsia="zh-CN"/>
              </w:rPr>
              <w:t>强化</w:t>
            </w:r>
            <w:r>
              <w:rPr>
                <w:rFonts w:hint="eastAsia"/>
              </w:rPr>
              <w:t>“人才建设示范区”建设，</w:t>
            </w:r>
            <w:r>
              <w:rPr>
                <w:rFonts w:hint="eastAsia"/>
                <w:lang w:val="en-US" w:eastAsia="zh-CN"/>
              </w:rPr>
              <w:t>开展首批示范区评估和新一批遴选，发挥</w:t>
            </w:r>
            <w:r>
              <w:rPr>
                <w:rFonts w:hint="eastAsia"/>
              </w:rPr>
              <w:t>人才特区机制引领作用。积极探索实施股票期权，目前已授予两期。此外，今年设立了香港创新研究院，吸引海外人才加入。这一系列措施保证了公司转型发展过程中人才的培养。</w:t>
            </w:r>
          </w:p>
          <w:p>
            <w:pPr>
              <w:pStyle w:val="6"/>
              <w:numPr>
                <w:ilvl w:val="255"/>
                <w:numId w:val="0"/>
              </w:numPr>
              <w:spacing w:before="0" w:beforeAutospacing="0" w:after="0" w:afterAutospacing="0" w:line="360" w:lineRule="auto"/>
              <w:ind w:firstLine="482" w:firstLineChars="200"/>
              <w:rPr>
                <w:rFonts w:hint="eastAsia"/>
                <w:b/>
              </w:rPr>
            </w:pPr>
            <w:r>
              <w:rPr>
                <w:rFonts w:hint="eastAsia"/>
                <w:b/>
              </w:rPr>
              <w:t>7. 5月17日，中国电信、中国移动、中国联通和中国广电联合宣布启动5G异网漫游的商用推广，想请问一下公司如何看待5G异网漫游政策？</w:t>
            </w:r>
          </w:p>
          <w:p>
            <w:pPr>
              <w:pStyle w:val="6"/>
              <w:spacing w:before="0" w:beforeAutospacing="0" w:after="0" w:afterAutospacing="0" w:line="360" w:lineRule="auto"/>
              <w:ind w:firstLine="480" w:firstLineChars="200"/>
              <w:rPr>
                <w:rFonts w:hint="eastAsia"/>
              </w:rPr>
            </w:pPr>
            <w:r>
              <w:rPr>
                <w:rFonts w:hint="eastAsia"/>
              </w:rPr>
              <w:t>今年5月17日，在工信部统筹指导下，四家基础电信企业联合宣布启动5G异网漫游商用推广。目前在新疆16个地州已经全部实现了5G核心网异网漫游。主要有以下三方面</w:t>
            </w:r>
            <w:r>
              <w:rPr>
                <w:rFonts w:hint="eastAsia"/>
                <w:lang w:val="en-US" w:eastAsia="zh-CN"/>
              </w:rPr>
              <w:t>意义</w:t>
            </w:r>
            <w:r>
              <w:rPr>
                <w:rFonts w:hint="eastAsia"/>
              </w:rPr>
              <w:t>，</w:t>
            </w:r>
            <w:r>
              <w:rPr>
                <w:rFonts w:hint="eastAsia"/>
                <w:b/>
                <w:bCs/>
              </w:rPr>
              <w:t>一是</w:t>
            </w:r>
            <w:r>
              <w:rPr>
                <w:rFonts w:hint="eastAsia"/>
              </w:rPr>
              <w:t>落实国家新发展理念，通过共建共享，实现社会资源利用率的最大化。</w:t>
            </w:r>
            <w:r>
              <w:rPr>
                <w:rFonts w:hint="eastAsia"/>
                <w:b/>
                <w:bCs/>
              </w:rPr>
              <w:t>二是</w:t>
            </w:r>
            <w:r>
              <w:rPr>
                <w:rFonts w:hint="eastAsia"/>
              </w:rPr>
              <w:t>最大限度给偏远地区用户提供良好的5G服务和5G应用。</w:t>
            </w:r>
            <w:r>
              <w:rPr>
                <w:rFonts w:hint="eastAsia"/>
                <w:b/>
                <w:bCs/>
              </w:rPr>
              <w:t>三是</w:t>
            </w:r>
            <w:r>
              <w:rPr>
                <w:rFonts w:hint="eastAsia"/>
              </w:rPr>
              <w:t>利于各家运营商创造企业价值。希望在工信部的指导下，5G异网漫游能够让更多的用户在偏远地区享受到5G服务。</w:t>
            </w:r>
          </w:p>
          <w:p>
            <w:pPr>
              <w:pStyle w:val="6"/>
              <w:numPr>
                <w:ilvl w:val="255"/>
                <w:numId w:val="0"/>
              </w:numPr>
              <w:spacing w:before="0" w:beforeAutospacing="0" w:after="0" w:afterAutospacing="0" w:line="360" w:lineRule="auto"/>
              <w:ind w:firstLine="482" w:firstLineChars="200"/>
              <w:rPr>
                <w:rFonts w:hint="eastAsia"/>
                <w:b/>
              </w:rPr>
            </w:pPr>
            <w:r>
              <w:rPr>
                <w:rFonts w:hint="eastAsia"/>
                <w:b/>
              </w:rPr>
              <w:t>8. 能否请管理层分析一下经营现金流的情况，以及对全年经营现金流的展望？</w:t>
            </w:r>
          </w:p>
          <w:p>
            <w:pPr>
              <w:pStyle w:val="6"/>
              <w:spacing w:before="0" w:beforeAutospacing="0" w:after="0" w:afterAutospacing="0" w:line="360" w:lineRule="auto"/>
              <w:ind w:firstLine="480" w:firstLineChars="200"/>
              <w:rPr>
                <w:rFonts w:hint="eastAsia"/>
              </w:rPr>
            </w:pPr>
            <w:r>
              <w:rPr>
                <w:rFonts w:hint="eastAsia"/>
              </w:rPr>
              <w:t>中国移动一直是一家现金流充沛、健康的公司。今年上半年经营活动现金净流入1,314亿元，自由现金流674亿元，现金流保持健康。上半年经营活动现金净流入有所下降，主要是两方面原因，</w:t>
            </w:r>
            <w:r>
              <w:rPr>
                <w:rFonts w:hint="eastAsia"/>
                <w:b/>
                <w:bCs/>
              </w:rPr>
              <w:t>一是</w:t>
            </w:r>
            <w:r>
              <w:rPr>
                <w:rFonts w:hint="eastAsia"/>
              </w:rPr>
              <w:t>政企业务回款速度有所放缓，应收账款有所增加。政企业务一般采用后付费模式，信用周期整体较个人客户长，项目回款大多集中在年末，应收账款往往呈前高后低的趋势。</w:t>
            </w:r>
            <w:r>
              <w:rPr>
                <w:rFonts w:hint="eastAsia"/>
                <w:b/>
                <w:bCs/>
              </w:rPr>
              <w:t>二是</w:t>
            </w:r>
            <w:r>
              <w:rPr>
                <w:rFonts w:hint="eastAsia"/>
              </w:rPr>
              <w:t>公司支持上下游产业链，对外付款进度较快，上半年应付账款同比增速仅0.2%，较去年底增速仅3.9%。全年公司将力争实现自由现金流保持平稳。</w:t>
            </w:r>
          </w:p>
          <w:p>
            <w:pPr>
              <w:pStyle w:val="6"/>
              <w:numPr>
                <w:ilvl w:val="255"/>
                <w:numId w:val="0"/>
              </w:numPr>
              <w:spacing w:before="0" w:beforeAutospacing="0" w:after="0" w:afterAutospacing="0" w:line="360" w:lineRule="auto"/>
              <w:ind w:firstLine="482" w:firstLineChars="200"/>
              <w:rPr>
                <w:rFonts w:hint="eastAsia"/>
                <w:b/>
              </w:rPr>
            </w:pPr>
            <w:r>
              <w:rPr>
                <w:rFonts w:hint="eastAsia"/>
                <w:b/>
              </w:rPr>
              <w:t>9. 公司二季度主要通过哪些举措实现了应收账款的控制？后续信用减值的发展趋势怎样？</w:t>
            </w:r>
          </w:p>
          <w:p>
            <w:pPr>
              <w:pStyle w:val="6"/>
              <w:spacing w:before="0" w:beforeAutospacing="0" w:after="0" w:afterAutospacing="0" w:line="360" w:lineRule="auto"/>
              <w:ind w:firstLine="480" w:firstLineChars="200"/>
              <w:rPr>
                <w:rFonts w:hint="eastAsia"/>
              </w:rPr>
            </w:pPr>
            <w:r>
              <w:rPr>
                <w:rFonts w:hint="eastAsia"/>
              </w:rPr>
              <w:t>今年上半年，公司应收账款和信用减值有所上升，整体可控。公司将在以下四个方面进一步发力，</w:t>
            </w:r>
            <w:r>
              <w:rPr>
                <w:rFonts w:hint="eastAsia"/>
                <w:b/>
                <w:bCs/>
              </w:rPr>
              <w:t>一是</w:t>
            </w:r>
            <w:r>
              <w:rPr>
                <w:rFonts w:hint="eastAsia"/>
              </w:rPr>
              <w:t>坚持有利润、有现金流的收入，加强项目的管理；</w:t>
            </w:r>
            <w:r>
              <w:rPr>
                <w:rFonts w:hint="eastAsia"/>
                <w:b/>
                <w:bCs/>
              </w:rPr>
              <w:t>二是</w:t>
            </w:r>
            <w:r>
              <w:rPr>
                <w:rFonts w:hint="eastAsia"/>
              </w:rPr>
              <w:t>加强源头管理，做好客户信用的分级管理；</w:t>
            </w:r>
            <w:r>
              <w:rPr>
                <w:rFonts w:hint="eastAsia"/>
                <w:b/>
                <w:bCs/>
              </w:rPr>
              <w:t>三是</w:t>
            </w:r>
            <w:r>
              <w:rPr>
                <w:rFonts w:hint="eastAsia"/>
              </w:rPr>
              <w:t>重视过程管控，加强全生命周期管理；</w:t>
            </w:r>
            <w:r>
              <w:rPr>
                <w:rFonts w:hint="eastAsia"/>
                <w:b/>
                <w:bCs/>
              </w:rPr>
              <w:t>四是</w:t>
            </w:r>
            <w:r>
              <w:rPr>
                <w:rFonts w:hint="eastAsia"/>
              </w:rPr>
              <w:t>加强重点催收，对大额欠费开展集中攻坚。相信全年应收账款、信用减值指标在现在的基础上会得到改善。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rPr>
                <w:rFonts w:hint="eastAsia"/>
              </w:rPr>
            </w:pPr>
            <w:r>
              <w:rPr>
                <w:rFonts w:hint="eastAsia"/>
              </w:rPr>
              <w:t>附件清单（如有）</w:t>
            </w:r>
          </w:p>
        </w:tc>
        <w:tc>
          <w:tcPr>
            <w:tcW w:w="6600" w:type="dxa"/>
          </w:tcPr>
          <w:p>
            <w:pPr>
              <w:pStyle w:val="6"/>
              <w:spacing w:before="0" w:beforeAutospacing="0" w:after="0" w:afterAutospacing="0" w:line="360" w:lineRule="auto"/>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6"/>
              <w:spacing w:before="0" w:beforeAutospacing="0" w:after="0" w:afterAutospacing="0" w:line="360" w:lineRule="auto"/>
              <w:rPr>
                <w:rFonts w:hint="eastAsia"/>
              </w:rPr>
            </w:pPr>
            <w:r>
              <w:rPr>
                <w:rFonts w:hint="eastAsia"/>
              </w:rPr>
              <w:t>日期</w:t>
            </w:r>
          </w:p>
        </w:tc>
        <w:tc>
          <w:tcPr>
            <w:tcW w:w="6600" w:type="dxa"/>
          </w:tcPr>
          <w:p>
            <w:pPr>
              <w:pStyle w:val="6"/>
              <w:spacing w:before="0" w:beforeAutospacing="0" w:after="0" w:afterAutospacing="0" w:line="360" w:lineRule="auto"/>
              <w:rPr>
                <w:rFonts w:hint="eastAsia"/>
              </w:rPr>
            </w:pPr>
            <w:r>
              <w:rPr>
                <w:rFonts w:hint="eastAsia"/>
              </w:rPr>
              <w:t>2024年8月8日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jhjYTVmMTBlYmY5NTlmYTg0YjgyZmFhNGE3YjYifQ=="/>
  </w:docVars>
  <w:rsids>
    <w:rsidRoot w:val="00037B6D"/>
    <w:rsid w:val="00000E55"/>
    <w:rsid w:val="00000EF1"/>
    <w:rsid w:val="00002E7B"/>
    <w:rsid w:val="00003F86"/>
    <w:rsid w:val="00004F20"/>
    <w:rsid w:val="000074AF"/>
    <w:rsid w:val="0000792E"/>
    <w:rsid w:val="0001135A"/>
    <w:rsid w:val="000133E0"/>
    <w:rsid w:val="00013E80"/>
    <w:rsid w:val="000142B0"/>
    <w:rsid w:val="0001474B"/>
    <w:rsid w:val="000148E3"/>
    <w:rsid w:val="000158A7"/>
    <w:rsid w:val="0001645D"/>
    <w:rsid w:val="000166D3"/>
    <w:rsid w:val="00024FD9"/>
    <w:rsid w:val="00025BA7"/>
    <w:rsid w:val="0002761A"/>
    <w:rsid w:val="0003428F"/>
    <w:rsid w:val="00037A11"/>
    <w:rsid w:val="00037B6D"/>
    <w:rsid w:val="0004099A"/>
    <w:rsid w:val="00043DC1"/>
    <w:rsid w:val="00044D33"/>
    <w:rsid w:val="00045752"/>
    <w:rsid w:val="0005260A"/>
    <w:rsid w:val="00052E9A"/>
    <w:rsid w:val="0005504B"/>
    <w:rsid w:val="000550D6"/>
    <w:rsid w:val="000559E1"/>
    <w:rsid w:val="00055A2C"/>
    <w:rsid w:val="00057EF7"/>
    <w:rsid w:val="00061B2C"/>
    <w:rsid w:val="00063F78"/>
    <w:rsid w:val="00065671"/>
    <w:rsid w:val="000673F6"/>
    <w:rsid w:val="00067EA7"/>
    <w:rsid w:val="00072779"/>
    <w:rsid w:val="00072FF6"/>
    <w:rsid w:val="0007317F"/>
    <w:rsid w:val="000741EB"/>
    <w:rsid w:val="00077072"/>
    <w:rsid w:val="00080065"/>
    <w:rsid w:val="00080153"/>
    <w:rsid w:val="00081053"/>
    <w:rsid w:val="00081849"/>
    <w:rsid w:val="0008393B"/>
    <w:rsid w:val="00085106"/>
    <w:rsid w:val="00086BE6"/>
    <w:rsid w:val="00087480"/>
    <w:rsid w:val="000908AF"/>
    <w:rsid w:val="000940F3"/>
    <w:rsid w:val="000958E2"/>
    <w:rsid w:val="000968C8"/>
    <w:rsid w:val="00097CA7"/>
    <w:rsid w:val="00097F92"/>
    <w:rsid w:val="000A5257"/>
    <w:rsid w:val="000A52A1"/>
    <w:rsid w:val="000A738B"/>
    <w:rsid w:val="000B045C"/>
    <w:rsid w:val="000B328A"/>
    <w:rsid w:val="000B3B38"/>
    <w:rsid w:val="000B6B89"/>
    <w:rsid w:val="000B744F"/>
    <w:rsid w:val="000C15F8"/>
    <w:rsid w:val="000C1E66"/>
    <w:rsid w:val="000C358E"/>
    <w:rsid w:val="000C4EB0"/>
    <w:rsid w:val="000C660A"/>
    <w:rsid w:val="000D0F26"/>
    <w:rsid w:val="000D173D"/>
    <w:rsid w:val="000D1FBC"/>
    <w:rsid w:val="000D303A"/>
    <w:rsid w:val="000D5454"/>
    <w:rsid w:val="000E4F97"/>
    <w:rsid w:val="000E5112"/>
    <w:rsid w:val="000F0EF5"/>
    <w:rsid w:val="000F387C"/>
    <w:rsid w:val="000F59AE"/>
    <w:rsid w:val="000F7990"/>
    <w:rsid w:val="001001B1"/>
    <w:rsid w:val="00103F61"/>
    <w:rsid w:val="00105155"/>
    <w:rsid w:val="001052B7"/>
    <w:rsid w:val="00111833"/>
    <w:rsid w:val="00113326"/>
    <w:rsid w:val="00114291"/>
    <w:rsid w:val="00114AF8"/>
    <w:rsid w:val="00126837"/>
    <w:rsid w:val="00126C3E"/>
    <w:rsid w:val="00130125"/>
    <w:rsid w:val="00136530"/>
    <w:rsid w:val="001432DA"/>
    <w:rsid w:val="00144612"/>
    <w:rsid w:val="001456A9"/>
    <w:rsid w:val="001514CA"/>
    <w:rsid w:val="00151AA1"/>
    <w:rsid w:val="001541A9"/>
    <w:rsid w:val="00155019"/>
    <w:rsid w:val="00157CC3"/>
    <w:rsid w:val="00160003"/>
    <w:rsid w:val="00161816"/>
    <w:rsid w:val="00162466"/>
    <w:rsid w:val="00163A14"/>
    <w:rsid w:val="00166949"/>
    <w:rsid w:val="00170AED"/>
    <w:rsid w:val="00172326"/>
    <w:rsid w:val="00174828"/>
    <w:rsid w:val="00180E60"/>
    <w:rsid w:val="00181957"/>
    <w:rsid w:val="00184689"/>
    <w:rsid w:val="001905F9"/>
    <w:rsid w:val="00191384"/>
    <w:rsid w:val="001A2B9F"/>
    <w:rsid w:val="001A3366"/>
    <w:rsid w:val="001A791E"/>
    <w:rsid w:val="001B0401"/>
    <w:rsid w:val="001B0B74"/>
    <w:rsid w:val="001B2953"/>
    <w:rsid w:val="001B6410"/>
    <w:rsid w:val="001C29F7"/>
    <w:rsid w:val="001C2CDC"/>
    <w:rsid w:val="001C47F3"/>
    <w:rsid w:val="001C746B"/>
    <w:rsid w:val="001D12B2"/>
    <w:rsid w:val="001D6886"/>
    <w:rsid w:val="001E3667"/>
    <w:rsid w:val="001E3EC1"/>
    <w:rsid w:val="001E4F67"/>
    <w:rsid w:val="001F006D"/>
    <w:rsid w:val="001F4C89"/>
    <w:rsid w:val="00200DDA"/>
    <w:rsid w:val="0020789E"/>
    <w:rsid w:val="00210957"/>
    <w:rsid w:val="00213F92"/>
    <w:rsid w:val="00215757"/>
    <w:rsid w:val="0021725E"/>
    <w:rsid w:val="00221C69"/>
    <w:rsid w:val="00224A60"/>
    <w:rsid w:val="00233CB9"/>
    <w:rsid w:val="00240ADE"/>
    <w:rsid w:val="00242465"/>
    <w:rsid w:val="00242768"/>
    <w:rsid w:val="00242B73"/>
    <w:rsid w:val="002450AD"/>
    <w:rsid w:val="00245E95"/>
    <w:rsid w:val="00246B2E"/>
    <w:rsid w:val="00247098"/>
    <w:rsid w:val="0025324C"/>
    <w:rsid w:val="00253F13"/>
    <w:rsid w:val="002548AA"/>
    <w:rsid w:val="00261376"/>
    <w:rsid w:val="00263895"/>
    <w:rsid w:val="00265F2D"/>
    <w:rsid w:val="00266918"/>
    <w:rsid w:val="00267F87"/>
    <w:rsid w:val="00272D8C"/>
    <w:rsid w:val="002771AD"/>
    <w:rsid w:val="002773AD"/>
    <w:rsid w:val="00277646"/>
    <w:rsid w:val="0028066D"/>
    <w:rsid w:val="00280E61"/>
    <w:rsid w:val="00284325"/>
    <w:rsid w:val="002861E8"/>
    <w:rsid w:val="00286DE3"/>
    <w:rsid w:val="002870E5"/>
    <w:rsid w:val="00287207"/>
    <w:rsid w:val="00291B52"/>
    <w:rsid w:val="00292685"/>
    <w:rsid w:val="002A1C06"/>
    <w:rsid w:val="002A22D9"/>
    <w:rsid w:val="002A274E"/>
    <w:rsid w:val="002A3D4C"/>
    <w:rsid w:val="002A714D"/>
    <w:rsid w:val="002B0954"/>
    <w:rsid w:val="002B0ED5"/>
    <w:rsid w:val="002B6C10"/>
    <w:rsid w:val="002B79A2"/>
    <w:rsid w:val="002C1983"/>
    <w:rsid w:val="002C4949"/>
    <w:rsid w:val="002C4CCE"/>
    <w:rsid w:val="002D2630"/>
    <w:rsid w:val="002D6531"/>
    <w:rsid w:val="002D67BC"/>
    <w:rsid w:val="002D69E5"/>
    <w:rsid w:val="002E49C9"/>
    <w:rsid w:val="002E74E3"/>
    <w:rsid w:val="002E75EC"/>
    <w:rsid w:val="002E7FA6"/>
    <w:rsid w:val="002F0CE6"/>
    <w:rsid w:val="002F3476"/>
    <w:rsid w:val="002F400A"/>
    <w:rsid w:val="002F561D"/>
    <w:rsid w:val="00301D3B"/>
    <w:rsid w:val="00303D8E"/>
    <w:rsid w:val="00304330"/>
    <w:rsid w:val="003067D4"/>
    <w:rsid w:val="00306C2F"/>
    <w:rsid w:val="00311EB9"/>
    <w:rsid w:val="003146C3"/>
    <w:rsid w:val="00316793"/>
    <w:rsid w:val="0032040D"/>
    <w:rsid w:val="003207CA"/>
    <w:rsid w:val="003314B9"/>
    <w:rsid w:val="003344FD"/>
    <w:rsid w:val="00344A2A"/>
    <w:rsid w:val="00346A86"/>
    <w:rsid w:val="0035022C"/>
    <w:rsid w:val="0035094A"/>
    <w:rsid w:val="00354646"/>
    <w:rsid w:val="00354FD7"/>
    <w:rsid w:val="003551ED"/>
    <w:rsid w:val="0035660F"/>
    <w:rsid w:val="00356747"/>
    <w:rsid w:val="00363420"/>
    <w:rsid w:val="00366D30"/>
    <w:rsid w:val="00371040"/>
    <w:rsid w:val="00371406"/>
    <w:rsid w:val="0037155A"/>
    <w:rsid w:val="003746FD"/>
    <w:rsid w:val="0037510E"/>
    <w:rsid w:val="00376158"/>
    <w:rsid w:val="0037750A"/>
    <w:rsid w:val="00383691"/>
    <w:rsid w:val="00384D48"/>
    <w:rsid w:val="00385739"/>
    <w:rsid w:val="00385D83"/>
    <w:rsid w:val="00394976"/>
    <w:rsid w:val="003979D0"/>
    <w:rsid w:val="003A0091"/>
    <w:rsid w:val="003A04EB"/>
    <w:rsid w:val="003A078C"/>
    <w:rsid w:val="003A129C"/>
    <w:rsid w:val="003A2B17"/>
    <w:rsid w:val="003A4BA9"/>
    <w:rsid w:val="003B1714"/>
    <w:rsid w:val="003B17FD"/>
    <w:rsid w:val="003B1FDD"/>
    <w:rsid w:val="003B3E36"/>
    <w:rsid w:val="003C499B"/>
    <w:rsid w:val="003C71CC"/>
    <w:rsid w:val="003C77FC"/>
    <w:rsid w:val="003D1082"/>
    <w:rsid w:val="003D331C"/>
    <w:rsid w:val="003D6322"/>
    <w:rsid w:val="003E135E"/>
    <w:rsid w:val="003E2ED9"/>
    <w:rsid w:val="003E32D2"/>
    <w:rsid w:val="003E434C"/>
    <w:rsid w:val="003E7EE8"/>
    <w:rsid w:val="003F0220"/>
    <w:rsid w:val="003F044A"/>
    <w:rsid w:val="003F3AB5"/>
    <w:rsid w:val="003F3E0D"/>
    <w:rsid w:val="003F79A1"/>
    <w:rsid w:val="00400FC6"/>
    <w:rsid w:val="00403E50"/>
    <w:rsid w:val="00405829"/>
    <w:rsid w:val="00406D23"/>
    <w:rsid w:val="00410AC6"/>
    <w:rsid w:val="00410E70"/>
    <w:rsid w:val="00411C30"/>
    <w:rsid w:val="0041231B"/>
    <w:rsid w:val="00413457"/>
    <w:rsid w:val="00417DD7"/>
    <w:rsid w:val="004202C0"/>
    <w:rsid w:val="004206D7"/>
    <w:rsid w:val="00420763"/>
    <w:rsid w:val="00421339"/>
    <w:rsid w:val="00424872"/>
    <w:rsid w:val="00426466"/>
    <w:rsid w:val="004275C8"/>
    <w:rsid w:val="00427AB0"/>
    <w:rsid w:val="004309E8"/>
    <w:rsid w:val="004336CB"/>
    <w:rsid w:val="00433BF5"/>
    <w:rsid w:val="00434682"/>
    <w:rsid w:val="004351E7"/>
    <w:rsid w:val="0043711A"/>
    <w:rsid w:val="00445643"/>
    <w:rsid w:val="00450A08"/>
    <w:rsid w:val="00450C5D"/>
    <w:rsid w:val="004517FF"/>
    <w:rsid w:val="00456D56"/>
    <w:rsid w:val="004605AD"/>
    <w:rsid w:val="0046061A"/>
    <w:rsid w:val="00463D3F"/>
    <w:rsid w:val="0046402E"/>
    <w:rsid w:val="004653F8"/>
    <w:rsid w:val="00466A05"/>
    <w:rsid w:val="0046755F"/>
    <w:rsid w:val="00470A9A"/>
    <w:rsid w:val="00470EA8"/>
    <w:rsid w:val="00474268"/>
    <w:rsid w:val="004744BC"/>
    <w:rsid w:val="0048018D"/>
    <w:rsid w:val="00484AF9"/>
    <w:rsid w:val="004856C0"/>
    <w:rsid w:val="00490920"/>
    <w:rsid w:val="004909B5"/>
    <w:rsid w:val="004913B6"/>
    <w:rsid w:val="00491988"/>
    <w:rsid w:val="00492018"/>
    <w:rsid w:val="004964B9"/>
    <w:rsid w:val="004968DB"/>
    <w:rsid w:val="00496FA4"/>
    <w:rsid w:val="004A069F"/>
    <w:rsid w:val="004A10FA"/>
    <w:rsid w:val="004A251C"/>
    <w:rsid w:val="004A2CEA"/>
    <w:rsid w:val="004A2F14"/>
    <w:rsid w:val="004A30B9"/>
    <w:rsid w:val="004A4000"/>
    <w:rsid w:val="004A49AA"/>
    <w:rsid w:val="004A68AD"/>
    <w:rsid w:val="004B26AC"/>
    <w:rsid w:val="004B4FC6"/>
    <w:rsid w:val="004B554C"/>
    <w:rsid w:val="004B573C"/>
    <w:rsid w:val="004C0671"/>
    <w:rsid w:val="004C0A12"/>
    <w:rsid w:val="004C33F2"/>
    <w:rsid w:val="004C3BAE"/>
    <w:rsid w:val="004C444F"/>
    <w:rsid w:val="004C6B36"/>
    <w:rsid w:val="004D06E9"/>
    <w:rsid w:val="004D370E"/>
    <w:rsid w:val="004D4709"/>
    <w:rsid w:val="004D54C4"/>
    <w:rsid w:val="004E2D6C"/>
    <w:rsid w:val="004E7563"/>
    <w:rsid w:val="004F0719"/>
    <w:rsid w:val="004F243D"/>
    <w:rsid w:val="004F31B9"/>
    <w:rsid w:val="004F3D11"/>
    <w:rsid w:val="004F3EE6"/>
    <w:rsid w:val="004F5DFB"/>
    <w:rsid w:val="004F79D8"/>
    <w:rsid w:val="004F7E9D"/>
    <w:rsid w:val="005002C2"/>
    <w:rsid w:val="00500BB7"/>
    <w:rsid w:val="00510D88"/>
    <w:rsid w:val="00514306"/>
    <w:rsid w:val="005144CF"/>
    <w:rsid w:val="00517062"/>
    <w:rsid w:val="00517439"/>
    <w:rsid w:val="00517479"/>
    <w:rsid w:val="00517B12"/>
    <w:rsid w:val="005206BE"/>
    <w:rsid w:val="005228A1"/>
    <w:rsid w:val="00523A88"/>
    <w:rsid w:val="00526A9E"/>
    <w:rsid w:val="00527623"/>
    <w:rsid w:val="00531780"/>
    <w:rsid w:val="005326F7"/>
    <w:rsid w:val="00532D9E"/>
    <w:rsid w:val="00537EE2"/>
    <w:rsid w:val="005406CE"/>
    <w:rsid w:val="005408E6"/>
    <w:rsid w:val="0054154C"/>
    <w:rsid w:val="005417BB"/>
    <w:rsid w:val="00545CC4"/>
    <w:rsid w:val="00545E7F"/>
    <w:rsid w:val="005462C8"/>
    <w:rsid w:val="00546364"/>
    <w:rsid w:val="00547829"/>
    <w:rsid w:val="00547D4A"/>
    <w:rsid w:val="00547F21"/>
    <w:rsid w:val="005514A7"/>
    <w:rsid w:val="00551F9A"/>
    <w:rsid w:val="00552B51"/>
    <w:rsid w:val="005534BB"/>
    <w:rsid w:val="00560984"/>
    <w:rsid w:val="0056242C"/>
    <w:rsid w:val="0056269D"/>
    <w:rsid w:val="0056496B"/>
    <w:rsid w:val="00567054"/>
    <w:rsid w:val="00570D61"/>
    <w:rsid w:val="00571D50"/>
    <w:rsid w:val="00571E67"/>
    <w:rsid w:val="0057373D"/>
    <w:rsid w:val="00574495"/>
    <w:rsid w:val="005745F5"/>
    <w:rsid w:val="00575C10"/>
    <w:rsid w:val="00576299"/>
    <w:rsid w:val="005804E0"/>
    <w:rsid w:val="005845B3"/>
    <w:rsid w:val="00587DF9"/>
    <w:rsid w:val="005915E6"/>
    <w:rsid w:val="005945B0"/>
    <w:rsid w:val="005A12EA"/>
    <w:rsid w:val="005A14CE"/>
    <w:rsid w:val="005A398C"/>
    <w:rsid w:val="005A4569"/>
    <w:rsid w:val="005A4B8D"/>
    <w:rsid w:val="005B1149"/>
    <w:rsid w:val="005B29B6"/>
    <w:rsid w:val="005B3EED"/>
    <w:rsid w:val="005C131C"/>
    <w:rsid w:val="005C2AF7"/>
    <w:rsid w:val="005C33F0"/>
    <w:rsid w:val="005C4031"/>
    <w:rsid w:val="005C7376"/>
    <w:rsid w:val="005D1E4E"/>
    <w:rsid w:val="005D2D0D"/>
    <w:rsid w:val="005D38B3"/>
    <w:rsid w:val="005D4A7C"/>
    <w:rsid w:val="005D67AB"/>
    <w:rsid w:val="005D7158"/>
    <w:rsid w:val="005E01B6"/>
    <w:rsid w:val="005E1EFC"/>
    <w:rsid w:val="005E2BAC"/>
    <w:rsid w:val="005E5DCC"/>
    <w:rsid w:val="005E6180"/>
    <w:rsid w:val="005E68B7"/>
    <w:rsid w:val="005E6CFA"/>
    <w:rsid w:val="005E6D1C"/>
    <w:rsid w:val="005F0F8D"/>
    <w:rsid w:val="005F7BE4"/>
    <w:rsid w:val="005F7FAB"/>
    <w:rsid w:val="006007B5"/>
    <w:rsid w:val="006013DF"/>
    <w:rsid w:val="0060320E"/>
    <w:rsid w:val="0060501E"/>
    <w:rsid w:val="006069E6"/>
    <w:rsid w:val="00607209"/>
    <w:rsid w:val="00613888"/>
    <w:rsid w:val="00617426"/>
    <w:rsid w:val="00617E2D"/>
    <w:rsid w:val="00620EF0"/>
    <w:rsid w:val="00621025"/>
    <w:rsid w:val="00622F75"/>
    <w:rsid w:val="00624126"/>
    <w:rsid w:val="00624DCC"/>
    <w:rsid w:val="00626E37"/>
    <w:rsid w:val="00631CDC"/>
    <w:rsid w:val="00631F6F"/>
    <w:rsid w:val="00633AB9"/>
    <w:rsid w:val="006343B8"/>
    <w:rsid w:val="006355AB"/>
    <w:rsid w:val="006374BB"/>
    <w:rsid w:val="0064271D"/>
    <w:rsid w:val="00643B82"/>
    <w:rsid w:val="00645CDB"/>
    <w:rsid w:val="00646FA0"/>
    <w:rsid w:val="006471C7"/>
    <w:rsid w:val="006472A1"/>
    <w:rsid w:val="0065091C"/>
    <w:rsid w:val="00654663"/>
    <w:rsid w:val="00655D1F"/>
    <w:rsid w:val="006561CC"/>
    <w:rsid w:val="0065632A"/>
    <w:rsid w:val="00660317"/>
    <w:rsid w:val="00662D59"/>
    <w:rsid w:val="0066395E"/>
    <w:rsid w:val="006639A6"/>
    <w:rsid w:val="00664EE5"/>
    <w:rsid w:val="00667F3D"/>
    <w:rsid w:val="00672AA6"/>
    <w:rsid w:val="00672D50"/>
    <w:rsid w:val="00673765"/>
    <w:rsid w:val="00673D1B"/>
    <w:rsid w:val="0068026E"/>
    <w:rsid w:val="00680EA7"/>
    <w:rsid w:val="006817FF"/>
    <w:rsid w:val="0068243A"/>
    <w:rsid w:val="00686756"/>
    <w:rsid w:val="00687B29"/>
    <w:rsid w:val="00690CCC"/>
    <w:rsid w:val="00693C7B"/>
    <w:rsid w:val="0069522C"/>
    <w:rsid w:val="00695D34"/>
    <w:rsid w:val="00697DE6"/>
    <w:rsid w:val="006A3543"/>
    <w:rsid w:val="006A3A32"/>
    <w:rsid w:val="006A432F"/>
    <w:rsid w:val="006A6180"/>
    <w:rsid w:val="006A6AFD"/>
    <w:rsid w:val="006A7373"/>
    <w:rsid w:val="006A77E2"/>
    <w:rsid w:val="006A7931"/>
    <w:rsid w:val="006B011D"/>
    <w:rsid w:val="006B1E42"/>
    <w:rsid w:val="006B28F0"/>
    <w:rsid w:val="006C19B3"/>
    <w:rsid w:val="006D13AF"/>
    <w:rsid w:val="006D23E1"/>
    <w:rsid w:val="006D2FAE"/>
    <w:rsid w:val="006D74A5"/>
    <w:rsid w:val="006D7552"/>
    <w:rsid w:val="006E1347"/>
    <w:rsid w:val="006E194D"/>
    <w:rsid w:val="006E41A6"/>
    <w:rsid w:val="006E69A7"/>
    <w:rsid w:val="006E69B9"/>
    <w:rsid w:val="006F10D9"/>
    <w:rsid w:val="006F306B"/>
    <w:rsid w:val="006F4516"/>
    <w:rsid w:val="006F74C0"/>
    <w:rsid w:val="007003E8"/>
    <w:rsid w:val="00701853"/>
    <w:rsid w:val="00702150"/>
    <w:rsid w:val="00707DCF"/>
    <w:rsid w:val="00712275"/>
    <w:rsid w:val="007131B6"/>
    <w:rsid w:val="00716410"/>
    <w:rsid w:val="007168BA"/>
    <w:rsid w:val="00717DE7"/>
    <w:rsid w:val="0072158D"/>
    <w:rsid w:val="00722827"/>
    <w:rsid w:val="00727E2F"/>
    <w:rsid w:val="007323F5"/>
    <w:rsid w:val="00733183"/>
    <w:rsid w:val="007342ED"/>
    <w:rsid w:val="00734919"/>
    <w:rsid w:val="00742699"/>
    <w:rsid w:val="0074535F"/>
    <w:rsid w:val="007468EC"/>
    <w:rsid w:val="007547D8"/>
    <w:rsid w:val="00754B4D"/>
    <w:rsid w:val="007562E7"/>
    <w:rsid w:val="00757AC1"/>
    <w:rsid w:val="00757B11"/>
    <w:rsid w:val="00760A9A"/>
    <w:rsid w:val="007632DA"/>
    <w:rsid w:val="00764D2A"/>
    <w:rsid w:val="007728F8"/>
    <w:rsid w:val="00777952"/>
    <w:rsid w:val="007804D1"/>
    <w:rsid w:val="007811AE"/>
    <w:rsid w:val="00781389"/>
    <w:rsid w:val="00781FA9"/>
    <w:rsid w:val="00786316"/>
    <w:rsid w:val="007876EC"/>
    <w:rsid w:val="0079311F"/>
    <w:rsid w:val="007A1257"/>
    <w:rsid w:val="007A335A"/>
    <w:rsid w:val="007A6DE6"/>
    <w:rsid w:val="007B09C8"/>
    <w:rsid w:val="007B7ED4"/>
    <w:rsid w:val="007C12C1"/>
    <w:rsid w:val="007C139C"/>
    <w:rsid w:val="007C7638"/>
    <w:rsid w:val="007D292F"/>
    <w:rsid w:val="007D3050"/>
    <w:rsid w:val="007D3567"/>
    <w:rsid w:val="007D4740"/>
    <w:rsid w:val="007D48CA"/>
    <w:rsid w:val="007D515C"/>
    <w:rsid w:val="007D7690"/>
    <w:rsid w:val="007E5765"/>
    <w:rsid w:val="007E6456"/>
    <w:rsid w:val="007F1A5E"/>
    <w:rsid w:val="007F5484"/>
    <w:rsid w:val="007F5E9E"/>
    <w:rsid w:val="007F6A81"/>
    <w:rsid w:val="00801BA5"/>
    <w:rsid w:val="008026DE"/>
    <w:rsid w:val="00804335"/>
    <w:rsid w:val="00805615"/>
    <w:rsid w:val="00812178"/>
    <w:rsid w:val="00822E2D"/>
    <w:rsid w:val="0083029F"/>
    <w:rsid w:val="00833F99"/>
    <w:rsid w:val="0083769B"/>
    <w:rsid w:val="00840FD0"/>
    <w:rsid w:val="00843932"/>
    <w:rsid w:val="008448AD"/>
    <w:rsid w:val="008473B2"/>
    <w:rsid w:val="00847DD7"/>
    <w:rsid w:val="00850D35"/>
    <w:rsid w:val="00852266"/>
    <w:rsid w:val="00856F20"/>
    <w:rsid w:val="00857226"/>
    <w:rsid w:val="00862CF0"/>
    <w:rsid w:val="0087000E"/>
    <w:rsid w:val="0087146C"/>
    <w:rsid w:val="00871E1D"/>
    <w:rsid w:val="00872244"/>
    <w:rsid w:val="008730A7"/>
    <w:rsid w:val="008750ED"/>
    <w:rsid w:val="00877804"/>
    <w:rsid w:val="008810ED"/>
    <w:rsid w:val="008822B0"/>
    <w:rsid w:val="008822D8"/>
    <w:rsid w:val="0088767A"/>
    <w:rsid w:val="00887FD6"/>
    <w:rsid w:val="00890605"/>
    <w:rsid w:val="0089103E"/>
    <w:rsid w:val="0089721E"/>
    <w:rsid w:val="00897351"/>
    <w:rsid w:val="00897966"/>
    <w:rsid w:val="008A4897"/>
    <w:rsid w:val="008B0D1F"/>
    <w:rsid w:val="008B2925"/>
    <w:rsid w:val="008B5D92"/>
    <w:rsid w:val="008B6969"/>
    <w:rsid w:val="008C10CE"/>
    <w:rsid w:val="008C4197"/>
    <w:rsid w:val="008C6501"/>
    <w:rsid w:val="008D14BC"/>
    <w:rsid w:val="008D1771"/>
    <w:rsid w:val="008D513C"/>
    <w:rsid w:val="008D5F77"/>
    <w:rsid w:val="008E034B"/>
    <w:rsid w:val="008E06F4"/>
    <w:rsid w:val="008E0E17"/>
    <w:rsid w:val="008E12CA"/>
    <w:rsid w:val="008E226A"/>
    <w:rsid w:val="008E50D2"/>
    <w:rsid w:val="008E60FE"/>
    <w:rsid w:val="008F36F2"/>
    <w:rsid w:val="008F488D"/>
    <w:rsid w:val="008F6B33"/>
    <w:rsid w:val="008F757C"/>
    <w:rsid w:val="00900897"/>
    <w:rsid w:val="009019A2"/>
    <w:rsid w:val="00902775"/>
    <w:rsid w:val="009049EB"/>
    <w:rsid w:val="00906013"/>
    <w:rsid w:val="0090651B"/>
    <w:rsid w:val="00906A72"/>
    <w:rsid w:val="00906B96"/>
    <w:rsid w:val="0091026C"/>
    <w:rsid w:val="00910E6F"/>
    <w:rsid w:val="00911866"/>
    <w:rsid w:val="009124AD"/>
    <w:rsid w:val="0091274C"/>
    <w:rsid w:val="00924A18"/>
    <w:rsid w:val="009260BD"/>
    <w:rsid w:val="00927A30"/>
    <w:rsid w:val="00927F10"/>
    <w:rsid w:val="00931273"/>
    <w:rsid w:val="00931D35"/>
    <w:rsid w:val="00931F29"/>
    <w:rsid w:val="00932E17"/>
    <w:rsid w:val="00933B3B"/>
    <w:rsid w:val="00941B3C"/>
    <w:rsid w:val="00943CCF"/>
    <w:rsid w:val="00950A52"/>
    <w:rsid w:val="00951435"/>
    <w:rsid w:val="00952229"/>
    <w:rsid w:val="00952714"/>
    <w:rsid w:val="00955957"/>
    <w:rsid w:val="00956957"/>
    <w:rsid w:val="00957786"/>
    <w:rsid w:val="00957DE8"/>
    <w:rsid w:val="00965435"/>
    <w:rsid w:val="00973F8C"/>
    <w:rsid w:val="00975333"/>
    <w:rsid w:val="00987DE6"/>
    <w:rsid w:val="009902BE"/>
    <w:rsid w:val="00991F43"/>
    <w:rsid w:val="00992F12"/>
    <w:rsid w:val="009940DE"/>
    <w:rsid w:val="009942BE"/>
    <w:rsid w:val="00996085"/>
    <w:rsid w:val="009A0BCB"/>
    <w:rsid w:val="009A2CAB"/>
    <w:rsid w:val="009A4E17"/>
    <w:rsid w:val="009A550F"/>
    <w:rsid w:val="009A6E23"/>
    <w:rsid w:val="009B465A"/>
    <w:rsid w:val="009B5BE4"/>
    <w:rsid w:val="009B6910"/>
    <w:rsid w:val="009C05BE"/>
    <w:rsid w:val="009C1A30"/>
    <w:rsid w:val="009C23A6"/>
    <w:rsid w:val="009D0D15"/>
    <w:rsid w:val="009D1DEB"/>
    <w:rsid w:val="009D3D2C"/>
    <w:rsid w:val="009D3D55"/>
    <w:rsid w:val="009D55D0"/>
    <w:rsid w:val="009D735A"/>
    <w:rsid w:val="009D79FA"/>
    <w:rsid w:val="009E0845"/>
    <w:rsid w:val="009E17D2"/>
    <w:rsid w:val="009E21CC"/>
    <w:rsid w:val="009E4383"/>
    <w:rsid w:val="009E4D8A"/>
    <w:rsid w:val="009E6C2F"/>
    <w:rsid w:val="009F1E7B"/>
    <w:rsid w:val="009F2266"/>
    <w:rsid w:val="00A01C78"/>
    <w:rsid w:val="00A111C6"/>
    <w:rsid w:val="00A118F0"/>
    <w:rsid w:val="00A128B6"/>
    <w:rsid w:val="00A12C46"/>
    <w:rsid w:val="00A15883"/>
    <w:rsid w:val="00A16081"/>
    <w:rsid w:val="00A16638"/>
    <w:rsid w:val="00A2264F"/>
    <w:rsid w:val="00A22803"/>
    <w:rsid w:val="00A22B92"/>
    <w:rsid w:val="00A22CE8"/>
    <w:rsid w:val="00A23B78"/>
    <w:rsid w:val="00A265AB"/>
    <w:rsid w:val="00A30D61"/>
    <w:rsid w:val="00A352CA"/>
    <w:rsid w:val="00A36F1B"/>
    <w:rsid w:val="00A506DB"/>
    <w:rsid w:val="00A5338F"/>
    <w:rsid w:val="00A6193C"/>
    <w:rsid w:val="00A6251A"/>
    <w:rsid w:val="00A6603E"/>
    <w:rsid w:val="00A6707B"/>
    <w:rsid w:val="00A67251"/>
    <w:rsid w:val="00A72C03"/>
    <w:rsid w:val="00A7512F"/>
    <w:rsid w:val="00A7690F"/>
    <w:rsid w:val="00A772D9"/>
    <w:rsid w:val="00A81F23"/>
    <w:rsid w:val="00A821FC"/>
    <w:rsid w:val="00A82657"/>
    <w:rsid w:val="00A83D2A"/>
    <w:rsid w:val="00A855F8"/>
    <w:rsid w:val="00A858AD"/>
    <w:rsid w:val="00A9026E"/>
    <w:rsid w:val="00A90448"/>
    <w:rsid w:val="00A90A00"/>
    <w:rsid w:val="00A943DB"/>
    <w:rsid w:val="00A96B16"/>
    <w:rsid w:val="00AA1696"/>
    <w:rsid w:val="00AA3535"/>
    <w:rsid w:val="00AA5ADB"/>
    <w:rsid w:val="00AA6745"/>
    <w:rsid w:val="00AB2379"/>
    <w:rsid w:val="00AB4E18"/>
    <w:rsid w:val="00AB5B48"/>
    <w:rsid w:val="00AB5D80"/>
    <w:rsid w:val="00AB715D"/>
    <w:rsid w:val="00AB7BFB"/>
    <w:rsid w:val="00AC3C48"/>
    <w:rsid w:val="00AC3F51"/>
    <w:rsid w:val="00AC5E49"/>
    <w:rsid w:val="00AD05F7"/>
    <w:rsid w:val="00AD084F"/>
    <w:rsid w:val="00AD4C33"/>
    <w:rsid w:val="00AD4DCC"/>
    <w:rsid w:val="00AE03C6"/>
    <w:rsid w:val="00AE0820"/>
    <w:rsid w:val="00AE4774"/>
    <w:rsid w:val="00AE59E8"/>
    <w:rsid w:val="00AE5A3B"/>
    <w:rsid w:val="00AE7CD5"/>
    <w:rsid w:val="00AF2EDE"/>
    <w:rsid w:val="00AF3507"/>
    <w:rsid w:val="00AF50FD"/>
    <w:rsid w:val="00AF5E31"/>
    <w:rsid w:val="00AF624D"/>
    <w:rsid w:val="00AF64AE"/>
    <w:rsid w:val="00B027D8"/>
    <w:rsid w:val="00B03EED"/>
    <w:rsid w:val="00B04DF3"/>
    <w:rsid w:val="00B0563F"/>
    <w:rsid w:val="00B13066"/>
    <w:rsid w:val="00B13764"/>
    <w:rsid w:val="00B14826"/>
    <w:rsid w:val="00B14DEE"/>
    <w:rsid w:val="00B156FB"/>
    <w:rsid w:val="00B217B8"/>
    <w:rsid w:val="00B22063"/>
    <w:rsid w:val="00B22960"/>
    <w:rsid w:val="00B23776"/>
    <w:rsid w:val="00B331F7"/>
    <w:rsid w:val="00B34533"/>
    <w:rsid w:val="00B347D0"/>
    <w:rsid w:val="00B357AF"/>
    <w:rsid w:val="00B359BE"/>
    <w:rsid w:val="00B37917"/>
    <w:rsid w:val="00B37D3A"/>
    <w:rsid w:val="00B400BD"/>
    <w:rsid w:val="00B41D27"/>
    <w:rsid w:val="00B45C88"/>
    <w:rsid w:val="00B46B8D"/>
    <w:rsid w:val="00B51C68"/>
    <w:rsid w:val="00B53333"/>
    <w:rsid w:val="00B54C3C"/>
    <w:rsid w:val="00B60C59"/>
    <w:rsid w:val="00B620EF"/>
    <w:rsid w:val="00B65432"/>
    <w:rsid w:val="00B65985"/>
    <w:rsid w:val="00B65D31"/>
    <w:rsid w:val="00B679EB"/>
    <w:rsid w:val="00B71407"/>
    <w:rsid w:val="00B716DF"/>
    <w:rsid w:val="00B74CD8"/>
    <w:rsid w:val="00B812A9"/>
    <w:rsid w:val="00B81845"/>
    <w:rsid w:val="00B82A9F"/>
    <w:rsid w:val="00B83178"/>
    <w:rsid w:val="00B83356"/>
    <w:rsid w:val="00B9445C"/>
    <w:rsid w:val="00B96089"/>
    <w:rsid w:val="00B965B7"/>
    <w:rsid w:val="00BA0DBF"/>
    <w:rsid w:val="00BA11D3"/>
    <w:rsid w:val="00BA1AF4"/>
    <w:rsid w:val="00BA2D80"/>
    <w:rsid w:val="00BA3987"/>
    <w:rsid w:val="00BA3EB8"/>
    <w:rsid w:val="00BB0551"/>
    <w:rsid w:val="00BB13F5"/>
    <w:rsid w:val="00BB2D58"/>
    <w:rsid w:val="00BB48DF"/>
    <w:rsid w:val="00BB65A8"/>
    <w:rsid w:val="00BB66B2"/>
    <w:rsid w:val="00BC204C"/>
    <w:rsid w:val="00BC2743"/>
    <w:rsid w:val="00BC3F7B"/>
    <w:rsid w:val="00BC43AB"/>
    <w:rsid w:val="00BC5DFC"/>
    <w:rsid w:val="00BC6792"/>
    <w:rsid w:val="00BD1127"/>
    <w:rsid w:val="00BD374E"/>
    <w:rsid w:val="00BD44B9"/>
    <w:rsid w:val="00BD4D7A"/>
    <w:rsid w:val="00BD7C66"/>
    <w:rsid w:val="00BD7D3A"/>
    <w:rsid w:val="00BE0565"/>
    <w:rsid w:val="00BE12F3"/>
    <w:rsid w:val="00BE1427"/>
    <w:rsid w:val="00BE3314"/>
    <w:rsid w:val="00BE3CE8"/>
    <w:rsid w:val="00BE63F6"/>
    <w:rsid w:val="00BE64AB"/>
    <w:rsid w:val="00BE714E"/>
    <w:rsid w:val="00BF1A48"/>
    <w:rsid w:val="00BF1AF1"/>
    <w:rsid w:val="00BF4D18"/>
    <w:rsid w:val="00C0089D"/>
    <w:rsid w:val="00C03552"/>
    <w:rsid w:val="00C05AE0"/>
    <w:rsid w:val="00C06BBA"/>
    <w:rsid w:val="00C077D2"/>
    <w:rsid w:val="00C17547"/>
    <w:rsid w:val="00C17C1D"/>
    <w:rsid w:val="00C17D13"/>
    <w:rsid w:val="00C21D50"/>
    <w:rsid w:val="00C2267F"/>
    <w:rsid w:val="00C268E4"/>
    <w:rsid w:val="00C27A35"/>
    <w:rsid w:val="00C3202B"/>
    <w:rsid w:val="00C330F2"/>
    <w:rsid w:val="00C35363"/>
    <w:rsid w:val="00C37E62"/>
    <w:rsid w:val="00C41E35"/>
    <w:rsid w:val="00C421E8"/>
    <w:rsid w:val="00C42D94"/>
    <w:rsid w:val="00C4459D"/>
    <w:rsid w:val="00C479B6"/>
    <w:rsid w:val="00C5004C"/>
    <w:rsid w:val="00C5010F"/>
    <w:rsid w:val="00C530B1"/>
    <w:rsid w:val="00C558D8"/>
    <w:rsid w:val="00C55AF8"/>
    <w:rsid w:val="00C55B0C"/>
    <w:rsid w:val="00C61A83"/>
    <w:rsid w:val="00C61D85"/>
    <w:rsid w:val="00C635DA"/>
    <w:rsid w:val="00C63BAA"/>
    <w:rsid w:val="00C64171"/>
    <w:rsid w:val="00C659BF"/>
    <w:rsid w:val="00C65B86"/>
    <w:rsid w:val="00C70C34"/>
    <w:rsid w:val="00C727A4"/>
    <w:rsid w:val="00C7407D"/>
    <w:rsid w:val="00C75512"/>
    <w:rsid w:val="00C76DBE"/>
    <w:rsid w:val="00C82C7A"/>
    <w:rsid w:val="00C8334E"/>
    <w:rsid w:val="00C84FE8"/>
    <w:rsid w:val="00C87E35"/>
    <w:rsid w:val="00C90EB3"/>
    <w:rsid w:val="00C92E34"/>
    <w:rsid w:val="00C95AF9"/>
    <w:rsid w:val="00C97A8A"/>
    <w:rsid w:val="00C97E86"/>
    <w:rsid w:val="00CA1484"/>
    <w:rsid w:val="00CA2437"/>
    <w:rsid w:val="00CA4F37"/>
    <w:rsid w:val="00CA63B2"/>
    <w:rsid w:val="00CB0337"/>
    <w:rsid w:val="00CB4245"/>
    <w:rsid w:val="00CB49F2"/>
    <w:rsid w:val="00CB6C44"/>
    <w:rsid w:val="00CC22F6"/>
    <w:rsid w:val="00CC7C6C"/>
    <w:rsid w:val="00CD048D"/>
    <w:rsid w:val="00CD1A6A"/>
    <w:rsid w:val="00CD1F40"/>
    <w:rsid w:val="00CD28CB"/>
    <w:rsid w:val="00CD3C85"/>
    <w:rsid w:val="00CD5997"/>
    <w:rsid w:val="00CE3891"/>
    <w:rsid w:val="00CE57BE"/>
    <w:rsid w:val="00CE5EC0"/>
    <w:rsid w:val="00CE6234"/>
    <w:rsid w:val="00CE63FA"/>
    <w:rsid w:val="00CE68BD"/>
    <w:rsid w:val="00CF1AB3"/>
    <w:rsid w:val="00CF5596"/>
    <w:rsid w:val="00CF6752"/>
    <w:rsid w:val="00CF726A"/>
    <w:rsid w:val="00CF7647"/>
    <w:rsid w:val="00CF7B49"/>
    <w:rsid w:val="00D00CF5"/>
    <w:rsid w:val="00D038B8"/>
    <w:rsid w:val="00D03CE2"/>
    <w:rsid w:val="00D06D75"/>
    <w:rsid w:val="00D1132B"/>
    <w:rsid w:val="00D1339C"/>
    <w:rsid w:val="00D13688"/>
    <w:rsid w:val="00D13904"/>
    <w:rsid w:val="00D14348"/>
    <w:rsid w:val="00D16E20"/>
    <w:rsid w:val="00D17389"/>
    <w:rsid w:val="00D173E0"/>
    <w:rsid w:val="00D20A52"/>
    <w:rsid w:val="00D21CEF"/>
    <w:rsid w:val="00D260D0"/>
    <w:rsid w:val="00D273D8"/>
    <w:rsid w:val="00D2757A"/>
    <w:rsid w:val="00D27607"/>
    <w:rsid w:val="00D32187"/>
    <w:rsid w:val="00D35061"/>
    <w:rsid w:val="00D35B24"/>
    <w:rsid w:val="00D365F9"/>
    <w:rsid w:val="00D36E43"/>
    <w:rsid w:val="00D37218"/>
    <w:rsid w:val="00D40AEF"/>
    <w:rsid w:val="00D42DF6"/>
    <w:rsid w:val="00D43675"/>
    <w:rsid w:val="00D43977"/>
    <w:rsid w:val="00D449B2"/>
    <w:rsid w:val="00D44CFD"/>
    <w:rsid w:val="00D45CD1"/>
    <w:rsid w:val="00D45E89"/>
    <w:rsid w:val="00D47CFC"/>
    <w:rsid w:val="00D506C6"/>
    <w:rsid w:val="00D52694"/>
    <w:rsid w:val="00D5459E"/>
    <w:rsid w:val="00D54F9D"/>
    <w:rsid w:val="00D578F6"/>
    <w:rsid w:val="00D6340F"/>
    <w:rsid w:val="00D664C6"/>
    <w:rsid w:val="00D7750E"/>
    <w:rsid w:val="00D77E81"/>
    <w:rsid w:val="00D82BB6"/>
    <w:rsid w:val="00D8331E"/>
    <w:rsid w:val="00D8693B"/>
    <w:rsid w:val="00D86D71"/>
    <w:rsid w:val="00D90893"/>
    <w:rsid w:val="00D93539"/>
    <w:rsid w:val="00D95128"/>
    <w:rsid w:val="00D97FFA"/>
    <w:rsid w:val="00DA1C20"/>
    <w:rsid w:val="00DA5847"/>
    <w:rsid w:val="00DA5ED3"/>
    <w:rsid w:val="00DA6229"/>
    <w:rsid w:val="00DA7CDC"/>
    <w:rsid w:val="00DB07FD"/>
    <w:rsid w:val="00DB4EE3"/>
    <w:rsid w:val="00DB7D5F"/>
    <w:rsid w:val="00DB7F95"/>
    <w:rsid w:val="00DC0DA1"/>
    <w:rsid w:val="00DC152A"/>
    <w:rsid w:val="00DC2F5E"/>
    <w:rsid w:val="00DC364F"/>
    <w:rsid w:val="00DC3BC2"/>
    <w:rsid w:val="00DC58FB"/>
    <w:rsid w:val="00DC6212"/>
    <w:rsid w:val="00DC7EC9"/>
    <w:rsid w:val="00DD04AE"/>
    <w:rsid w:val="00DD067D"/>
    <w:rsid w:val="00DD4C10"/>
    <w:rsid w:val="00DD666E"/>
    <w:rsid w:val="00DD7053"/>
    <w:rsid w:val="00DD71BA"/>
    <w:rsid w:val="00DD7936"/>
    <w:rsid w:val="00DE1172"/>
    <w:rsid w:val="00DE4170"/>
    <w:rsid w:val="00DE790F"/>
    <w:rsid w:val="00DE7A6A"/>
    <w:rsid w:val="00DF559B"/>
    <w:rsid w:val="00DF69DD"/>
    <w:rsid w:val="00E04B7E"/>
    <w:rsid w:val="00E07C88"/>
    <w:rsid w:val="00E10E83"/>
    <w:rsid w:val="00E16436"/>
    <w:rsid w:val="00E170D5"/>
    <w:rsid w:val="00E21588"/>
    <w:rsid w:val="00E24CA7"/>
    <w:rsid w:val="00E25F5D"/>
    <w:rsid w:val="00E30450"/>
    <w:rsid w:val="00E30A95"/>
    <w:rsid w:val="00E32130"/>
    <w:rsid w:val="00E35D5C"/>
    <w:rsid w:val="00E4099B"/>
    <w:rsid w:val="00E40B42"/>
    <w:rsid w:val="00E43E56"/>
    <w:rsid w:val="00E457FD"/>
    <w:rsid w:val="00E46009"/>
    <w:rsid w:val="00E46231"/>
    <w:rsid w:val="00E5214C"/>
    <w:rsid w:val="00E53303"/>
    <w:rsid w:val="00E54975"/>
    <w:rsid w:val="00E55A60"/>
    <w:rsid w:val="00E63150"/>
    <w:rsid w:val="00E6367E"/>
    <w:rsid w:val="00E6715C"/>
    <w:rsid w:val="00E7116E"/>
    <w:rsid w:val="00E756D6"/>
    <w:rsid w:val="00E81F2E"/>
    <w:rsid w:val="00E86814"/>
    <w:rsid w:val="00E86D64"/>
    <w:rsid w:val="00E93347"/>
    <w:rsid w:val="00E9412E"/>
    <w:rsid w:val="00E95735"/>
    <w:rsid w:val="00E971C0"/>
    <w:rsid w:val="00EA0BD7"/>
    <w:rsid w:val="00EA232C"/>
    <w:rsid w:val="00EA5A2D"/>
    <w:rsid w:val="00EB385C"/>
    <w:rsid w:val="00EB51AA"/>
    <w:rsid w:val="00EB5841"/>
    <w:rsid w:val="00EC0652"/>
    <w:rsid w:val="00EC2933"/>
    <w:rsid w:val="00EC335F"/>
    <w:rsid w:val="00EC3A60"/>
    <w:rsid w:val="00EC4307"/>
    <w:rsid w:val="00ED24EA"/>
    <w:rsid w:val="00ED27D1"/>
    <w:rsid w:val="00ED3A72"/>
    <w:rsid w:val="00ED41CA"/>
    <w:rsid w:val="00EE5BB7"/>
    <w:rsid w:val="00EE7A28"/>
    <w:rsid w:val="00EF4624"/>
    <w:rsid w:val="00EF5A75"/>
    <w:rsid w:val="00EF7815"/>
    <w:rsid w:val="00F0115F"/>
    <w:rsid w:val="00F0202D"/>
    <w:rsid w:val="00F02636"/>
    <w:rsid w:val="00F04DCC"/>
    <w:rsid w:val="00F06A15"/>
    <w:rsid w:val="00F100A4"/>
    <w:rsid w:val="00F109C0"/>
    <w:rsid w:val="00F117A4"/>
    <w:rsid w:val="00F138EB"/>
    <w:rsid w:val="00F15146"/>
    <w:rsid w:val="00F15BED"/>
    <w:rsid w:val="00F15E40"/>
    <w:rsid w:val="00F16FFC"/>
    <w:rsid w:val="00F21C33"/>
    <w:rsid w:val="00F21D7A"/>
    <w:rsid w:val="00F2263D"/>
    <w:rsid w:val="00F22798"/>
    <w:rsid w:val="00F235E5"/>
    <w:rsid w:val="00F26B33"/>
    <w:rsid w:val="00F31FA3"/>
    <w:rsid w:val="00F331AE"/>
    <w:rsid w:val="00F334D6"/>
    <w:rsid w:val="00F35249"/>
    <w:rsid w:val="00F35B79"/>
    <w:rsid w:val="00F37EA9"/>
    <w:rsid w:val="00F43BB6"/>
    <w:rsid w:val="00F44D4C"/>
    <w:rsid w:val="00F523F8"/>
    <w:rsid w:val="00F54BA8"/>
    <w:rsid w:val="00F60846"/>
    <w:rsid w:val="00F62125"/>
    <w:rsid w:val="00F70B50"/>
    <w:rsid w:val="00F7280C"/>
    <w:rsid w:val="00F730F1"/>
    <w:rsid w:val="00F76E63"/>
    <w:rsid w:val="00F77A54"/>
    <w:rsid w:val="00F85814"/>
    <w:rsid w:val="00F9393A"/>
    <w:rsid w:val="00F939CF"/>
    <w:rsid w:val="00F93F8D"/>
    <w:rsid w:val="00FA091F"/>
    <w:rsid w:val="00FA3086"/>
    <w:rsid w:val="00FA55BE"/>
    <w:rsid w:val="00FA6645"/>
    <w:rsid w:val="00FA71B3"/>
    <w:rsid w:val="00FA7639"/>
    <w:rsid w:val="00FB1B72"/>
    <w:rsid w:val="00FB5486"/>
    <w:rsid w:val="00FB55CE"/>
    <w:rsid w:val="00FB5F4B"/>
    <w:rsid w:val="00FB7828"/>
    <w:rsid w:val="00FC0D8B"/>
    <w:rsid w:val="00FC3343"/>
    <w:rsid w:val="00FC4261"/>
    <w:rsid w:val="00FC4FEF"/>
    <w:rsid w:val="00FC7FF1"/>
    <w:rsid w:val="00FD023A"/>
    <w:rsid w:val="00FD06C2"/>
    <w:rsid w:val="00FD4101"/>
    <w:rsid w:val="00FD41BA"/>
    <w:rsid w:val="00FD6650"/>
    <w:rsid w:val="00FE44D5"/>
    <w:rsid w:val="00FE7703"/>
    <w:rsid w:val="00FE7DF2"/>
    <w:rsid w:val="00FF3014"/>
    <w:rsid w:val="00FF32E1"/>
    <w:rsid w:val="00FF3F1C"/>
    <w:rsid w:val="00FF6E09"/>
    <w:rsid w:val="045F29F2"/>
    <w:rsid w:val="06623467"/>
    <w:rsid w:val="06DEA416"/>
    <w:rsid w:val="0BFA295C"/>
    <w:rsid w:val="0D202B38"/>
    <w:rsid w:val="0D5D2387"/>
    <w:rsid w:val="0F18031D"/>
    <w:rsid w:val="15ED782B"/>
    <w:rsid w:val="17FD8209"/>
    <w:rsid w:val="1EF770DD"/>
    <w:rsid w:val="1F016D65"/>
    <w:rsid w:val="1FBE8D30"/>
    <w:rsid w:val="1FF724F2"/>
    <w:rsid w:val="1FF7D6C7"/>
    <w:rsid w:val="1FFF1C46"/>
    <w:rsid w:val="20515543"/>
    <w:rsid w:val="2270076A"/>
    <w:rsid w:val="24740C61"/>
    <w:rsid w:val="254C6617"/>
    <w:rsid w:val="27BB0590"/>
    <w:rsid w:val="2B1B0118"/>
    <w:rsid w:val="2BFD7B7B"/>
    <w:rsid w:val="2CA41C07"/>
    <w:rsid w:val="2DCA6300"/>
    <w:rsid w:val="2DEE6B01"/>
    <w:rsid w:val="2F7FD60E"/>
    <w:rsid w:val="2FF5EA08"/>
    <w:rsid w:val="2FFF2AC9"/>
    <w:rsid w:val="31B34848"/>
    <w:rsid w:val="32DC7A48"/>
    <w:rsid w:val="33AF3C45"/>
    <w:rsid w:val="33DE6912"/>
    <w:rsid w:val="3677C93D"/>
    <w:rsid w:val="3775863B"/>
    <w:rsid w:val="37B3E268"/>
    <w:rsid w:val="37EEDA56"/>
    <w:rsid w:val="37FF38FC"/>
    <w:rsid w:val="37FF67C7"/>
    <w:rsid w:val="38552CD6"/>
    <w:rsid w:val="3A346008"/>
    <w:rsid w:val="3B6E5245"/>
    <w:rsid w:val="3BBBB476"/>
    <w:rsid w:val="3BDF2BA4"/>
    <w:rsid w:val="3DA60F7D"/>
    <w:rsid w:val="3EEF4621"/>
    <w:rsid w:val="3F2F0242"/>
    <w:rsid w:val="3F6B65A3"/>
    <w:rsid w:val="3FEEA503"/>
    <w:rsid w:val="3FFF282D"/>
    <w:rsid w:val="3FFF485F"/>
    <w:rsid w:val="3FFFA36D"/>
    <w:rsid w:val="3FFFFE86"/>
    <w:rsid w:val="46FF33D5"/>
    <w:rsid w:val="479F7FDF"/>
    <w:rsid w:val="4A5A0227"/>
    <w:rsid w:val="4BF13726"/>
    <w:rsid w:val="4CF51222"/>
    <w:rsid w:val="4D2489AE"/>
    <w:rsid w:val="4FA33869"/>
    <w:rsid w:val="4FA7B2EA"/>
    <w:rsid w:val="4FEC2140"/>
    <w:rsid w:val="4FFFE923"/>
    <w:rsid w:val="509E1BB4"/>
    <w:rsid w:val="50CD497B"/>
    <w:rsid w:val="51AFC4B4"/>
    <w:rsid w:val="537F8455"/>
    <w:rsid w:val="543D166A"/>
    <w:rsid w:val="55F3D2ED"/>
    <w:rsid w:val="55FA0503"/>
    <w:rsid w:val="55FA38C7"/>
    <w:rsid w:val="568455D4"/>
    <w:rsid w:val="59D4BFAD"/>
    <w:rsid w:val="59E7D69F"/>
    <w:rsid w:val="5A5FEAFF"/>
    <w:rsid w:val="5AB73D35"/>
    <w:rsid w:val="5AFF4E81"/>
    <w:rsid w:val="5B6D6903"/>
    <w:rsid w:val="5B7F6691"/>
    <w:rsid w:val="5B9049B0"/>
    <w:rsid w:val="5BB57802"/>
    <w:rsid w:val="5BE8012C"/>
    <w:rsid w:val="5BF3954D"/>
    <w:rsid w:val="5BFD663B"/>
    <w:rsid w:val="5D8D43AE"/>
    <w:rsid w:val="5DD3C094"/>
    <w:rsid w:val="5DEF490D"/>
    <w:rsid w:val="5DEFB962"/>
    <w:rsid w:val="5DFBC4BA"/>
    <w:rsid w:val="5F36A693"/>
    <w:rsid w:val="5F3BD6B5"/>
    <w:rsid w:val="5F9FD24C"/>
    <w:rsid w:val="5FCEF43D"/>
    <w:rsid w:val="5FDB563B"/>
    <w:rsid w:val="5FE8787A"/>
    <w:rsid w:val="5FEEFE0D"/>
    <w:rsid w:val="5FF7D13B"/>
    <w:rsid w:val="5FFE72AF"/>
    <w:rsid w:val="62FFDB8D"/>
    <w:rsid w:val="63DD3448"/>
    <w:rsid w:val="64FE3A6C"/>
    <w:rsid w:val="65EDD816"/>
    <w:rsid w:val="673622C1"/>
    <w:rsid w:val="67743CE0"/>
    <w:rsid w:val="67EAA531"/>
    <w:rsid w:val="67EDB46C"/>
    <w:rsid w:val="689038A0"/>
    <w:rsid w:val="68F40264"/>
    <w:rsid w:val="6A5EC042"/>
    <w:rsid w:val="6AC7599D"/>
    <w:rsid w:val="6B77DEE8"/>
    <w:rsid w:val="6BBB64C4"/>
    <w:rsid w:val="6BE7C4B0"/>
    <w:rsid w:val="6CDED2A4"/>
    <w:rsid w:val="6D32C627"/>
    <w:rsid w:val="6D4FA62C"/>
    <w:rsid w:val="6D60AD45"/>
    <w:rsid w:val="6D7FAF45"/>
    <w:rsid w:val="6EB76308"/>
    <w:rsid w:val="6EBEC45B"/>
    <w:rsid w:val="6EE64ADC"/>
    <w:rsid w:val="6F439C13"/>
    <w:rsid w:val="6FAF49E2"/>
    <w:rsid w:val="6FD789C2"/>
    <w:rsid w:val="6FDFD98F"/>
    <w:rsid w:val="6FDFEAA5"/>
    <w:rsid w:val="6FEF027D"/>
    <w:rsid w:val="6FEF522D"/>
    <w:rsid w:val="6FEFA423"/>
    <w:rsid w:val="6FEFD775"/>
    <w:rsid w:val="6FF574C7"/>
    <w:rsid w:val="6FFEC35E"/>
    <w:rsid w:val="723C130D"/>
    <w:rsid w:val="72EF7A3B"/>
    <w:rsid w:val="737B8676"/>
    <w:rsid w:val="73BC0044"/>
    <w:rsid w:val="73FBEE7F"/>
    <w:rsid w:val="751E2DB2"/>
    <w:rsid w:val="753D53D1"/>
    <w:rsid w:val="75CB39CD"/>
    <w:rsid w:val="76F73142"/>
    <w:rsid w:val="76FD6FEF"/>
    <w:rsid w:val="771F0797"/>
    <w:rsid w:val="775BDFB0"/>
    <w:rsid w:val="77632E79"/>
    <w:rsid w:val="777D6577"/>
    <w:rsid w:val="77C7FDE2"/>
    <w:rsid w:val="77E38AF6"/>
    <w:rsid w:val="77EFDFDB"/>
    <w:rsid w:val="77F6AB9B"/>
    <w:rsid w:val="77F72221"/>
    <w:rsid w:val="77FD7C19"/>
    <w:rsid w:val="77FE7DA8"/>
    <w:rsid w:val="77FFAE96"/>
    <w:rsid w:val="798E8485"/>
    <w:rsid w:val="7A7FF46E"/>
    <w:rsid w:val="7AEAECCF"/>
    <w:rsid w:val="7AFFC722"/>
    <w:rsid w:val="7B525B52"/>
    <w:rsid w:val="7B6F2F16"/>
    <w:rsid w:val="7BBBAFE9"/>
    <w:rsid w:val="7BEF52C9"/>
    <w:rsid w:val="7BFA8E5A"/>
    <w:rsid w:val="7BFD8AF0"/>
    <w:rsid w:val="7BFF2BE3"/>
    <w:rsid w:val="7BFF312B"/>
    <w:rsid w:val="7C175E85"/>
    <w:rsid w:val="7C7F9114"/>
    <w:rsid w:val="7CCF8B4C"/>
    <w:rsid w:val="7D155C8A"/>
    <w:rsid w:val="7D57DACF"/>
    <w:rsid w:val="7D736542"/>
    <w:rsid w:val="7D7B17C9"/>
    <w:rsid w:val="7DAC1DB2"/>
    <w:rsid w:val="7DDAFAA7"/>
    <w:rsid w:val="7DDBBEBE"/>
    <w:rsid w:val="7DDE12C3"/>
    <w:rsid w:val="7DFB8EC5"/>
    <w:rsid w:val="7E535914"/>
    <w:rsid w:val="7E5FDFDD"/>
    <w:rsid w:val="7EBB2014"/>
    <w:rsid w:val="7EBE2192"/>
    <w:rsid w:val="7EBF4A3D"/>
    <w:rsid w:val="7ECD52DE"/>
    <w:rsid w:val="7EDB419A"/>
    <w:rsid w:val="7EF37A45"/>
    <w:rsid w:val="7EF7824C"/>
    <w:rsid w:val="7EFAA8C7"/>
    <w:rsid w:val="7EFBEAED"/>
    <w:rsid w:val="7EFE20B9"/>
    <w:rsid w:val="7EFF0D0A"/>
    <w:rsid w:val="7F36DF5E"/>
    <w:rsid w:val="7F3F3E89"/>
    <w:rsid w:val="7F5E71AC"/>
    <w:rsid w:val="7F5EB6C2"/>
    <w:rsid w:val="7F5ECD82"/>
    <w:rsid w:val="7F6D6BB6"/>
    <w:rsid w:val="7F6F368E"/>
    <w:rsid w:val="7F7BF18B"/>
    <w:rsid w:val="7FA78BCB"/>
    <w:rsid w:val="7FAFDC37"/>
    <w:rsid w:val="7FBC6BF7"/>
    <w:rsid w:val="7FBE4F55"/>
    <w:rsid w:val="7FBFC999"/>
    <w:rsid w:val="7FF6636F"/>
    <w:rsid w:val="7FFA5EA7"/>
    <w:rsid w:val="7FFD8D96"/>
    <w:rsid w:val="7FFE7F72"/>
    <w:rsid w:val="7FFFF9A4"/>
    <w:rsid w:val="83F4A657"/>
    <w:rsid w:val="8E73964C"/>
    <w:rsid w:val="8F7F39F6"/>
    <w:rsid w:val="8FF61AF6"/>
    <w:rsid w:val="93E6650A"/>
    <w:rsid w:val="9FBE214E"/>
    <w:rsid w:val="A78F5E97"/>
    <w:rsid w:val="A7D67A92"/>
    <w:rsid w:val="A7FEA411"/>
    <w:rsid w:val="ABF79982"/>
    <w:rsid w:val="ABF7D5CB"/>
    <w:rsid w:val="ADE7DC4E"/>
    <w:rsid w:val="ADF7C450"/>
    <w:rsid w:val="AE97DCA4"/>
    <w:rsid w:val="AEFF6E55"/>
    <w:rsid w:val="AFFD2899"/>
    <w:rsid w:val="B5BA2BDD"/>
    <w:rsid w:val="B67FBFB3"/>
    <w:rsid w:val="B683833B"/>
    <w:rsid w:val="B6FD96E3"/>
    <w:rsid w:val="B77711F7"/>
    <w:rsid w:val="B77DFB32"/>
    <w:rsid w:val="B7B78F25"/>
    <w:rsid w:val="B7E1022F"/>
    <w:rsid w:val="B8EB3AA1"/>
    <w:rsid w:val="BDFD51B2"/>
    <w:rsid w:val="BEEDC646"/>
    <w:rsid w:val="BF3FD98F"/>
    <w:rsid w:val="BF5B47EF"/>
    <w:rsid w:val="BF7B6A4C"/>
    <w:rsid w:val="BFBC439D"/>
    <w:rsid w:val="BFD5F029"/>
    <w:rsid w:val="BFE4F9DF"/>
    <w:rsid w:val="BFE7D27B"/>
    <w:rsid w:val="BFEF8869"/>
    <w:rsid w:val="BFFF08D4"/>
    <w:rsid w:val="C68B2422"/>
    <w:rsid w:val="CF5F9C7A"/>
    <w:rsid w:val="CFCD5C0D"/>
    <w:rsid w:val="D5AD2920"/>
    <w:rsid w:val="D77BE65B"/>
    <w:rsid w:val="D7FB65FE"/>
    <w:rsid w:val="D7FF47C6"/>
    <w:rsid w:val="DB53977E"/>
    <w:rsid w:val="DBBDA8D2"/>
    <w:rsid w:val="DC5F4D81"/>
    <w:rsid w:val="DC771CB2"/>
    <w:rsid w:val="DDB7E020"/>
    <w:rsid w:val="DDDF751F"/>
    <w:rsid w:val="DDF7630C"/>
    <w:rsid w:val="DE7674F6"/>
    <w:rsid w:val="DEEF734C"/>
    <w:rsid w:val="DEF90CB7"/>
    <w:rsid w:val="DEFF5569"/>
    <w:rsid w:val="DF3F447A"/>
    <w:rsid w:val="DFB6A0E4"/>
    <w:rsid w:val="DFF6E744"/>
    <w:rsid w:val="DFFEB6AF"/>
    <w:rsid w:val="E0FA9DDD"/>
    <w:rsid w:val="E1EB6803"/>
    <w:rsid w:val="E3C72195"/>
    <w:rsid w:val="E57DC9E2"/>
    <w:rsid w:val="E72D9ACA"/>
    <w:rsid w:val="E7672677"/>
    <w:rsid w:val="E7731464"/>
    <w:rsid w:val="E7CDA22C"/>
    <w:rsid w:val="E7EF6F51"/>
    <w:rsid w:val="E7F827E0"/>
    <w:rsid w:val="E7FF0EAD"/>
    <w:rsid w:val="E9DE57DD"/>
    <w:rsid w:val="E9F7720C"/>
    <w:rsid w:val="EBCFF0E1"/>
    <w:rsid w:val="EBFF231D"/>
    <w:rsid w:val="EC6B998D"/>
    <w:rsid w:val="EDEB689A"/>
    <w:rsid w:val="EDEFEB54"/>
    <w:rsid w:val="EDF5E9F4"/>
    <w:rsid w:val="EE5F2532"/>
    <w:rsid w:val="EEFC6C46"/>
    <w:rsid w:val="EEFFB91C"/>
    <w:rsid w:val="EF0F5914"/>
    <w:rsid w:val="EF1289EF"/>
    <w:rsid w:val="EFBDE6D5"/>
    <w:rsid w:val="EFBEA2C3"/>
    <w:rsid w:val="EFDC2B94"/>
    <w:rsid w:val="EFDCE204"/>
    <w:rsid w:val="EFE72B6A"/>
    <w:rsid w:val="EFEFD621"/>
    <w:rsid w:val="EFF77DDF"/>
    <w:rsid w:val="EFFE071C"/>
    <w:rsid w:val="F1F7D3C5"/>
    <w:rsid w:val="F1FEFFC2"/>
    <w:rsid w:val="F2FF96DD"/>
    <w:rsid w:val="F3FFF504"/>
    <w:rsid w:val="F6BE7010"/>
    <w:rsid w:val="F6FF9201"/>
    <w:rsid w:val="F77D8255"/>
    <w:rsid w:val="F7BBB010"/>
    <w:rsid w:val="F7CF47CD"/>
    <w:rsid w:val="F7DFF922"/>
    <w:rsid w:val="F8DF6045"/>
    <w:rsid w:val="F8EAED02"/>
    <w:rsid w:val="F97D85DE"/>
    <w:rsid w:val="F9FFAA06"/>
    <w:rsid w:val="FAEF56D7"/>
    <w:rsid w:val="FAFF07E1"/>
    <w:rsid w:val="FAFF51E2"/>
    <w:rsid w:val="FB07C98E"/>
    <w:rsid w:val="FBBF4F2F"/>
    <w:rsid w:val="FCA73FAC"/>
    <w:rsid w:val="FCDF725A"/>
    <w:rsid w:val="FCFFFA5F"/>
    <w:rsid w:val="FD4FC617"/>
    <w:rsid w:val="FD56E382"/>
    <w:rsid w:val="FD6DCA67"/>
    <w:rsid w:val="FD79102A"/>
    <w:rsid w:val="FD7D97EC"/>
    <w:rsid w:val="FD7E1E95"/>
    <w:rsid w:val="FD9DAF4A"/>
    <w:rsid w:val="FDC5F5E0"/>
    <w:rsid w:val="FDD6924C"/>
    <w:rsid w:val="FDD72143"/>
    <w:rsid w:val="FDFBC477"/>
    <w:rsid w:val="FE63D748"/>
    <w:rsid w:val="FE7668AA"/>
    <w:rsid w:val="FEA81AF0"/>
    <w:rsid w:val="FEBF3589"/>
    <w:rsid w:val="FEDFC264"/>
    <w:rsid w:val="FEEF9CBE"/>
    <w:rsid w:val="FEF7F2AA"/>
    <w:rsid w:val="FEFCB775"/>
    <w:rsid w:val="FEFFB8C8"/>
    <w:rsid w:val="FF3D7C5D"/>
    <w:rsid w:val="FF715280"/>
    <w:rsid w:val="FF9EE6F9"/>
    <w:rsid w:val="FFAF169E"/>
    <w:rsid w:val="FFBF2F93"/>
    <w:rsid w:val="FFD75E6D"/>
    <w:rsid w:val="FFDCFF6D"/>
    <w:rsid w:val="FFEF7751"/>
    <w:rsid w:val="FFEF991B"/>
    <w:rsid w:val="FFF2ABF3"/>
    <w:rsid w:val="FFF6B448"/>
    <w:rsid w:val="FFF6E1CB"/>
    <w:rsid w:val="FFFB402E"/>
    <w:rsid w:val="FFFD4696"/>
    <w:rsid w:val="FFFDAE75"/>
    <w:rsid w:val="FFFF4692"/>
    <w:rsid w:val="FFFF4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7">
    <w:name w:val="annotation subject"/>
    <w:basedOn w:val="2"/>
    <w:next w:val="2"/>
    <w:link w:val="15"/>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文字 字符"/>
    <w:basedOn w:val="9"/>
    <w:link w:val="2"/>
    <w:qFormat/>
    <w:uiPriority w:val="99"/>
    <w:rPr>
      <w:rFonts w:ascii="Times New Roman" w:hAnsi="Times New Roman" w:eastAsia="宋体" w:cs="Times New Roman"/>
      <w:szCs w:val="24"/>
    </w:rPr>
  </w:style>
  <w:style w:type="character" w:customStyle="1" w:styleId="15">
    <w:name w:val="批注主题 字符"/>
    <w:basedOn w:val="14"/>
    <w:link w:val="7"/>
    <w:semiHidden/>
    <w:qFormat/>
    <w:uiPriority w:val="99"/>
    <w:rPr>
      <w:rFonts w:ascii="Times New Roman" w:hAnsi="Times New Roman" w:eastAsia="宋体" w:cs="Times New Roman"/>
      <w:b/>
      <w:bCs/>
      <w:szCs w:val="24"/>
    </w:rPr>
  </w:style>
  <w:style w:type="character" w:customStyle="1" w:styleId="16">
    <w:name w:val="批注框文本 字符"/>
    <w:basedOn w:val="9"/>
    <w:link w:val="3"/>
    <w:semiHidden/>
    <w:qFormat/>
    <w:uiPriority w:val="99"/>
    <w:rPr>
      <w:rFonts w:ascii="Times New Roman" w:hAnsi="Times New Roman" w:eastAsia="宋体" w:cs="Times New Roman"/>
      <w:sz w:val="18"/>
      <w:szCs w:val="18"/>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CMCC</Company>
  <Pages>7</Pages>
  <Words>663</Words>
  <Characters>3782</Characters>
  <Lines>31</Lines>
  <Paragraphs>8</Paragraphs>
  <TotalTime>27</TotalTime>
  <ScaleCrop>false</ScaleCrop>
  <LinksUpToDate>false</LinksUpToDate>
  <CharactersWithSpaces>4437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2024-08-30T03:05:00Z</dcterms:created>
  <dc:creator>hh</dc:creator>
  <cp:lastModifiedBy>张笑然</cp:lastModifiedBy>
  <cp:lastPrinted>2024-09-03T02:45:00Z</cp:lastPrinted>
  <dcterms:modified xsi:type="dcterms:W3CDTF">2024-09-04T09:47:40Z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CBFE482FB322CF86650515662D467812</vt:lpwstr>
  </property>
</Properties>
</file>