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7D781">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41332F67">
      <w:pPr>
        <w:widowControl/>
        <w:jc w:val="center"/>
        <w:rPr>
          <w:rFonts w:hint="eastAsia" w:ascii="宋体" w:hAnsi="宋体"/>
          <w:bCs/>
          <w:iCs/>
          <w:color w:val="000000"/>
          <w:sz w:val="24"/>
        </w:rPr>
      </w:pPr>
    </w:p>
    <w:p w14:paraId="63AE5D74">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33441F95">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577C54F2">
      <w:pPr>
        <w:spacing w:line="360" w:lineRule="auto"/>
        <w:rPr>
          <w:rFonts w:hint="eastAsia" w:ascii="宋体" w:hAnsi="宋体"/>
          <w:bCs/>
          <w:iCs/>
          <w:color w:val="000000"/>
          <w:szCs w:val="21"/>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024-0</w:t>
      </w:r>
      <w:r>
        <w:rPr>
          <w:rFonts w:hint="eastAsia" w:ascii="宋体" w:hAnsi="宋体"/>
          <w:bCs/>
          <w:iCs/>
          <w:color w:val="000000"/>
          <w:szCs w:val="21"/>
        </w:rPr>
        <w:t>2</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2EC8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57D39C22">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6C19A47B">
            <w:pPr>
              <w:spacing w:line="360" w:lineRule="auto"/>
              <w:jc w:val="left"/>
              <w:rPr>
                <w:rFonts w:hint="eastAsia" w:ascii="宋体" w:hAnsi="宋体"/>
                <w:bCs/>
                <w:iCs/>
                <w:color w:val="000000"/>
                <w:szCs w:val="21"/>
              </w:rPr>
            </w:pPr>
            <w:r>
              <w:rPr>
                <w:rFonts w:hint="eastAsia" w:ascii="宋体" w:hAnsi="宋体"/>
                <w:color w:val="000000"/>
                <w:szCs w:val="21"/>
              </w:rPr>
              <w:sym w:font="Wingdings 2" w:char="00A3"/>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sym w:font="Wingdings 2" w:char="0052"/>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2FD7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4A65AD50">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39B6AB55">
            <w:pPr>
              <w:spacing w:before="156" w:beforeLines="50"/>
              <w:rPr>
                <w:rFonts w:hint="eastAsia" w:ascii="等线" w:hAnsi="等线" w:eastAsia="等线"/>
                <w:color w:val="000000"/>
                <w:kern w:val="0"/>
                <w:sz w:val="22"/>
                <w:szCs w:val="22"/>
              </w:rPr>
            </w:pPr>
            <w:r>
              <w:rPr>
                <w:rFonts w:hint="eastAsia" w:ascii="宋体" w:hAnsi="宋体"/>
              </w:rPr>
              <w:t>中非发展基金有限公司、北京点石汇鑫投资管理有限公司、招商证券、泉果基金管理有限公司、上海贵源投资有限公司、鸿运私募基金管理（海南）有限公司、北京青创伯乐投资有限公司、青岛金光紫金股权投资基金企业(有限合伙)、国泰君安证券股份有限公司、中泰证券股份有限公司、天风证券股份有限公司、甬兴证券有限公司、广</w:t>
            </w:r>
            <w:bookmarkStart w:id="2" w:name="_GoBack"/>
            <w:bookmarkEnd w:id="2"/>
            <w:r>
              <w:rPr>
                <w:rFonts w:hint="eastAsia" w:ascii="宋体" w:hAnsi="宋体"/>
              </w:rPr>
              <w:t>发证券股份有限公司、华福证券研究所、中邮证券有限责任公司、海通国际证券有限公司、华泰证券股份有限公司、中天国富证券有限公司、长江证券股份有限公司、粵佛私募基金管理(武汉)有限公司、乐淘集团股份有限公司、中信证券股份有限公司</w:t>
            </w:r>
          </w:p>
        </w:tc>
      </w:tr>
      <w:tr w14:paraId="434C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FB3F8E9">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366106BE">
            <w:pPr>
              <w:spacing w:line="276" w:lineRule="auto"/>
              <w:rPr>
                <w:rFonts w:hint="eastAsia" w:ascii="宋体" w:hAnsi="宋体"/>
                <w:bCs/>
                <w:iCs/>
                <w:color w:val="000000"/>
                <w:szCs w:val="21"/>
              </w:rPr>
            </w:pPr>
            <w:r>
              <w:rPr>
                <w:rFonts w:ascii="宋体" w:hAnsi="宋体"/>
                <w:bCs/>
                <w:iCs/>
                <w:color w:val="000000"/>
                <w:szCs w:val="21"/>
              </w:rPr>
              <w:t>2024</w:t>
            </w:r>
            <w:r>
              <w:rPr>
                <w:rFonts w:hint="eastAsia" w:ascii="宋体" w:hAnsi="宋体"/>
                <w:bCs/>
                <w:iCs/>
                <w:color w:val="000000"/>
                <w:szCs w:val="21"/>
              </w:rPr>
              <w:t>年9月3日</w:t>
            </w:r>
          </w:p>
        </w:tc>
      </w:tr>
      <w:tr w14:paraId="0945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A516070">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4EED8646">
            <w:pPr>
              <w:spacing w:line="276" w:lineRule="auto"/>
              <w:rPr>
                <w:rFonts w:hint="eastAsia" w:ascii="宋体" w:hAnsi="宋体"/>
                <w:bCs/>
                <w:iCs/>
                <w:color w:val="000000"/>
                <w:szCs w:val="21"/>
              </w:rPr>
            </w:pPr>
            <w:r>
              <w:rPr>
                <w:rFonts w:hint="eastAsia" w:ascii="宋体" w:hAnsi="宋体"/>
                <w:bCs/>
                <w:iCs/>
                <w:color w:val="000000"/>
                <w:szCs w:val="21"/>
              </w:rPr>
              <w:t>电话会议</w:t>
            </w:r>
          </w:p>
        </w:tc>
      </w:tr>
      <w:tr w14:paraId="278A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7276267">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7CF6EA5F">
            <w:pPr>
              <w:spacing w:line="276" w:lineRule="auto"/>
              <w:rPr>
                <w:rFonts w:hint="eastAsia" w:ascii="宋体" w:hAnsi="宋体"/>
                <w:bCs/>
                <w:iCs/>
                <w:color w:val="000000"/>
                <w:szCs w:val="21"/>
              </w:rPr>
            </w:pPr>
            <w:r>
              <w:rPr>
                <w:rFonts w:hint="eastAsia" w:ascii="宋体" w:hAnsi="宋体" w:cs="宋体"/>
                <w:color w:val="000000"/>
                <w:kern w:val="0"/>
                <w:szCs w:val="21"/>
              </w:rPr>
              <w:t>董事会秘书：郭晓雷  证券代表：陈冬梅</w:t>
            </w:r>
          </w:p>
        </w:tc>
      </w:tr>
      <w:tr w14:paraId="5EB2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DD40161">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14:paraId="4945DF06">
            <w:pPr>
              <w:spacing w:before="156" w:beforeLines="50"/>
              <w:ind w:firstLine="420" w:firstLineChars="200"/>
              <w:rPr>
                <w:rFonts w:hint="eastAsia" w:ascii="宋体" w:hAnsi="宋体"/>
              </w:rPr>
            </w:pPr>
          </w:p>
        </w:tc>
        <w:tc>
          <w:tcPr>
            <w:tcW w:w="7088" w:type="dxa"/>
          </w:tcPr>
          <w:p w14:paraId="77046391">
            <w:pPr>
              <w:spacing w:before="156" w:beforeLines="50"/>
              <w:ind w:firstLine="420" w:firstLineChars="200"/>
              <w:rPr>
                <w:rFonts w:hint="eastAsia" w:ascii="宋体" w:hAnsi="宋体"/>
              </w:rPr>
            </w:pPr>
            <w:r>
              <w:rPr>
                <w:rFonts w:hint="eastAsia" w:ascii="宋体" w:hAnsi="宋体"/>
              </w:rPr>
              <w:t>董秘郭晓雷先向投资者介绍了</w:t>
            </w:r>
            <w:r>
              <w:t>今年上半年</w:t>
            </w:r>
            <w:r>
              <w:rPr>
                <w:rFonts w:hint="eastAsia"/>
              </w:rPr>
              <w:t>公司</w:t>
            </w:r>
            <w:r>
              <w:t>的主要财务情况</w:t>
            </w:r>
            <w:r>
              <w:rPr>
                <w:rFonts w:hint="eastAsia"/>
              </w:rPr>
              <w:t>、上半年的</w:t>
            </w:r>
            <w:r>
              <w:t>重点工作</w:t>
            </w:r>
            <w:r>
              <w:rPr>
                <w:rFonts w:hint="eastAsia"/>
              </w:rPr>
              <w:t>内容，</w:t>
            </w:r>
            <w:r>
              <w:t>以及下一步公司主要的发展方向。</w:t>
            </w:r>
          </w:p>
          <w:p w14:paraId="5436B000">
            <w:pPr>
              <w:pStyle w:val="21"/>
              <w:numPr>
                <w:ilvl w:val="0"/>
                <w:numId w:val="1"/>
              </w:numPr>
              <w:spacing w:before="156" w:beforeLines="50"/>
              <w:ind w:left="0" w:firstLine="200" w:firstLineChars="0"/>
              <w:rPr>
                <w:rFonts w:ascii="宋体" w:hAnsi="宋体"/>
              </w:rPr>
            </w:pPr>
            <w:r>
              <w:rPr>
                <w:rFonts w:hint="eastAsia" w:ascii="宋体" w:hAnsi="宋体"/>
              </w:rPr>
              <w:t>《稀土管理条例》的正式颁布对稀土行业会有怎么样的影响？</w:t>
            </w:r>
          </w:p>
          <w:p w14:paraId="746D782C">
            <w:pPr>
              <w:spacing w:before="156" w:beforeLines="50"/>
              <w:ind w:firstLine="420" w:firstLineChars="200"/>
              <w:rPr>
                <w:rFonts w:ascii="宋体" w:hAnsi="宋体"/>
              </w:rPr>
            </w:pPr>
            <w:r>
              <w:rPr>
                <w:rFonts w:hint="eastAsia" w:ascii="宋体" w:hAnsi="宋体"/>
              </w:rPr>
              <w:t>《稀土管理条例》的颁布对稀土行业是一个标志性事件，《稀土管理条例》的出台标志着中国对稀土资源的开发利用进行了专门的立法规范，这是中国首次以行政立法形式对稀土资源的管理进行规定</w:t>
            </w:r>
            <w:r>
              <w:rPr>
                <w:rFonts w:hint="eastAsia"/>
              </w:rPr>
              <w:t>。</w:t>
            </w:r>
            <w:r>
              <w:rPr>
                <w:rFonts w:hint="eastAsia" w:ascii="宋体" w:hAnsi="宋体"/>
              </w:rPr>
              <w:t>《稀土管理条例》将对规范稀土行业秩序、促进稀土行业持续健康发展起到积极作用。</w:t>
            </w:r>
          </w:p>
          <w:p w14:paraId="2C08FB40">
            <w:pPr>
              <w:pStyle w:val="21"/>
              <w:numPr>
                <w:ilvl w:val="0"/>
                <w:numId w:val="1"/>
              </w:numPr>
              <w:spacing w:before="156" w:beforeLines="50"/>
              <w:ind w:left="0" w:firstLine="200" w:firstLineChars="0"/>
            </w:pPr>
            <w:r>
              <w:rPr>
                <w:rFonts w:hint="eastAsia" w:ascii="宋体" w:hAnsi="宋体"/>
              </w:rPr>
              <w:t>公司</w:t>
            </w:r>
            <w:r>
              <w:t>二季度盈利状况</w:t>
            </w:r>
            <w:r>
              <w:rPr>
                <w:rFonts w:hint="eastAsia"/>
              </w:rPr>
              <w:t>较</w:t>
            </w:r>
            <w:r>
              <w:t>一季</w:t>
            </w:r>
            <w:r>
              <w:rPr>
                <w:rFonts w:hint="eastAsia"/>
              </w:rPr>
              <w:t>有</w:t>
            </w:r>
            <w:r>
              <w:t>明显的改善，</w:t>
            </w:r>
            <w:r>
              <w:rPr>
                <w:rFonts w:hint="eastAsia"/>
              </w:rPr>
              <w:t>目前产品价格也有所回升，未来三、四</w:t>
            </w:r>
            <w:r>
              <w:t>季度</w:t>
            </w:r>
            <w:r>
              <w:rPr>
                <w:rFonts w:hint="eastAsia"/>
              </w:rPr>
              <w:t>公司在</w:t>
            </w:r>
            <w:r>
              <w:t>经营上</w:t>
            </w:r>
            <w:r>
              <w:rPr>
                <w:rFonts w:hint="eastAsia"/>
              </w:rPr>
              <w:t>会有怎样的</w:t>
            </w:r>
            <w:r>
              <w:t>展望</w:t>
            </w:r>
            <w:r>
              <w:rPr>
                <w:rFonts w:hint="eastAsia"/>
              </w:rPr>
              <w:t>？</w:t>
            </w:r>
          </w:p>
          <w:p w14:paraId="7ABA915B">
            <w:pPr>
              <w:spacing w:before="156" w:beforeLines="50"/>
              <w:ind w:firstLine="420" w:firstLineChars="200"/>
              <w:rPr>
                <w:rFonts w:hint="eastAsia" w:ascii="宋体" w:hAnsi="宋体"/>
              </w:rPr>
            </w:pPr>
            <w:r>
              <w:rPr>
                <w:rFonts w:hint="eastAsia" w:ascii="宋体" w:hAnsi="宋体"/>
              </w:rPr>
              <w:t>公司</w:t>
            </w:r>
            <w:r>
              <w:rPr>
                <w:rFonts w:ascii="宋体" w:hAnsi="宋体"/>
              </w:rPr>
              <w:t>今年一季度亏损幅度比较大主要的原因</w:t>
            </w:r>
            <w:r>
              <w:rPr>
                <w:rFonts w:hint="eastAsia" w:ascii="宋体" w:hAnsi="宋体"/>
              </w:rPr>
              <w:t>有</w:t>
            </w:r>
            <w:r>
              <w:rPr>
                <w:rFonts w:ascii="宋体" w:hAnsi="宋体"/>
              </w:rPr>
              <w:t>两个方面。一个方面是因为产品价格的下跌，导致一季度末的时候，存货</w:t>
            </w:r>
            <w:r>
              <w:rPr>
                <w:rFonts w:hint="eastAsia" w:ascii="宋体" w:hAnsi="宋体"/>
              </w:rPr>
              <w:t>计提了</w:t>
            </w:r>
            <w:r>
              <w:rPr>
                <w:rFonts w:ascii="宋体" w:hAnsi="宋体"/>
              </w:rPr>
              <w:t>减值。</w:t>
            </w:r>
            <w:r>
              <w:rPr>
                <w:rFonts w:hint="eastAsia" w:ascii="宋体" w:hAnsi="宋体"/>
              </w:rPr>
              <w:t>第</w:t>
            </w:r>
            <w:r>
              <w:rPr>
                <w:rFonts w:ascii="宋体" w:hAnsi="宋体"/>
              </w:rPr>
              <w:t>二个是当稀土价格处于下行通道的时候</w:t>
            </w:r>
            <w:r>
              <w:rPr>
                <w:rFonts w:hint="eastAsia" w:ascii="宋体" w:hAnsi="宋体"/>
              </w:rPr>
              <w:t>，</w:t>
            </w:r>
            <w:r>
              <w:rPr>
                <w:rFonts w:ascii="宋体" w:hAnsi="宋体"/>
              </w:rPr>
              <w:t>原料价格波动是滞后于产品价格。我们的原料主要是靠海外采购</w:t>
            </w:r>
            <w:r>
              <w:rPr>
                <w:rFonts w:hint="eastAsia" w:ascii="宋体" w:hAnsi="宋体"/>
              </w:rPr>
              <w:t>，</w:t>
            </w:r>
            <w:r>
              <w:rPr>
                <w:rFonts w:ascii="宋体" w:hAnsi="宋体"/>
              </w:rPr>
              <w:t>运输和生产周期的</w:t>
            </w:r>
            <w:r>
              <w:rPr>
                <w:rFonts w:hint="eastAsia" w:ascii="宋体" w:hAnsi="宋体"/>
              </w:rPr>
              <w:t>比较长</w:t>
            </w:r>
            <w:r>
              <w:rPr>
                <w:rFonts w:ascii="宋体" w:hAnsi="宋体"/>
              </w:rPr>
              <w:t>，所以滞后</w:t>
            </w:r>
            <w:r>
              <w:rPr>
                <w:rFonts w:hint="eastAsia" w:ascii="宋体" w:hAnsi="宋体"/>
              </w:rPr>
              <w:t>程度较大</w:t>
            </w:r>
            <w:r>
              <w:rPr>
                <w:rFonts w:ascii="宋体" w:hAnsi="宋体"/>
              </w:rPr>
              <w:t>导致了</w:t>
            </w:r>
            <w:r>
              <w:rPr>
                <w:rFonts w:hint="eastAsia" w:ascii="宋体" w:hAnsi="宋体"/>
              </w:rPr>
              <w:t>公司</w:t>
            </w:r>
            <w:r>
              <w:rPr>
                <w:rFonts w:ascii="宋体" w:hAnsi="宋体"/>
              </w:rPr>
              <w:t>毛利率</w:t>
            </w:r>
            <w:r>
              <w:rPr>
                <w:rFonts w:hint="eastAsia" w:ascii="宋体" w:hAnsi="宋体"/>
              </w:rPr>
              <w:t>下滑较大</w:t>
            </w:r>
            <w:r>
              <w:rPr>
                <w:rFonts w:ascii="宋体" w:hAnsi="宋体"/>
              </w:rPr>
              <w:t>。</w:t>
            </w:r>
            <w:r>
              <w:rPr>
                <w:rFonts w:hint="eastAsia" w:ascii="宋体" w:hAnsi="宋体"/>
              </w:rPr>
              <w:t>未来</w:t>
            </w:r>
            <w:r>
              <w:rPr>
                <w:rFonts w:hint="eastAsia"/>
              </w:rPr>
              <w:t>三、四</w:t>
            </w:r>
            <w:r>
              <w:t>季度业绩表现</w:t>
            </w:r>
            <w:r>
              <w:rPr>
                <w:rFonts w:hint="eastAsia"/>
              </w:rPr>
              <w:t>，还是会</w:t>
            </w:r>
            <w:r>
              <w:t>跟价格</w:t>
            </w:r>
            <w:r>
              <w:rPr>
                <w:rFonts w:hint="eastAsia"/>
                <w:lang w:val="en-US" w:eastAsia="zh-CN"/>
              </w:rPr>
              <w:t>走势</w:t>
            </w:r>
            <w:r>
              <w:t>有一定的关系</w:t>
            </w:r>
            <w:r>
              <w:rPr>
                <w:rFonts w:hint="eastAsia"/>
              </w:rPr>
              <w:t>。</w:t>
            </w:r>
          </w:p>
          <w:p w14:paraId="5E49FF9F">
            <w:pPr>
              <w:pStyle w:val="21"/>
              <w:numPr>
                <w:ilvl w:val="0"/>
                <w:numId w:val="1"/>
              </w:numPr>
              <w:spacing w:before="156" w:beforeLines="50"/>
              <w:ind w:left="0" w:firstLine="200" w:firstLineChars="0"/>
              <w:rPr>
                <w:rFonts w:ascii="宋体" w:hAnsi="宋体"/>
              </w:rPr>
            </w:pPr>
            <w:r>
              <w:rPr>
                <w:rFonts w:hint="eastAsia" w:ascii="宋体" w:hAnsi="宋体"/>
              </w:rPr>
              <w:t>公司海外的锆钛矿项目目前的规模和进展如何？什么时候会有产品出来？</w:t>
            </w:r>
          </w:p>
          <w:p w14:paraId="44DD37BF">
            <w:pPr>
              <w:spacing w:before="156" w:beforeLines="50"/>
              <w:ind w:firstLine="420" w:firstLineChars="200"/>
              <w:rPr>
                <w:rFonts w:hint="eastAsia"/>
              </w:rPr>
            </w:pPr>
            <w:r>
              <w:rPr>
                <w:rFonts w:hint="eastAsia" w:ascii="宋体" w:hAnsi="宋体"/>
              </w:rPr>
              <w:t>公司上半年收购</w:t>
            </w:r>
            <w:r>
              <w:rPr>
                <w:rFonts w:hint="eastAsia" w:ascii="宋体" w:hAnsi="宋体"/>
                <w:lang w:val="en-US" w:eastAsia="zh-CN"/>
              </w:rPr>
              <w:t>了</w:t>
            </w:r>
            <w:r>
              <w:rPr>
                <w:rFonts w:hint="eastAsia" w:ascii="宋体" w:hAnsi="宋体"/>
              </w:rPr>
              <w:t>两个海外的锆钛矿项目</w:t>
            </w:r>
            <w:r>
              <w:rPr>
                <w:rFonts w:hint="eastAsia" w:ascii="宋体" w:hAnsi="宋体"/>
                <w:lang w:eastAsia="zh-CN"/>
              </w:rPr>
              <w:t>，</w:t>
            </w:r>
            <w:r>
              <w:rPr>
                <w:rFonts w:hint="eastAsia" w:ascii="宋体" w:hAnsi="宋体"/>
              </w:rPr>
              <w:t>一个是Strandline Resources 公司，该公司拥有坦桑尼亚多个重砂矿项目，其中</w:t>
            </w:r>
            <w:r>
              <w:rPr>
                <w:rFonts w:ascii="宋体" w:hAnsi="宋体"/>
              </w:rPr>
              <w:t>已经取得采矿权证</w:t>
            </w:r>
            <w:r>
              <w:rPr>
                <w:rFonts w:hint="eastAsia" w:ascii="宋体" w:hAnsi="宋体"/>
              </w:rPr>
              <w:t>的重矿物（锆英砂、钛铁矿、金红石等）资源量约946万吨，具备在短期内运营投产的条件；另一个是嘉成矿业，该公司间接拥有位于马达加斯加的多个重砂矿项目，其中已经取得采矿权证的项目有3个，采矿权范围内的重矿物资源量约1786万吨。坦桑尼亚和马达加斯加重砂矿项目的收购将为公司锆钛产业链的发展提供充足的资源保障。重砂矿</w:t>
            </w:r>
            <w:r>
              <w:rPr>
                <w:rFonts w:hint="eastAsia" w:ascii="宋体" w:hAnsi="宋体"/>
                <w:lang w:val="en-US" w:eastAsia="zh-CN"/>
              </w:rPr>
              <w:t>开采相对较简单，</w:t>
            </w:r>
            <w:r>
              <w:rPr>
                <w:rFonts w:hint="eastAsia"/>
                <w:lang w:val="en-US" w:eastAsia="zh-CN"/>
              </w:rPr>
              <w:t>建设周期相对较短</w:t>
            </w:r>
            <w:r>
              <w:t>，</w:t>
            </w:r>
            <w:r>
              <w:rPr>
                <w:rFonts w:hint="eastAsia"/>
              </w:rPr>
              <w:t>资本开支不高。</w:t>
            </w:r>
            <w:r>
              <w:rPr>
                <w:rFonts w:hint="eastAsia"/>
                <w:lang w:val="en-US" w:eastAsia="zh-CN"/>
              </w:rPr>
              <w:t>前述项目</w:t>
            </w:r>
            <w:r>
              <w:t>如果有任何</w:t>
            </w:r>
            <w:r>
              <w:rPr>
                <w:rFonts w:hint="eastAsia"/>
                <w:lang w:val="en-US" w:eastAsia="zh-CN"/>
              </w:rPr>
              <w:t>重要</w:t>
            </w:r>
            <w:r>
              <w:t>进展，我们</w:t>
            </w:r>
            <w:r>
              <w:rPr>
                <w:rFonts w:hint="eastAsia"/>
                <w:lang w:val="en-US" w:eastAsia="zh-CN"/>
              </w:rPr>
              <w:t>将及时</w:t>
            </w:r>
            <w:r>
              <w:t>发</w:t>
            </w:r>
            <w:r>
              <w:rPr>
                <w:rFonts w:hint="eastAsia"/>
                <w:lang w:val="en-US" w:eastAsia="zh-CN"/>
              </w:rPr>
              <w:t>布</w:t>
            </w:r>
            <w:r>
              <w:rPr>
                <w:rFonts w:hint="eastAsia"/>
              </w:rPr>
              <w:t>项目进展</w:t>
            </w:r>
            <w:r>
              <w:t>公告。</w:t>
            </w:r>
          </w:p>
          <w:p w14:paraId="6C9445ED">
            <w:pPr>
              <w:pStyle w:val="21"/>
              <w:numPr>
                <w:ilvl w:val="0"/>
                <w:numId w:val="1"/>
              </w:numPr>
              <w:spacing w:before="156" w:beforeLines="50"/>
              <w:ind w:left="0" w:firstLine="200" w:firstLineChars="0"/>
            </w:pPr>
            <w:r>
              <w:rPr>
                <w:rFonts w:hint="eastAsia" w:ascii="宋体" w:hAnsi="宋体"/>
              </w:rPr>
              <w:t>稀土</w:t>
            </w:r>
            <w:r>
              <w:t>未来下游需求</w:t>
            </w:r>
            <w:r>
              <w:rPr>
                <w:rFonts w:hint="eastAsia"/>
              </w:rPr>
              <w:t>会有哪些</w:t>
            </w:r>
            <w:r>
              <w:t>新的增长点</w:t>
            </w:r>
            <w:r>
              <w:rPr>
                <w:rFonts w:hint="eastAsia"/>
              </w:rPr>
              <w:t>？</w:t>
            </w:r>
          </w:p>
          <w:p w14:paraId="59CB135B">
            <w:pPr>
              <w:spacing w:before="156" w:beforeLines="50"/>
              <w:ind w:firstLine="420" w:firstLineChars="200"/>
              <w:rPr>
                <w:rFonts w:hint="eastAsia" w:ascii="宋体" w:hAnsi="宋体"/>
              </w:rPr>
            </w:pPr>
            <w:r>
              <w:rPr>
                <w:rFonts w:hint="eastAsia" w:ascii="宋体" w:hAnsi="宋体"/>
              </w:rPr>
              <w:t>目前来看稀土行业</w:t>
            </w:r>
            <w:r>
              <w:rPr>
                <w:rFonts w:ascii="宋体" w:hAnsi="宋体"/>
              </w:rPr>
              <w:t>最大的应用</w:t>
            </w:r>
            <w:r>
              <w:rPr>
                <w:rFonts w:hint="eastAsia" w:ascii="宋体" w:hAnsi="宋体"/>
              </w:rPr>
              <w:t>还</w:t>
            </w:r>
            <w:r>
              <w:rPr>
                <w:rFonts w:ascii="宋体" w:hAnsi="宋体"/>
              </w:rPr>
              <w:t>是</w:t>
            </w:r>
            <w:r>
              <w:rPr>
                <w:rFonts w:hint="eastAsia" w:ascii="宋体" w:hAnsi="宋体"/>
              </w:rPr>
              <w:t>钕铁硼磁材。新能源汽车、风电、变频空调、</w:t>
            </w:r>
            <w:r>
              <w:rPr>
                <w:rFonts w:hint="eastAsia" w:ascii="宋体" w:hAnsi="宋体"/>
                <w:lang w:val="en-US" w:eastAsia="zh-CN"/>
              </w:rPr>
              <w:t>消费电子</w:t>
            </w:r>
            <w:r>
              <w:rPr>
                <w:rFonts w:hint="eastAsia" w:ascii="宋体" w:hAnsi="宋体"/>
                <w:lang w:eastAsia="zh-CN"/>
              </w:rPr>
              <w:t>、</w:t>
            </w:r>
            <w:r>
              <w:rPr>
                <w:rFonts w:hint="eastAsia" w:ascii="宋体" w:hAnsi="宋体"/>
              </w:rPr>
              <w:t>节能</w:t>
            </w:r>
            <w:r>
              <w:rPr>
                <w:rFonts w:hint="eastAsia" w:ascii="宋体" w:hAnsi="宋体"/>
                <w:lang w:val="en-US" w:eastAsia="zh-CN"/>
              </w:rPr>
              <w:t>工业</w:t>
            </w:r>
            <w:r>
              <w:rPr>
                <w:rFonts w:hint="eastAsia" w:ascii="宋体" w:hAnsi="宋体"/>
              </w:rPr>
              <w:t>电机以及人型机器人等</w:t>
            </w:r>
            <w:r>
              <w:rPr>
                <w:rFonts w:hint="eastAsia" w:ascii="宋体" w:hAnsi="宋体"/>
                <w:lang w:val="en-US" w:eastAsia="zh-CN"/>
              </w:rPr>
              <w:t>与智能电动和节能低碳相关的下游产业的</w:t>
            </w:r>
            <w:r>
              <w:rPr>
                <w:rFonts w:hint="eastAsia" w:ascii="宋体" w:hAnsi="宋体"/>
              </w:rPr>
              <w:t>发展</w:t>
            </w:r>
            <w:r>
              <w:rPr>
                <w:rFonts w:hint="eastAsia" w:ascii="宋体" w:hAnsi="宋体"/>
                <w:lang w:eastAsia="zh-CN"/>
              </w:rPr>
              <w:t>，</w:t>
            </w:r>
            <w:r>
              <w:rPr>
                <w:rFonts w:hint="eastAsia" w:ascii="宋体" w:hAnsi="宋体"/>
                <w:lang w:val="en-US" w:eastAsia="zh-CN"/>
              </w:rPr>
              <w:t>将</w:t>
            </w:r>
            <w:r>
              <w:rPr>
                <w:rFonts w:hint="eastAsia" w:ascii="宋体" w:hAnsi="宋体"/>
              </w:rPr>
              <w:t>会</w:t>
            </w:r>
            <w:r>
              <w:rPr>
                <w:rFonts w:hint="eastAsia" w:ascii="宋体" w:hAnsi="宋体"/>
                <w:lang w:val="en-US" w:eastAsia="zh-CN"/>
              </w:rPr>
              <w:t>成为拉动稀土需求的</w:t>
            </w:r>
            <w:r>
              <w:rPr>
                <w:rFonts w:hint="eastAsia" w:ascii="宋体" w:hAnsi="宋体"/>
              </w:rPr>
              <w:t>新的增长点。</w:t>
            </w:r>
          </w:p>
        </w:tc>
      </w:tr>
      <w:tr w14:paraId="0874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F2D6383">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0B4F9E31">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4A32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5670B42">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0D27C80F">
            <w:pPr>
              <w:spacing w:line="360" w:lineRule="auto"/>
              <w:jc w:val="center"/>
              <w:rPr>
                <w:rFonts w:hint="eastAsia" w:ascii="宋体" w:hAnsi="宋体"/>
                <w:bCs/>
                <w:iCs/>
                <w:color w:val="000000"/>
                <w:szCs w:val="21"/>
              </w:rPr>
            </w:pPr>
            <w:r>
              <w:rPr>
                <w:rFonts w:ascii="宋体" w:hAnsi="宋体"/>
                <w:bCs/>
                <w:iCs/>
                <w:color w:val="000000"/>
                <w:szCs w:val="21"/>
              </w:rPr>
              <w:t>2024</w:t>
            </w:r>
            <w:r>
              <w:rPr>
                <w:rFonts w:hint="eastAsia" w:ascii="宋体" w:hAnsi="宋体"/>
                <w:bCs/>
                <w:iCs/>
                <w:color w:val="000000"/>
                <w:szCs w:val="21"/>
              </w:rPr>
              <w:t>年9月3日</w:t>
            </w:r>
          </w:p>
        </w:tc>
      </w:tr>
      <w:bookmarkEnd w:id="0"/>
    </w:tbl>
    <w:p w14:paraId="12A20572">
      <w:pPr>
        <w:widowControl/>
        <w:jc w:val="left"/>
        <w:rPr>
          <w:rFonts w:hint="eastAsia" w:ascii="仿宋" w:hAnsi="仿宋" w:eastAsia="仿宋"/>
          <w:sz w:val="28"/>
          <w:szCs w:val="28"/>
        </w:rPr>
      </w:pPr>
    </w:p>
    <w:sectPr>
      <w:footerReference r:id="rId3" w:type="default"/>
      <w:footerReference r:id="rId4" w:type="even"/>
      <w:pgSz w:w="11906" w:h="16838"/>
      <w:pgMar w:top="1701" w:right="1797" w:bottom="1134"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957E">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758DCC3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9902A">
    <w:pPr>
      <w:pStyle w:val="7"/>
      <w:framePr w:wrap="around" w:vAnchor="text" w:hAnchor="margin" w:xAlign="center" w:y="1"/>
      <w:rPr>
        <w:rStyle w:val="14"/>
      </w:rPr>
    </w:pPr>
    <w:r>
      <w:fldChar w:fldCharType="begin"/>
    </w:r>
    <w:r>
      <w:rPr>
        <w:rStyle w:val="14"/>
      </w:rPr>
      <w:instrText xml:space="preserve">PAGE  </w:instrText>
    </w:r>
    <w:r>
      <w:fldChar w:fldCharType="end"/>
    </w:r>
  </w:p>
  <w:p w14:paraId="10BC5D1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80B52"/>
    <w:multiLevelType w:val="multilevel"/>
    <w:tmpl w:val="10680B52"/>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7285A"/>
    <w:rsid w:val="00081574"/>
    <w:rsid w:val="000A6FEC"/>
    <w:rsid w:val="000B37B1"/>
    <w:rsid w:val="000D7761"/>
    <w:rsid w:val="00177EC3"/>
    <w:rsid w:val="00180568"/>
    <w:rsid w:val="001A04B5"/>
    <w:rsid w:val="001C1D99"/>
    <w:rsid w:val="00273F00"/>
    <w:rsid w:val="002B7B99"/>
    <w:rsid w:val="003F075D"/>
    <w:rsid w:val="004C55DA"/>
    <w:rsid w:val="004D4ECC"/>
    <w:rsid w:val="004E7079"/>
    <w:rsid w:val="00593A9B"/>
    <w:rsid w:val="005B097F"/>
    <w:rsid w:val="005C1E93"/>
    <w:rsid w:val="005F33F1"/>
    <w:rsid w:val="0060780A"/>
    <w:rsid w:val="00650410"/>
    <w:rsid w:val="00676A4E"/>
    <w:rsid w:val="007549ED"/>
    <w:rsid w:val="0077568A"/>
    <w:rsid w:val="007C5823"/>
    <w:rsid w:val="007D4949"/>
    <w:rsid w:val="007E1E56"/>
    <w:rsid w:val="007E4551"/>
    <w:rsid w:val="007E7F4E"/>
    <w:rsid w:val="007F5049"/>
    <w:rsid w:val="008F346F"/>
    <w:rsid w:val="00905BC4"/>
    <w:rsid w:val="009456A9"/>
    <w:rsid w:val="00953981"/>
    <w:rsid w:val="00992AD5"/>
    <w:rsid w:val="009B0861"/>
    <w:rsid w:val="00A130E2"/>
    <w:rsid w:val="00A30EA4"/>
    <w:rsid w:val="00A540D5"/>
    <w:rsid w:val="00AB65AE"/>
    <w:rsid w:val="00AE58F2"/>
    <w:rsid w:val="00AF6245"/>
    <w:rsid w:val="00B10F99"/>
    <w:rsid w:val="00B22C28"/>
    <w:rsid w:val="00B61558"/>
    <w:rsid w:val="00B943F5"/>
    <w:rsid w:val="00C125C5"/>
    <w:rsid w:val="00C3495A"/>
    <w:rsid w:val="00C74CFE"/>
    <w:rsid w:val="00CC0983"/>
    <w:rsid w:val="00D03E6A"/>
    <w:rsid w:val="00D16C08"/>
    <w:rsid w:val="00D346BD"/>
    <w:rsid w:val="00DE22B5"/>
    <w:rsid w:val="00E91845"/>
    <w:rsid w:val="00EA062D"/>
    <w:rsid w:val="00F273B8"/>
    <w:rsid w:val="00F536E6"/>
    <w:rsid w:val="00F619A6"/>
    <w:rsid w:val="00F72C4E"/>
    <w:rsid w:val="00F958D0"/>
    <w:rsid w:val="00FB5270"/>
    <w:rsid w:val="035E62A9"/>
    <w:rsid w:val="06A51B6B"/>
    <w:rsid w:val="0ECB5A9B"/>
    <w:rsid w:val="1E38504E"/>
    <w:rsid w:val="222A111F"/>
    <w:rsid w:val="258425A9"/>
    <w:rsid w:val="2C0B44D1"/>
    <w:rsid w:val="36C22E36"/>
    <w:rsid w:val="3A8638A8"/>
    <w:rsid w:val="3ED65E91"/>
    <w:rsid w:val="41C10393"/>
    <w:rsid w:val="4599357F"/>
    <w:rsid w:val="5319639D"/>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Company>
  <Pages>2</Pages>
  <Words>1250</Words>
  <Characters>1289</Characters>
  <Lines>10</Lines>
  <Paragraphs>2</Paragraphs>
  <TotalTime>249</TotalTime>
  <ScaleCrop>false</ScaleCrop>
  <LinksUpToDate>false</LinksUpToDate>
  <CharactersWithSpaces>1417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2024-09-04T03:38:00Z</dcterms:created>
  <dc:creator>Li</dc:creator>
  <cp:lastModifiedBy>Ray</cp:lastModifiedBy>
  <cp:lastPrinted>2010-08-04T06:50:00Z</cp:lastPrinted>
  <dcterms:modified xsi:type="dcterms:W3CDTF">2024-09-06T03:00:53Z</dcterms:modified>
  <dc:title>四川省上市公司协会文件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03BF7774115B4FFEAB92ED8B997C5C99_13</vt:lpwstr>
  </property>
</Properties>
</file>