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E2C4A">
      <w:pPr>
        <w:spacing w:after="93" w:afterLines="30" w:line="580" w:lineRule="exact"/>
        <w:jc w:val="center"/>
        <w:rPr>
          <w:rFonts w:ascii="仿宋" w:hAnsi="仿宋" w:eastAsia="仿宋"/>
          <w:b/>
          <w:color w:val="000000"/>
          <w:sz w:val="40"/>
          <w:szCs w:val="40"/>
        </w:rPr>
      </w:pPr>
      <w:r>
        <w:rPr>
          <w:rFonts w:hint="eastAsia" w:ascii="仿宋" w:hAnsi="仿宋" w:eastAsia="仿宋"/>
          <w:b/>
          <w:color w:val="000000"/>
          <w:sz w:val="40"/>
          <w:szCs w:val="40"/>
        </w:rPr>
        <w:t>投资者关系活动记录表</w:t>
      </w:r>
    </w:p>
    <w:p w14:paraId="5650E720">
      <w:pPr>
        <w:spacing w:line="58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证券代码：600693                  证券简称：东百集团</w:t>
      </w:r>
    </w:p>
    <w:p w14:paraId="340C19B4">
      <w:pPr>
        <w:spacing w:line="580" w:lineRule="exact"/>
        <w:ind w:right="1020"/>
        <w:jc w:val="right"/>
        <w:rPr>
          <w:rFonts w:hint="default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编号：</w:t>
      </w:r>
      <w:r>
        <w:rPr>
          <w:rFonts w:ascii="仿宋" w:hAnsi="仿宋" w:eastAsia="仿宋"/>
          <w:color w:val="000000"/>
          <w:sz w:val="28"/>
          <w:szCs w:val="28"/>
        </w:rPr>
        <w:t>DBJT202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40905</w:t>
      </w:r>
    </w:p>
    <w:tbl>
      <w:tblPr>
        <w:tblStyle w:val="8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76"/>
      </w:tblGrid>
      <w:tr w14:paraId="55AB6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60EE5A69">
            <w:pPr>
              <w:spacing w:line="500" w:lineRule="exact"/>
              <w:jc w:val="center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投资者关系</w:t>
            </w:r>
          </w:p>
          <w:p w14:paraId="641DAC3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活动类别</w:t>
            </w:r>
          </w:p>
        </w:tc>
        <w:tc>
          <w:tcPr>
            <w:tcW w:w="7376" w:type="dxa"/>
            <w:vAlign w:val="center"/>
          </w:tcPr>
          <w:p w14:paraId="40B1A254">
            <w:pPr>
              <w:autoSpaceDE w:val="0"/>
              <w:autoSpaceDN w:val="0"/>
              <w:adjustRightInd w:val="0"/>
              <w:spacing w:line="500" w:lineRule="exact"/>
              <w:ind w:left="108"/>
              <w:jc w:val="left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□特定对象调研        □分析师会议</w:t>
            </w:r>
          </w:p>
          <w:p w14:paraId="59117978">
            <w:pPr>
              <w:autoSpaceDE w:val="0"/>
              <w:autoSpaceDN w:val="0"/>
              <w:adjustRightInd w:val="0"/>
              <w:spacing w:line="500" w:lineRule="exact"/>
              <w:ind w:left="108"/>
              <w:jc w:val="left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 xml:space="preserve">□媒体采访            </w:t>
            </w: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业绩说明会</w:t>
            </w:r>
          </w:p>
          <w:p w14:paraId="4F248F35">
            <w:pPr>
              <w:autoSpaceDE w:val="0"/>
              <w:autoSpaceDN w:val="0"/>
              <w:adjustRightInd w:val="0"/>
              <w:spacing w:line="500" w:lineRule="exact"/>
              <w:ind w:left="108"/>
              <w:jc w:val="left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 xml:space="preserve">□新闻发布会          </w:t>
            </w: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路演活动</w:t>
            </w:r>
          </w:p>
          <w:p w14:paraId="7AE360A2">
            <w:pPr>
              <w:autoSpaceDE w:val="0"/>
              <w:autoSpaceDN w:val="0"/>
              <w:adjustRightInd w:val="0"/>
              <w:spacing w:line="500" w:lineRule="exact"/>
              <w:ind w:left="108"/>
              <w:jc w:val="left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□现场参观</w:t>
            </w:r>
          </w:p>
          <w:p w14:paraId="054CD448">
            <w:pPr>
              <w:autoSpaceDE w:val="0"/>
              <w:autoSpaceDN w:val="0"/>
              <w:adjustRightInd w:val="0"/>
              <w:spacing w:line="500" w:lineRule="exact"/>
              <w:ind w:left="108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（请文字说明活动内容）</w:t>
            </w:r>
          </w:p>
        </w:tc>
      </w:tr>
      <w:tr w14:paraId="7F7DF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C8EB6D8">
            <w:pPr>
              <w:spacing w:line="500" w:lineRule="exact"/>
              <w:jc w:val="center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参与单位名称</w:t>
            </w:r>
          </w:p>
          <w:p w14:paraId="70B595E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及人员姓名</w:t>
            </w:r>
          </w:p>
        </w:tc>
        <w:tc>
          <w:tcPr>
            <w:tcW w:w="7376" w:type="dxa"/>
            <w:vAlign w:val="center"/>
          </w:tcPr>
          <w:p w14:paraId="22254E61">
            <w:pPr>
              <w:spacing w:line="50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上证路演中心平台投资者与</w:t>
            </w:r>
          </w:p>
          <w:p w14:paraId="0E4A3A0A">
            <w:pPr>
              <w:spacing w:line="50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公司通过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网络互动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方式进行交流</w:t>
            </w:r>
          </w:p>
        </w:tc>
      </w:tr>
      <w:tr w14:paraId="66700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25B0308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时     间</w:t>
            </w:r>
          </w:p>
        </w:tc>
        <w:tc>
          <w:tcPr>
            <w:tcW w:w="7376" w:type="dxa"/>
            <w:vAlign w:val="center"/>
          </w:tcPr>
          <w:p w14:paraId="7F248E9B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:00-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</w:t>
            </w:r>
          </w:p>
        </w:tc>
      </w:tr>
      <w:tr w14:paraId="19EF9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1C89F24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地     点</w:t>
            </w:r>
          </w:p>
        </w:tc>
        <w:tc>
          <w:tcPr>
            <w:tcW w:w="7376" w:type="dxa"/>
            <w:vAlign w:val="center"/>
          </w:tcPr>
          <w:p w14:paraId="7037169D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上海证券交易所上证路演中心（http://roadshow.sseinfo.com/）</w:t>
            </w:r>
          </w:p>
        </w:tc>
      </w:tr>
      <w:tr w14:paraId="58AB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980" w:type="dxa"/>
            <w:vAlign w:val="center"/>
          </w:tcPr>
          <w:p w14:paraId="4268CB49">
            <w:pPr>
              <w:spacing w:line="500" w:lineRule="exact"/>
              <w:jc w:val="center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上市公司接</w:t>
            </w:r>
          </w:p>
          <w:p w14:paraId="24DFAE5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待人员姓名</w:t>
            </w:r>
          </w:p>
        </w:tc>
        <w:tc>
          <w:tcPr>
            <w:tcW w:w="7376" w:type="dxa"/>
            <w:vAlign w:val="center"/>
          </w:tcPr>
          <w:p w14:paraId="2B2B60E3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董事长、总裁  施文义先生</w:t>
            </w:r>
          </w:p>
          <w:p w14:paraId="1DDB04A9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董事、副总裁、财务总监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林建兴先生</w:t>
            </w:r>
          </w:p>
          <w:p w14:paraId="35FF8D38">
            <w:pPr>
              <w:spacing w:line="50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独立董事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赵仕坤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先生</w:t>
            </w:r>
          </w:p>
          <w:p w14:paraId="3899B7C8">
            <w:pPr>
              <w:spacing w:line="500" w:lineRule="exact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董事会秘书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刘海芬女士</w:t>
            </w:r>
          </w:p>
        </w:tc>
      </w:tr>
      <w:tr w14:paraId="7D6BC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1F6AE2E0">
            <w:pPr>
              <w:spacing w:line="500" w:lineRule="exact"/>
              <w:jc w:val="center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投资者关系</w:t>
            </w:r>
          </w:p>
          <w:p w14:paraId="2AF3498E">
            <w:pPr>
              <w:spacing w:line="500" w:lineRule="exact"/>
              <w:jc w:val="center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活动主要</w:t>
            </w:r>
          </w:p>
          <w:p w14:paraId="471C5E04">
            <w:pPr>
              <w:spacing w:line="500" w:lineRule="exact"/>
              <w:jc w:val="center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内容介绍</w:t>
            </w:r>
          </w:p>
        </w:tc>
        <w:tc>
          <w:tcPr>
            <w:tcW w:w="7376" w:type="dxa"/>
            <w:vAlign w:val="center"/>
          </w:tcPr>
          <w:p w14:paraId="7D5871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firstLine="56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福建东百集团股份有限公司（以下简称“公司”）于202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日披露了《公司202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年度报告》及《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关于召开2024年半年度业绩说明会的公告》等相关公告。为加强与投资者的交流，公司于202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:00-1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0通过上证路演平台召开了202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半年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度业绩说明会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本次说明会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通过网络互动方式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与广大投资者就公司202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半年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经营成果、财务状况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等相关问题进行交流。具体交流内容整理如下:</w:t>
            </w:r>
          </w:p>
          <w:p w14:paraId="32CA58B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Q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1：利桥古街项目目前发展运营情况怎么样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？</w:t>
            </w:r>
          </w:p>
          <w:p w14:paraId="5A5FFF41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A：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尊敬的投资者您好，福清东百利桥项目是公司首个“文商旅”结合项目，按国家AAAA级风景旅游区、国家级旅游休闲街区创建打造的城市名片级项目。今年6月，公司与中国奥莱会达成合作意向，将在福清东百利桥古街二期打造创新文旅奥莱街区，计划于年内完成招商工作并盛大开业，目前招商工作正在有序推进中。此外，福清东百利桥古街一期已于2022年12月开街，自开街以来，持续推动项目作为城市文旅重点项目的文化属性，2023年全年客流超1,150万人次，今年上半年，通过多样化的营销活动吸引客流获取曝光，包括打造城市美食节、水上嘉年华、利桥庙会等多场大型活动，多次创造话题，完成半年度客流近千万的超预期表现。感谢您的关注。</w:t>
            </w:r>
          </w:p>
          <w:p w14:paraId="02877AC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2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Q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2：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公司今年有没有做一些社会责任或者生态保护相关的工作？</w:t>
            </w:r>
          </w:p>
          <w:p w14:paraId="2DA7B8BF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A：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尊敬的投资者您好，公司持续将ESG理念融入企业发展之举，今年公司与华夏新能达成战略合作，目前双方已就公司旗下9个仓储物流项目签署合作协议，对方将承租公司旗下相关项目建筑物屋顶用于建设、运营光伏发电系统，通过绿色发电，不仅能有效提升环境效益，促进低碳绿色园区建设，实现节能降碳和降本增效目标，也将实现经济发展、资源节约和环境保护的良性互动。</w:t>
            </w:r>
          </w:p>
          <w:p w14:paraId="3A0E1139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同时，在绿色可持续发展理念驱动下，公司也在项目建设和日常经营中，将节能减排从理念落实为行动，持续每年组织系列绿色公益活动，向公众传递绿色理念。感谢您的关注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53935D3B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2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Q3：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请问公司在目前市场环境下有哪些技术优势，目前的市场表现如何？</w:t>
            </w:r>
          </w:p>
          <w:p w14:paraId="75220CF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A：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尊敬的投资者您好，公司商业零售业务依托于数字化的深耕，发掘品牌潜能、赋能经营，从洞察消费者需求层面来看，定期分析会员运营报告，匹配并深入挖掘用户需求，围绕消费者开拓了有针对性的多渠道精准营销模式，找到核心突破点，提升顾客转化率、复购率。在仓储物流领域，公司以标准化设计为基础，以目标客户需求为导向，围绕项目实际运营情况，合理规划产品；通过制定物业管理方案，合理规划人员配置，实时监控运营设备使用情况，减少维护成本支出。此外，目前公司数字化建设已实现系统覆盖核心业务，不断提高公司竞争优势。感谢您的关注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7197D4CD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2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Q4：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公司在提质增效重回报方面有什么举措吗？</w:t>
            </w:r>
          </w:p>
          <w:p w14:paraId="38CE3A4F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A：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尊敬的投资者您好，今年6月公司发布《2024年度“提质增效重回报”行动方案》，公司将切实履行上市公司责任和义务，维护全体股东尤其中小股东的合法权益，积极传递企业价值，促进资本市场平稳健康发展。</w:t>
            </w:r>
          </w:p>
          <w:p w14:paraId="4803376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上半年，公司通过业态的持续升级、营销的推陈出新、营运的整合优化与会员的精细服务，商业零售板块保持了稳健的发展态势，降本增收成效明显，各门店总客流量、销售规模等主要业务指标均实现提升，同时今年6月开辟奥特莱斯赛道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将</w:t>
            </w:r>
            <w:bookmarkStart w:id="1" w:name="_GoBack"/>
            <w:bookmarkEnd w:id="1"/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为公司业务发展提供全新引擎。此外，为与投资者共享经营发展成果，公司2024年半年度拟每股派发现金红利0.05元（含税），该利润分配方案尚需提交股东大会审议。感谢您的关注。</w:t>
            </w:r>
          </w:p>
          <w:p w14:paraId="5653C692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2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Q5：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暑期刚过不久，国家也出台了一系列提振暑期消费的政策措施如《关于促进服务消费高质量发展的意见》，公司在这期间有什么响应措施吗？</w:t>
            </w:r>
          </w:p>
          <w:p w14:paraId="084F47A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A：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尊敬的投资者您好，公司核心门店东百中心、兰州中心均位于省会城市的核心地段，毗邻热门旅游景点，今年公司联动商、旅、文等优质商业资源，协同打好营销“组合拳”，精心策划了一系列创新活动与特别服务，为消费市场注入新活力。另外，福清东百利桥古街是福建省特色步行街，暑期打造了福清首家IP主题卜吉熊水上乐园等活动，完成半年度客流近千万的超预期表现。感谢您的关注。</w:t>
            </w:r>
          </w:p>
          <w:p w14:paraId="2CCC329B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2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Q6：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公司今年会员管理有什么新成果？</w:t>
            </w:r>
          </w:p>
          <w:p w14:paraId="04B0136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/>
              <w:ind w:leftChars="0"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A：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尊敬的投资者您好，东百商业围绕消费者的需求提升服务价值，完善“重营销 强运营”的会员服务体系，有效满足消费者的情绪价值、社交价值等，组织开展多样化的会员主题活动，例如美肤、潮拍、赠礼、亲子、DIY手作等主题活动。上半年，门店开展会员服务活动119场，通过丰富和形式多样的会员活动，提升会员满意度与忠诚度。截至报告期末，公司会员人数超380万人，较年初增长6%。感谢您的关注。</w:t>
            </w:r>
          </w:p>
        </w:tc>
      </w:tr>
      <w:tr w14:paraId="3CB98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63CC3CC0">
            <w:pPr>
              <w:autoSpaceDE w:val="0"/>
              <w:autoSpaceDN w:val="0"/>
              <w:adjustRightInd w:val="0"/>
              <w:spacing w:line="500" w:lineRule="exact"/>
              <w:ind w:left="108"/>
              <w:jc w:val="center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bookmarkStart w:id="0" w:name="_Hlk103253471"/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附件清单</w:t>
            </w:r>
          </w:p>
          <w:p w14:paraId="4B706431">
            <w:pPr>
              <w:autoSpaceDE w:val="0"/>
              <w:autoSpaceDN w:val="0"/>
              <w:adjustRightInd w:val="0"/>
              <w:spacing w:line="500" w:lineRule="exact"/>
              <w:ind w:left="108"/>
              <w:jc w:val="center"/>
              <w:rPr>
                <w:rFonts w:ascii="仿宋" w:hAnsi="仿宋" w:eastAsia="仿宋" w:cs="宋?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（如有）</w:t>
            </w:r>
          </w:p>
        </w:tc>
        <w:tc>
          <w:tcPr>
            <w:tcW w:w="7376" w:type="dxa"/>
            <w:vAlign w:val="center"/>
          </w:tcPr>
          <w:p w14:paraId="111EA02F"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 w14:paraId="1A0A8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80" w:type="dxa"/>
            <w:vAlign w:val="center"/>
          </w:tcPr>
          <w:p w14:paraId="5D6CA2E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?"/>
                <w:color w:val="000000"/>
                <w:kern w:val="0"/>
                <w:sz w:val="28"/>
                <w:szCs w:val="28"/>
              </w:rPr>
              <w:t>日     期</w:t>
            </w:r>
          </w:p>
        </w:tc>
        <w:tc>
          <w:tcPr>
            <w:tcW w:w="7376" w:type="dxa"/>
            <w:vAlign w:val="center"/>
          </w:tcPr>
          <w:p w14:paraId="3F195E89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  <w:bookmarkEnd w:id="0"/>
    </w:tbl>
    <w:p w14:paraId="74904FB9">
      <w:pPr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6" w:h="16838"/>
      <w:pgMar w:top="1418" w:right="1304" w:bottom="1418" w:left="1304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3356209"/>
    </w:sdtPr>
    <w:sdtEndPr>
      <w:rPr>
        <w:rFonts w:ascii="Times New Roman" w:hAnsi="Times New Roman" w:cs="Times New Roman"/>
      </w:rPr>
    </w:sdtEndPr>
    <w:sdtContent>
      <w:p w14:paraId="302ACCD5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69609">
    <w:pPr>
      <w:pStyle w:val="5"/>
      <w:jc w:val="both"/>
    </w:pPr>
    <w:r>
      <w:drawing>
        <wp:inline distT="0" distB="0" distL="0" distR="0">
          <wp:extent cx="1285875" cy="335280"/>
          <wp:effectExtent l="19050" t="0" r="9525" b="0"/>
          <wp:docPr id="2" name="图片 1" descr="C:\Users\Administrator\Desktop\logo\东百集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logo\东百集团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NTBjOWRmNGVhNzk2MmFlZmIzOTllZmFhOWM1YjkifQ=="/>
  </w:docVars>
  <w:rsids>
    <w:rsidRoot w:val="006D09E4"/>
    <w:rsid w:val="00000E72"/>
    <w:rsid w:val="00043E23"/>
    <w:rsid w:val="00047A4C"/>
    <w:rsid w:val="000600F4"/>
    <w:rsid w:val="0007000E"/>
    <w:rsid w:val="000C3E4D"/>
    <w:rsid w:val="000C70F1"/>
    <w:rsid w:val="0010531C"/>
    <w:rsid w:val="00107B2A"/>
    <w:rsid w:val="00216439"/>
    <w:rsid w:val="002463A0"/>
    <w:rsid w:val="002F0BCC"/>
    <w:rsid w:val="0032579E"/>
    <w:rsid w:val="003A3A6B"/>
    <w:rsid w:val="00452644"/>
    <w:rsid w:val="004716F8"/>
    <w:rsid w:val="004B3CF0"/>
    <w:rsid w:val="004D5176"/>
    <w:rsid w:val="004E1EA8"/>
    <w:rsid w:val="004F0BA1"/>
    <w:rsid w:val="0052240E"/>
    <w:rsid w:val="00570D70"/>
    <w:rsid w:val="005C7614"/>
    <w:rsid w:val="005F3CA8"/>
    <w:rsid w:val="00622CAE"/>
    <w:rsid w:val="006843DF"/>
    <w:rsid w:val="006D09E4"/>
    <w:rsid w:val="0070463B"/>
    <w:rsid w:val="00722CB2"/>
    <w:rsid w:val="00753115"/>
    <w:rsid w:val="00791E26"/>
    <w:rsid w:val="007E5458"/>
    <w:rsid w:val="00823DBB"/>
    <w:rsid w:val="00830681"/>
    <w:rsid w:val="008761F8"/>
    <w:rsid w:val="0087697D"/>
    <w:rsid w:val="00886220"/>
    <w:rsid w:val="008C791B"/>
    <w:rsid w:val="00951FA2"/>
    <w:rsid w:val="009B1D4F"/>
    <w:rsid w:val="009B6701"/>
    <w:rsid w:val="009C0E9A"/>
    <w:rsid w:val="00A1347F"/>
    <w:rsid w:val="00A24393"/>
    <w:rsid w:val="00A36E07"/>
    <w:rsid w:val="00A56F4B"/>
    <w:rsid w:val="00A77AEA"/>
    <w:rsid w:val="00A86839"/>
    <w:rsid w:val="00A96F5A"/>
    <w:rsid w:val="00AB43B7"/>
    <w:rsid w:val="00AD5791"/>
    <w:rsid w:val="00AE0A95"/>
    <w:rsid w:val="00AF467D"/>
    <w:rsid w:val="00B5297E"/>
    <w:rsid w:val="00B7156F"/>
    <w:rsid w:val="00B73D7D"/>
    <w:rsid w:val="00B82E22"/>
    <w:rsid w:val="00BB2802"/>
    <w:rsid w:val="00C12464"/>
    <w:rsid w:val="00C406CE"/>
    <w:rsid w:val="00C50308"/>
    <w:rsid w:val="00C63DCF"/>
    <w:rsid w:val="00C8126B"/>
    <w:rsid w:val="00C95CC3"/>
    <w:rsid w:val="00CB10E6"/>
    <w:rsid w:val="00CB5360"/>
    <w:rsid w:val="00CB67BD"/>
    <w:rsid w:val="00CD14B3"/>
    <w:rsid w:val="00CD1F1B"/>
    <w:rsid w:val="00CF72FC"/>
    <w:rsid w:val="00D04FB3"/>
    <w:rsid w:val="00D36775"/>
    <w:rsid w:val="00D7509E"/>
    <w:rsid w:val="00DA2F14"/>
    <w:rsid w:val="00DC2BD9"/>
    <w:rsid w:val="00DF3910"/>
    <w:rsid w:val="00E414C9"/>
    <w:rsid w:val="00E50DFA"/>
    <w:rsid w:val="00E81B7C"/>
    <w:rsid w:val="00E94D7E"/>
    <w:rsid w:val="00EB2D71"/>
    <w:rsid w:val="00F87EF0"/>
    <w:rsid w:val="04943ACF"/>
    <w:rsid w:val="04D4193C"/>
    <w:rsid w:val="09620D4B"/>
    <w:rsid w:val="0B781BBB"/>
    <w:rsid w:val="0BF606D3"/>
    <w:rsid w:val="10223DB2"/>
    <w:rsid w:val="15442068"/>
    <w:rsid w:val="197822EC"/>
    <w:rsid w:val="1CD53EA9"/>
    <w:rsid w:val="1E9D44FA"/>
    <w:rsid w:val="1F100F1A"/>
    <w:rsid w:val="25532192"/>
    <w:rsid w:val="287C3E30"/>
    <w:rsid w:val="29CE4854"/>
    <w:rsid w:val="2D9445D7"/>
    <w:rsid w:val="2DE47F8D"/>
    <w:rsid w:val="2E1A1CB3"/>
    <w:rsid w:val="2F1F1056"/>
    <w:rsid w:val="329E2502"/>
    <w:rsid w:val="34E925CE"/>
    <w:rsid w:val="37063652"/>
    <w:rsid w:val="393D67A4"/>
    <w:rsid w:val="491A14E6"/>
    <w:rsid w:val="55046C49"/>
    <w:rsid w:val="56D55E34"/>
    <w:rsid w:val="5C2701FF"/>
    <w:rsid w:val="5F8211E2"/>
    <w:rsid w:val="68F23590"/>
    <w:rsid w:val="69655DEC"/>
    <w:rsid w:val="6C7A3B4E"/>
    <w:rsid w:val="6FD56090"/>
    <w:rsid w:val="70472E3E"/>
    <w:rsid w:val="74E24525"/>
    <w:rsid w:val="76D637B8"/>
    <w:rsid w:val="79152894"/>
    <w:rsid w:val="79660FA7"/>
    <w:rsid w:val="7B9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2019</Words>
  <Characters>2146</Characters>
  <Lines>14</Lines>
  <Paragraphs>4</Paragraphs>
  <TotalTime>60</TotalTime>
  <ScaleCrop>false</ScaleCrop>
  <LinksUpToDate>false</LinksUpToDate>
  <CharactersWithSpaces>2234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2023-06-07T01:39:00Z</dcterms:created>
  <dc:creator>刘海芬</dc:creator>
  <cp:lastModifiedBy>LCK</cp:lastModifiedBy>
  <cp:lastPrinted>2018-12-20T06:09:00Z</cp:lastPrinted>
  <dcterms:modified xsi:type="dcterms:W3CDTF">2024-09-06T09:02:34Z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C94B6C2241E8469BA5A9CC7A84613E14_13</vt:lpwstr>
  </property>
</Properties>
</file>