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AE3" w:rsidRDefault="00DF6D1C">
      <w:pPr>
        <w:spacing w:line="579" w:lineRule="exact"/>
        <w:jc w:val="center"/>
        <w:rPr>
          <w:rFonts w:ascii="方正小标宋简体" w:eastAsia="方正小标宋简体"/>
          <w:sz w:val="44"/>
          <w:szCs w:val="44"/>
        </w:rPr>
      </w:pPr>
      <w:r>
        <w:rPr>
          <w:rFonts w:ascii="方正小标宋简体" w:eastAsia="方正小标宋简体" w:hint="eastAsia"/>
          <w:sz w:val="44"/>
          <w:szCs w:val="44"/>
        </w:rPr>
        <w:t>济南高新发展股份有限公司</w:t>
      </w:r>
    </w:p>
    <w:p w:rsidR="00166AE3" w:rsidRDefault="00DF6D1C">
      <w:pPr>
        <w:spacing w:line="579" w:lineRule="exact"/>
        <w:jc w:val="center"/>
        <w:rPr>
          <w:rFonts w:ascii="方正小标宋简体" w:eastAsia="方正小标宋简体"/>
          <w:sz w:val="44"/>
          <w:szCs w:val="44"/>
        </w:rPr>
      </w:pPr>
      <w:r>
        <w:rPr>
          <w:rFonts w:ascii="方正小标宋简体" w:eastAsia="方正小标宋简体" w:hint="eastAsia"/>
          <w:sz w:val="44"/>
          <w:szCs w:val="44"/>
        </w:rPr>
        <w:t>202</w:t>
      </w:r>
      <w:r w:rsidR="009F6661">
        <w:rPr>
          <w:rFonts w:ascii="方正小标宋简体" w:eastAsia="方正小标宋简体" w:hint="eastAsia"/>
          <w:sz w:val="44"/>
          <w:szCs w:val="44"/>
        </w:rPr>
        <w:t>4</w:t>
      </w:r>
      <w:r>
        <w:rPr>
          <w:rFonts w:ascii="方正小标宋简体" w:eastAsia="方正小标宋简体" w:hint="eastAsia"/>
          <w:sz w:val="44"/>
          <w:szCs w:val="44"/>
        </w:rPr>
        <w:t>年</w:t>
      </w:r>
      <w:r w:rsidR="009F6661">
        <w:rPr>
          <w:rFonts w:ascii="方正小标宋简体" w:eastAsia="方正小标宋简体" w:hint="eastAsia"/>
          <w:sz w:val="44"/>
          <w:szCs w:val="44"/>
        </w:rPr>
        <w:t>半年</w:t>
      </w:r>
      <w:r>
        <w:rPr>
          <w:rFonts w:ascii="方正小标宋简体" w:eastAsia="方正小标宋简体" w:hint="eastAsia"/>
          <w:sz w:val="44"/>
          <w:szCs w:val="44"/>
        </w:rPr>
        <w:t>度业绩说明会记录表</w:t>
      </w:r>
    </w:p>
    <w:tbl>
      <w:tblPr>
        <w:tblpPr w:leftFromText="180" w:rightFromText="180" w:vertAnchor="page" w:horzAnchor="margin" w:tblpXSpec="center" w:tblpY="342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96"/>
        <w:gridCol w:w="8364"/>
      </w:tblGrid>
      <w:tr w:rsidR="00166AE3">
        <w:trPr>
          <w:trHeight w:val="983"/>
        </w:trPr>
        <w:tc>
          <w:tcPr>
            <w:tcW w:w="1696" w:type="dxa"/>
            <w:shd w:val="clear" w:color="auto" w:fill="FFFFFF"/>
            <w:tcMar>
              <w:top w:w="0" w:type="dxa"/>
              <w:left w:w="30" w:type="dxa"/>
              <w:bottom w:w="0" w:type="dxa"/>
              <w:right w:w="30" w:type="dxa"/>
            </w:tcMar>
            <w:vAlign w:val="center"/>
          </w:tcPr>
          <w:p w:rsidR="00166AE3" w:rsidRDefault="00DF6D1C">
            <w:pPr>
              <w:spacing w:line="579" w:lineRule="exac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投资者关系活动类别</w:t>
            </w:r>
          </w:p>
        </w:tc>
        <w:tc>
          <w:tcPr>
            <w:tcW w:w="8364" w:type="dxa"/>
            <w:shd w:val="clear" w:color="auto" w:fill="FFFFFF"/>
            <w:tcMar>
              <w:top w:w="0" w:type="dxa"/>
              <w:left w:w="30" w:type="dxa"/>
              <w:bottom w:w="0" w:type="dxa"/>
              <w:right w:w="30" w:type="dxa"/>
            </w:tcMar>
            <w:vAlign w:val="center"/>
          </w:tcPr>
          <w:p w:rsidR="00166AE3" w:rsidRDefault="00DF6D1C">
            <w:pPr>
              <w:spacing w:line="579" w:lineRule="exact"/>
              <w:jc w:val="left"/>
              <w:rPr>
                <w:rFonts w:ascii="宋体" w:eastAsia="宋体" w:hAnsi="宋体" w:cs="Segoe UI Symbol"/>
                <w:color w:val="333333"/>
                <w:kern w:val="0"/>
                <w:sz w:val="24"/>
                <w:szCs w:val="24"/>
              </w:rPr>
            </w:pPr>
            <w:r>
              <w:rPr>
                <w:rFonts w:ascii="宋体" w:eastAsia="宋体" w:hAnsi="宋体" w:cs="Segoe UI Symbol" w:hint="eastAsia"/>
                <w:color w:val="333333"/>
                <w:kern w:val="0"/>
                <w:sz w:val="24"/>
                <w:szCs w:val="24"/>
              </w:rPr>
              <w:t xml:space="preserve">□特定对象调研 </w:t>
            </w:r>
            <w:r>
              <w:rPr>
                <w:rFonts w:ascii="宋体" w:eastAsia="宋体" w:hAnsi="宋体" w:cs="Segoe UI Symbol"/>
                <w:color w:val="333333"/>
                <w:kern w:val="0"/>
                <w:sz w:val="24"/>
                <w:szCs w:val="24"/>
              </w:rPr>
              <w:t xml:space="preserve"> </w:t>
            </w:r>
            <w:r>
              <w:rPr>
                <w:rFonts w:ascii="宋体" w:eastAsia="宋体" w:hAnsi="宋体" w:cs="Segoe UI Symbol" w:hint="eastAsia"/>
                <w:color w:val="333333"/>
                <w:kern w:val="0"/>
                <w:sz w:val="24"/>
                <w:szCs w:val="24"/>
              </w:rPr>
              <w:t>□分析</w:t>
            </w:r>
            <w:proofErr w:type="gramStart"/>
            <w:r>
              <w:rPr>
                <w:rFonts w:ascii="宋体" w:eastAsia="宋体" w:hAnsi="宋体" w:cs="Segoe UI Symbol" w:hint="eastAsia"/>
                <w:color w:val="333333"/>
                <w:kern w:val="0"/>
                <w:sz w:val="24"/>
                <w:szCs w:val="24"/>
              </w:rPr>
              <w:t>师会议</w:t>
            </w:r>
            <w:proofErr w:type="gramEnd"/>
            <w:r>
              <w:rPr>
                <w:rFonts w:ascii="宋体" w:eastAsia="宋体" w:hAnsi="宋体" w:cs="Segoe UI Symbol" w:hint="eastAsia"/>
                <w:color w:val="333333"/>
                <w:kern w:val="0"/>
                <w:sz w:val="24"/>
                <w:szCs w:val="24"/>
              </w:rPr>
              <w:t xml:space="preserve">  □媒体采访  </w:t>
            </w:r>
            <w:r>
              <w:rPr>
                <w:rFonts w:ascii="宋体" w:eastAsia="宋体" w:hAnsi="宋体" w:cs="Segoe UI Symbol" w:hint="eastAsia"/>
                <w:color w:val="333333"/>
                <w:kern w:val="0"/>
                <w:sz w:val="24"/>
                <w:szCs w:val="24"/>
              </w:rPr>
              <w:sym w:font="Wingdings 2" w:char="0052"/>
            </w:r>
            <w:r>
              <w:rPr>
                <w:rFonts w:ascii="宋体" w:eastAsia="宋体" w:hAnsi="宋体" w:cs="Segoe UI Symbol" w:hint="eastAsia"/>
                <w:color w:val="333333"/>
                <w:kern w:val="0"/>
                <w:sz w:val="24"/>
                <w:szCs w:val="24"/>
              </w:rPr>
              <w:t>业绩说明会  □新闻发布会</w:t>
            </w:r>
          </w:p>
          <w:p w:rsidR="00166AE3" w:rsidRDefault="00DF6D1C">
            <w:pPr>
              <w:spacing w:line="579" w:lineRule="exact"/>
              <w:jc w:val="left"/>
              <w:rPr>
                <w:rFonts w:ascii="宋体" w:eastAsia="宋体" w:hAnsi="宋体" w:cs="宋体"/>
                <w:color w:val="333333"/>
                <w:kern w:val="0"/>
                <w:sz w:val="24"/>
                <w:szCs w:val="24"/>
              </w:rPr>
            </w:pPr>
            <w:r>
              <w:rPr>
                <w:rFonts w:ascii="宋体" w:eastAsia="宋体" w:hAnsi="宋体" w:cs="Segoe UI Symbol" w:hint="eastAsia"/>
                <w:color w:val="333333"/>
                <w:kern w:val="0"/>
                <w:sz w:val="24"/>
                <w:szCs w:val="24"/>
              </w:rPr>
              <w:t xml:space="preserve">□路演活动 </w:t>
            </w:r>
            <w:r>
              <w:rPr>
                <w:rFonts w:ascii="宋体" w:eastAsia="宋体" w:hAnsi="宋体" w:cs="Segoe UI Symbol"/>
                <w:color w:val="333333"/>
                <w:kern w:val="0"/>
                <w:sz w:val="24"/>
                <w:szCs w:val="24"/>
              </w:rPr>
              <w:t xml:space="preserve"> </w:t>
            </w:r>
            <w:r>
              <w:rPr>
                <w:rFonts w:ascii="宋体" w:eastAsia="宋体" w:hAnsi="宋体" w:cs="Segoe UI Symbol" w:hint="eastAsia"/>
                <w:color w:val="333333"/>
                <w:kern w:val="0"/>
                <w:sz w:val="24"/>
                <w:szCs w:val="24"/>
              </w:rPr>
              <w:t xml:space="preserve">□现场参观 </w:t>
            </w:r>
            <w:r>
              <w:rPr>
                <w:rFonts w:ascii="宋体" w:eastAsia="宋体" w:hAnsi="宋体" w:cs="Segoe UI Symbol"/>
                <w:color w:val="333333"/>
                <w:kern w:val="0"/>
                <w:sz w:val="24"/>
                <w:szCs w:val="24"/>
              </w:rPr>
              <w:t xml:space="preserve"> </w:t>
            </w:r>
            <w:r>
              <w:rPr>
                <w:rFonts w:ascii="宋体" w:eastAsia="宋体" w:hAnsi="宋体" w:cs="Segoe UI Symbol" w:hint="eastAsia"/>
                <w:color w:val="333333"/>
                <w:kern w:val="0"/>
                <w:sz w:val="24"/>
                <w:szCs w:val="24"/>
              </w:rPr>
              <w:t>□其他</w:t>
            </w:r>
            <w:r>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u w:val="single"/>
              </w:rPr>
              <w:t xml:space="preserve"> </w:t>
            </w:r>
            <w:r>
              <w:rPr>
                <w:rFonts w:ascii="宋体" w:eastAsia="宋体" w:hAnsi="宋体" w:cs="宋体"/>
                <w:color w:val="333333"/>
                <w:kern w:val="0"/>
                <w:sz w:val="24"/>
                <w:szCs w:val="24"/>
                <w:u w:val="single"/>
              </w:rPr>
              <w:t xml:space="preserve">                   </w:t>
            </w:r>
            <w:r>
              <w:rPr>
                <w:rFonts w:ascii="宋体" w:eastAsia="宋体" w:hAnsi="宋体" w:cs="宋体" w:hint="eastAsia"/>
                <w:color w:val="333333"/>
                <w:kern w:val="0"/>
                <w:sz w:val="24"/>
                <w:szCs w:val="24"/>
                <w:u w:val="single"/>
              </w:rPr>
              <w:t xml:space="preserve"> </w:t>
            </w:r>
            <w:r>
              <w:rPr>
                <w:rFonts w:ascii="宋体" w:eastAsia="宋体" w:hAnsi="宋体" w:cs="宋体" w:hint="eastAsia"/>
                <w:color w:val="333333"/>
                <w:kern w:val="0"/>
                <w:sz w:val="24"/>
                <w:szCs w:val="24"/>
              </w:rPr>
              <w:t>）</w:t>
            </w:r>
          </w:p>
        </w:tc>
      </w:tr>
      <w:tr w:rsidR="00166AE3">
        <w:tc>
          <w:tcPr>
            <w:tcW w:w="1696" w:type="dxa"/>
            <w:shd w:val="clear" w:color="auto" w:fill="FFFFFF"/>
            <w:tcMar>
              <w:top w:w="0" w:type="dxa"/>
              <w:left w:w="30" w:type="dxa"/>
              <w:bottom w:w="0" w:type="dxa"/>
              <w:right w:w="30" w:type="dxa"/>
            </w:tcMar>
            <w:vAlign w:val="center"/>
          </w:tcPr>
          <w:p w:rsidR="00166AE3" w:rsidRDefault="00DF6D1C">
            <w:pPr>
              <w:spacing w:line="579" w:lineRule="exac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参与单位名称及人员姓名</w:t>
            </w:r>
          </w:p>
        </w:tc>
        <w:tc>
          <w:tcPr>
            <w:tcW w:w="8364" w:type="dxa"/>
            <w:shd w:val="clear" w:color="auto" w:fill="FFFFFF"/>
            <w:tcMar>
              <w:top w:w="0" w:type="dxa"/>
              <w:left w:w="30" w:type="dxa"/>
              <w:bottom w:w="0" w:type="dxa"/>
              <w:right w:w="30" w:type="dxa"/>
            </w:tcMar>
            <w:vAlign w:val="center"/>
          </w:tcPr>
          <w:p w:rsidR="00166AE3" w:rsidRDefault="00B95EE8" w:rsidP="009F6661">
            <w:pPr>
              <w:spacing w:line="579" w:lineRule="exact"/>
              <w:jc w:val="left"/>
              <w:rPr>
                <w:rFonts w:ascii="宋体" w:eastAsia="宋体" w:hAnsi="宋体" w:cs="宋体"/>
                <w:color w:val="333333"/>
                <w:kern w:val="0"/>
                <w:sz w:val="24"/>
                <w:szCs w:val="24"/>
                <w:u w:val="single"/>
              </w:rPr>
            </w:pPr>
            <w:r w:rsidRPr="00B95EE8">
              <w:rPr>
                <w:rFonts w:ascii="宋体" w:eastAsia="宋体" w:hAnsi="宋体"/>
                <w:color w:val="000000" w:themeColor="text1"/>
                <w:sz w:val="24"/>
                <w:szCs w:val="24"/>
              </w:rPr>
              <w:t>在线</w:t>
            </w:r>
            <w:r w:rsidR="00DF6D1C" w:rsidRPr="00B95EE8">
              <w:rPr>
                <w:rFonts w:ascii="宋体" w:eastAsia="宋体" w:hAnsi="宋体"/>
                <w:color w:val="000000" w:themeColor="text1"/>
                <w:sz w:val="24"/>
                <w:szCs w:val="24"/>
              </w:rPr>
              <w:t>参与公司</w:t>
            </w:r>
            <w:r w:rsidR="00DF6D1C" w:rsidRPr="00B95EE8">
              <w:rPr>
                <w:rFonts w:ascii="宋体" w:eastAsia="宋体" w:hAnsi="宋体" w:hint="eastAsia"/>
                <w:color w:val="000000" w:themeColor="text1"/>
                <w:sz w:val="24"/>
                <w:szCs w:val="24"/>
              </w:rPr>
              <w:t>202</w:t>
            </w:r>
            <w:r w:rsidR="009F6661">
              <w:rPr>
                <w:rFonts w:ascii="宋体" w:eastAsia="宋体" w:hAnsi="宋体" w:hint="eastAsia"/>
                <w:color w:val="000000" w:themeColor="text1"/>
                <w:sz w:val="24"/>
                <w:szCs w:val="24"/>
              </w:rPr>
              <w:t>4</w:t>
            </w:r>
            <w:r w:rsidR="00DF6D1C" w:rsidRPr="00B95EE8">
              <w:rPr>
                <w:rFonts w:ascii="宋体" w:eastAsia="宋体" w:hAnsi="宋体" w:hint="eastAsia"/>
                <w:color w:val="000000" w:themeColor="text1"/>
                <w:sz w:val="24"/>
                <w:szCs w:val="24"/>
              </w:rPr>
              <w:t>年</w:t>
            </w:r>
            <w:r w:rsidR="009F6661">
              <w:rPr>
                <w:rFonts w:ascii="宋体" w:eastAsia="宋体" w:hAnsi="宋体" w:hint="eastAsia"/>
                <w:color w:val="000000" w:themeColor="text1"/>
                <w:sz w:val="24"/>
                <w:szCs w:val="24"/>
              </w:rPr>
              <w:t>半年</w:t>
            </w:r>
            <w:r w:rsidR="00DF6D1C" w:rsidRPr="00B95EE8">
              <w:rPr>
                <w:rFonts w:ascii="宋体" w:eastAsia="宋体" w:hAnsi="宋体" w:hint="eastAsia"/>
                <w:color w:val="000000" w:themeColor="text1"/>
                <w:sz w:val="24"/>
                <w:szCs w:val="24"/>
              </w:rPr>
              <w:t>度业绩说明会</w:t>
            </w:r>
            <w:r w:rsidRPr="00B95EE8">
              <w:rPr>
                <w:rFonts w:ascii="宋体" w:eastAsia="宋体" w:hAnsi="宋体" w:hint="eastAsia"/>
                <w:color w:val="000000" w:themeColor="text1"/>
                <w:sz w:val="24"/>
                <w:szCs w:val="24"/>
              </w:rPr>
              <w:t>的</w:t>
            </w:r>
            <w:r w:rsidR="00DF6D1C" w:rsidRPr="00B95EE8">
              <w:rPr>
                <w:rFonts w:ascii="宋体" w:eastAsia="宋体" w:hAnsi="宋体"/>
                <w:color w:val="000000" w:themeColor="text1"/>
                <w:sz w:val="24"/>
                <w:szCs w:val="24"/>
              </w:rPr>
              <w:t>投资者</w:t>
            </w:r>
          </w:p>
        </w:tc>
      </w:tr>
      <w:tr w:rsidR="00166AE3">
        <w:tc>
          <w:tcPr>
            <w:tcW w:w="1696" w:type="dxa"/>
            <w:shd w:val="clear" w:color="auto" w:fill="FFFFFF"/>
            <w:tcMar>
              <w:top w:w="0" w:type="dxa"/>
              <w:left w:w="30" w:type="dxa"/>
              <w:bottom w:w="0" w:type="dxa"/>
              <w:right w:w="30" w:type="dxa"/>
            </w:tcMar>
            <w:vAlign w:val="center"/>
          </w:tcPr>
          <w:p w:rsidR="00166AE3" w:rsidRDefault="00DF6D1C">
            <w:pPr>
              <w:spacing w:line="579" w:lineRule="exac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时间</w:t>
            </w:r>
          </w:p>
        </w:tc>
        <w:tc>
          <w:tcPr>
            <w:tcW w:w="8364" w:type="dxa"/>
            <w:shd w:val="clear" w:color="auto" w:fill="FFFFFF"/>
            <w:tcMar>
              <w:top w:w="0" w:type="dxa"/>
              <w:left w:w="30" w:type="dxa"/>
              <w:bottom w:w="0" w:type="dxa"/>
              <w:right w:w="30" w:type="dxa"/>
            </w:tcMar>
            <w:vAlign w:val="center"/>
          </w:tcPr>
          <w:p w:rsidR="00166AE3" w:rsidRDefault="00DF6D1C" w:rsidP="009F6661">
            <w:pPr>
              <w:spacing w:line="579" w:lineRule="exac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202</w:t>
            </w:r>
            <w:r w:rsidR="004A3DD9">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年</w:t>
            </w:r>
            <w:r w:rsidR="009F6661">
              <w:rPr>
                <w:rFonts w:ascii="宋体" w:eastAsia="宋体" w:hAnsi="宋体" w:cs="宋体" w:hint="eastAsia"/>
                <w:color w:val="333333"/>
                <w:kern w:val="0"/>
                <w:sz w:val="24"/>
                <w:szCs w:val="24"/>
              </w:rPr>
              <w:t>9</w:t>
            </w:r>
            <w:r>
              <w:rPr>
                <w:rFonts w:ascii="宋体" w:eastAsia="宋体" w:hAnsi="宋体" w:cs="宋体" w:hint="eastAsia"/>
                <w:color w:val="333333"/>
                <w:kern w:val="0"/>
                <w:sz w:val="24"/>
                <w:szCs w:val="24"/>
              </w:rPr>
              <w:t>月</w:t>
            </w:r>
            <w:r w:rsidR="009F6661">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日1</w:t>
            </w:r>
            <w:r w:rsidR="009F6661">
              <w:rPr>
                <w:rFonts w:ascii="宋体" w:eastAsia="宋体" w:hAnsi="宋体" w:cs="宋体" w:hint="eastAsia"/>
                <w:color w:val="333333"/>
                <w:kern w:val="0"/>
                <w:sz w:val="24"/>
                <w:szCs w:val="24"/>
              </w:rPr>
              <w:t>5</w:t>
            </w:r>
            <w:r>
              <w:rPr>
                <w:rFonts w:ascii="宋体" w:eastAsia="宋体" w:hAnsi="宋体" w:cs="宋体"/>
                <w:color w:val="333333"/>
                <w:kern w:val="0"/>
                <w:sz w:val="24"/>
                <w:szCs w:val="24"/>
              </w:rPr>
              <w:t>:00至</w:t>
            </w:r>
            <w:r>
              <w:rPr>
                <w:rFonts w:ascii="宋体" w:eastAsia="宋体" w:hAnsi="宋体" w:cs="宋体" w:hint="eastAsia"/>
                <w:color w:val="333333"/>
                <w:kern w:val="0"/>
                <w:sz w:val="24"/>
                <w:szCs w:val="24"/>
              </w:rPr>
              <w:t>1</w:t>
            </w:r>
            <w:r w:rsidR="009F6661">
              <w:rPr>
                <w:rFonts w:ascii="宋体" w:eastAsia="宋体" w:hAnsi="宋体" w:cs="宋体" w:hint="eastAsia"/>
                <w:color w:val="333333"/>
                <w:kern w:val="0"/>
                <w:sz w:val="24"/>
                <w:szCs w:val="24"/>
              </w:rPr>
              <w:t>6</w:t>
            </w:r>
            <w:r>
              <w:rPr>
                <w:rFonts w:ascii="宋体" w:eastAsia="宋体" w:hAnsi="宋体" w:cs="宋体"/>
                <w:color w:val="333333"/>
                <w:kern w:val="0"/>
                <w:sz w:val="24"/>
                <w:szCs w:val="24"/>
              </w:rPr>
              <w:t>:</w:t>
            </w:r>
            <w:r>
              <w:rPr>
                <w:rFonts w:ascii="宋体" w:eastAsia="宋体" w:hAnsi="宋体" w:cs="宋体" w:hint="eastAsia"/>
                <w:color w:val="333333"/>
                <w:kern w:val="0"/>
                <w:sz w:val="24"/>
                <w:szCs w:val="24"/>
              </w:rPr>
              <w:t>0</w:t>
            </w:r>
            <w:r>
              <w:rPr>
                <w:rFonts w:ascii="宋体" w:eastAsia="宋体" w:hAnsi="宋体" w:cs="宋体"/>
                <w:color w:val="333333"/>
                <w:kern w:val="0"/>
                <w:sz w:val="24"/>
                <w:szCs w:val="24"/>
              </w:rPr>
              <w:t>0</w:t>
            </w:r>
          </w:p>
        </w:tc>
      </w:tr>
      <w:tr w:rsidR="00166AE3">
        <w:tc>
          <w:tcPr>
            <w:tcW w:w="1696" w:type="dxa"/>
            <w:shd w:val="clear" w:color="auto" w:fill="FFFFFF"/>
            <w:tcMar>
              <w:top w:w="0" w:type="dxa"/>
              <w:left w:w="30" w:type="dxa"/>
              <w:bottom w:w="0" w:type="dxa"/>
              <w:right w:w="30" w:type="dxa"/>
            </w:tcMar>
            <w:vAlign w:val="center"/>
          </w:tcPr>
          <w:p w:rsidR="00166AE3" w:rsidRDefault="00DF6D1C">
            <w:pPr>
              <w:spacing w:line="579" w:lineRule="exac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地点</w:t>
            </w:r>
          </w:p>
        </w:tc>
        <w:tc>
          <w:tcPr>
            <w:tcW w:w="8364" w:type="dxa"/>
            <w:shd w:val="clear" w:color="auto" w:fill="FFFFFF"/>
            <w:tcMar>
              <w:top w:w="0" w:type="dxa"/>
              <w:left w:w="30" w:type="dxa"/>
              <w:bottom w:w="0" w:type="dxa"/>
              <w:right w:w="30" w:type="dxa"/>
            </w:tcMar>
            <w:vAlign w:val="center"/>
          </w:tcPr>
          <w:p w:rsidR="00166AE3" w:rsidRDefault="00B95EE8">
            <w:pPr>
              <w:spacing w:line="579" w:lineRule="exact"/>
              <w:jc w:val="left"/>
              <w:rPr>
                <w:rFonts w:ascii="宋体" w:eastAsia="宋体" w:hAnsi="宋体" w:cs="宋体"/>
                <w:color w:val="333333"/>
                <w:kern w:val="0"/>
                <w:sz w:val="24"/>
                <w:szCs w:val="24"/>
              </w:rPr>
            </w:pPr>
            <w:r w:rsidRPr="00B95EE8">
              <w:rPr>
                <w:rFonts w:ascii="宋体" w:eastAsia="宋体" w:hAnsi="宋体" w:cs="宋体" w:hint="eastAsia"/>
                <w:color w:val="000000" w:themeColor="text1"/>
                <w:kern w:val="0"/>
                <w:sz w:val="24"/>
                <w:szCs w:val="24"/>
              </w:rPr>
              <w:t>上海证券交易所</w:t>
            </w:r>
            <w:proofErr w:type="gramStart"/>
            <w:r w:rsidRPr="00B95EE8">
              <w:rPr>
                <w:rFonts w:ascii="宋体" w:eastAsia="宋体" w:hAnsi="宋体" w:cs="宋体" w:hint="eastAsia"/>
                <w:color w:val="000000" w:themeColor="text1"/>
                <w:kern w:val="0"/>
                <w:sz w:val="24"/>
                <w:szCs w:val="24"/>
              </w:rPr>
              <w:t>上证路演</w:t>
            </w:r>
            <w:proofErr w:type="gramEnd"/>
            <w:r w:rsidRPr="00B95EE8">
              <w:rPr>
                <w:rFonts w:ascii="宋体" w:eastAsia="宋体" w:hAnsi="宋体" w:cs="宋体" w:hint="eastAsia"/>
                <w:color w:val="000000" w:themeColor="text1"/>
                <w:kern w:val="0"/>
                <w:sz w:val="24"/>
                <w:szCs w:val="24"/>
              </w:rPr>
              <w:t>中心（http://roadshow.sseinfo.com/）</w:t>
            </w:r>
          </w:p>
        </w:tc>
      </w:tr>
      <w:tr w:rsidR="00166AE3">
        <w:tc>
          <w:tcPr>
            <w:tcW w:w="1696" w:type="dxa"/>
            <w:shd w:val="clear" w:color="auto" w:fill="FFFFFF"/>
            <w:tcMar>
              <w:top w:w="0" w:type="dxa"/>
              <w:left w:w="30" w:type="dxa"/>
              <w:bottom w:w="0" w:type="dxa"/>
              <w:right w:w="30" w:type="dxa"/>
            </w:tcMar>
            <w:vAlign w:val="center"/>
          </w:tcPr>
          <w:p w:rsidR="00166AE3" w:rsidRDefault="00DF6D1C">
            <w:pPr>
              <w:spacing w:line="579" w:lineRule="exac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上市公司接待人员姓名</w:t>
            </w:r>
          </w:p>
        </w:tc>
        <w:tc>
          <w:tcPr>
            <w:tcW w:w="8364" w:type="dxa"/>
            <w:shd w:val="clear" w:color="auto" w:fill="FFFFFF"/>
            <w:tcMar>
              <w:top w:w="0" w:type="dxa"/>
              <w:left w:w="30" w:type="dxa"/>
              <w:bottom w:w="0" w:type="dxa"/>
              <w:right w:w="30" w:type="dxa"/>
            </w:tcMar>
            <w:vAlign w:val="center"/>
          </w:tcPr>
          <w:p w:rsidR="00166AE3" w:rsidRDefault="00DF6D1C">
            <w:pPr>
              <w:spacing w:line="579" w:lineRule="exac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董事长王成东先生；独立董事</w:t>
            </w:r>
            <w:r w:rsidR="00E16EBE">
              <w:rPr>
                <w:rFonts w:ascii="宋体" w:eastAsia="宋体" w:hAnsi="宋体" w:cs="宋体" w:hint="eastAsia"/>
                <w:color w:val="333333"/>
                <w:kern w:val="0"/>
                <w:sz w:val="24"/>
                <w:szCs w:val="24"/>
              </w:rPr>
              <w:t>、</w:t>
            </w:r>
            <w:r w:rsidR="00E16EBE" w:rsidRPr="00E16EBE">
              <w:rPr>
                <w:rFonts w:ascii="宋体" w:eastAsia="宋体" w:hAnsi="宋体" w:cs="宋体" w:hint="eastAsia"/>
                <w:color w:val="333333"/>
                <w:kern w:val="0"/>
                <w:sz w:val="24"/>
                <w:szCs w:val="24"/>
              </w:rPr>
              <w:t>审计委员会主任委员</w:t>
            </w:r>
            <w:r>
              <w:rPr>
                <w:rFonts w:ascii="宋体" w:eastAsia="宋体" w:hAnsi="宋体" w:cs="宋体" w:hint="eastAsia"/>
                <w:color w:val="333333"/>
                <w:kern w:val="0"/>
                <w:sz w:val="24"/>
                <w:szCs w:val="24"/>
              </w:rPr>
              <w:t>郑伟先生；</w:t>
            </w:r>
            <w:r w:rsidR="00E16EBE">
              <w:rPr>
                <w:rFonts w:ascii="宋体" w:eastAsia="宋体" w:hAnsi="宋体" w:cs="宋体" w:hint="eastAsia"/>
                <w:color w:val="333333"/>
                <w:kern w:val="0"/>
                <w:sz w:val="24"/>
                <w:szCs w:val="24"/>
              </w:rPr>
              <w:t>董事、</w:t>
            </w:r>
            <w:r>
              <w:rPr>
                <w:rFonts w:ascii="宋体" w:eastAsia="宋体" w:hAnsi="宋体" w:cs="宋体" w:hint="eastAsia"/>
                <w:color w:val="333333"/>
                <w:kern w:val="0"/>
                <w:sz w:val="24"/>
                <w:szCs w:val="24"/>
              </w:rPr>
              <w:t>财务总监雷学锋先生；</w:t>
            </w:r>
            <w:r w:rsidR="00E16EBE">
              <w:rPr>
                <w:rFonts w:ascii="宋体" w:eastAsia="宋体" w:hAnsi="宋体" w:cs="宋体" w:hint="eastAsia"/>
                <w:color w:val="333333"/>
                <w:kern w:val="0"/>
                <w:sz w:val="24"/>
                <w:szCs w:val="24"/>
              </w:rPr>
              <w:t>董事、</w:t>
            </w:r>
            <w:r>
              <w:rPr>
                <w:rFonts w:ascii="宋体" w:eastAsia="宋体" w:hAnsi="宋体" w:cs="宋体" w:hint="eastAsia"/>
                <w:color w:val="333333"/>
                <w:kern w:val="0"/>
                <w:sz w:val="24"/>
                <w:szCs w:val="24"/>
              </w:rPr>
              <w:t>董事会秘书任向康先生</w:t>
            </w:r>
          </w:p>
        </w:tc>
      </w:tr>
      <w:tr w:rsidR="00166AE3">
        <w:tc>
          <w:tcPr>
            <w:tcW w:w="1696" w:type="dxa"/>
            <w:shd w:val="clear" w:color="auto" w:fill="FFFFFF"/>
            <w:tcMar>
              <w:top w:w="0" w:type="dxa"/>
              <w:left w:w="30" w:type="dxa"/>
              <w:bottom w:w="0" w:type="dxa"/>
              <w:right w:w="30" w:type="dxa"/>
            </w:tcMar>
            <w:vAlign w:val="center"/>
          </w:tcPr>
          <w:p w:rsidR="00166AE3" w:rsidRDefault="00DF6D1C">
            <w:pPr>
              <w:spacing w:line="579" w:lineRule="exact"/>
              <w:jc w:val="center"/>
              <w:rPr>
                <w:rFonts w:ascii="宋体" w:eastAsia="宋体" w:hAnsi="宋体" w:cs="宋体"/>
                <w:color w:val="333333"/>
                <w:kern w:val="0"/>
                <w:sz w:val="24"/>
                <w:szCs w:val="24"/>
              </w:rPr>
            </w:pPr>
            <w:r>
              <w:rPr>
                <w:rFonts w:ascii="宋体" w:eastAsia="宋体" w:hAnsi="宋体"/>
                <w:sz w:val="24"/>
                <w:szCs w:val="24"/>
              </w:rPr>
              <w:t>投资者关系活动主要内容介绍</w:t>
            </w:r>
          </w:p>
        </w:tc>
        <w:tc>
          <w:tcPr>
            <w:tcW w:w="8364" w:type="dxa"/>
            <w:shd w:val="clear" w:color="auto" w:fill="FFFFFF"/>
            <w:tcMar>
              <w:top w:w="0" w:type="dxa"/>
              <w:left w:w="30" w:type="dxa"/>
              <w:bottom w:w="0" w:type="dxa"/>
              <w:right w:w="30" w:type="dxa"/>
            </w:tcMar>
            <w:vAlign w:val="center"/>
          </w:tcPr>
          <w:p w:rsidR="00166AE3" w:rsidRDefault="00DF6D1C" w:rsidP="00131D1F">
            <w:pPr>
              <w:snapToGrid w:val="0"/>
              <w:spacing w:line="480" w:lineRule="exact"/>
              <w:ind w:firstLineChars="200" w:firstLine="482"/>
              <w:jc w:val="left"/>
              <w:rPr>
                <w:rFonts w:ascii="仿宋_GB2312" w:eastAsia="仿宋_GB2312" w:hAnsi="宋体" w:cs="宋体"/>
                <w:b/>
                <w:bCs/>
                <w:color w:val="333333"/>
                <w:kern w:val="0"/>
                <w:sz w:val="24"/>
                <w:szCs w:val="24"/>
              </w:rPr>
            </w:pPr>
            <w:r>
              <w:rPr>
                <w:rFonts w:ascii="仿宋_GB2312" w:eastAsia="仿宋_GB2312" w:hAnsi="宋体" w:cs="宋体" w:hint="eastAsia"/>
                <w:b/>
                <w:bCs/>
                <w:color w:val="333333"/>
                <w:kern w:val="0"/>
                <w:sz w:val="24"/>
                <w:szCs w:val="24"/>
              </w:rPr>
              <w:t>1.Q：</w:t>
            </w:r>
            <w:r w:rsidR="00131D1F">
              <w:rPr>
                <w:rFonts w:ascii="仿宋_GB2312" w:eastAsia="仿宋_GB2312" w:hAnsi="宋体" w:cs="宋体" w:hint="eastAsia"/>
                <w:b/>
                <w:bCs/>
                <w:color w:val="333333"/>
                <w:kern w:val="0"/>
                <w:sz w:val="24"/>
                <w:szCs w:val="24"/>
              </w:rPr>
              <w:t>请介绍一下</w:t>
            </w:r>
            <w:r w:rsidR="00E16EBE" w:rsidRPr="00E16EBE">
              <w:rPr>
                <w:rFonts w:ascii="仿宋_GB2312" w:eastAsia="仿宋_GB2312" w:hAnsi="宋体" w:cs="宋体" w:hint="eastAsia"/>
                <w:b/>
                <w:bCs/>
                <w:color w:val="333333"/>
                <w:kern w:val="0"/>
                <w:sz w:val="24"/>
                <w:szCs w:val="24"/>
              </w:rPr>
              <w:t>公司2024年半年度的业绩实现情况</w:t>
            </w:r>
            <w:r w:rsidR="00E16EBE">
              <w:rPr>
                <w:rFonts w:ascii="仿宋_GB2312" w:eastAsia="仿宋_GB2312" w:hAnsi="宋体" w:cs="宋体" w:hint="eastAsia"/>
                <w:b/>
                <w:bCs/>
                <w:color w:val="333333"/>
                <w:kern w:val="0"/>
                <w:sz w:val="24"/>
                <w:szCs w:val="24"/>
              </w:rPr>
              <w:t>。</w:t>
            </w:r>
          </w:p>
          <w:p w:rsidR="00E16EBE" w:rsidRPr="00E16EBE" w:rsidRDefault="00AC720F" w:rsidP="00131D1F">
            <w:pPr>
              <w:snapToGrid w:val="0"/>
              <w:spacing w:line="480" w:lineRule="exact"/>
              <w:ind w:firstLineChars="200" w:firstLine="480"/>
              <w:jc w:val="left"/>
              <w:rPr>
                <w:rFonts w:ascii="仿宋_GB2312" w:eastAsia="仿宋_GB2312" w:hAnsi="宋体" w:cs="宋体"/>
                <w:color w:val="333333"/>
                <w:kern w:val="0"/>
                <w:sz w:val="24"/>
                <w:szCs w:val="24"/>
              </w:rPr>
            </w:pPr>
            <w:r w:rsidRPr="00AC720F">
              <w:rPr>
                <w:rFonts w:ascii="仿宋_GB2312" w:eastAsia="仿宋_GB2312" w:hAnsi="宋体" w:cs="宋体" w:hint="eastAsia"/>
                <w:color w:val="333333"/>
                <w:kern w:val="0"/>
                <w:sz w:val="24"/>
                <w:szCs w:val="24"/>
              </w:rPr>
              <w:t>A：</w:t>
            </w:r>
            <w:r w:rsidR="00131D1F">
              <w:rPr>
                <w:rFonts w:ascii="仿宋_GB2312" w:eastAsia="仿宋_GB2312" w:hAnsi="宋体" w:cs="宋体" w:hint="eastAsia"/>
                <w:color w:val="333333"/>
                <w:kern w:val="0"/>
                <w:sz w:val="24"/>
                <w:szCs w:val="24"/>
              </w:rPr>
              <w:t>感谢您的关注！</w:t>
            </w:r>
            <w:r w:rsidR="00E16EBE" w:rsidRPr="00E16EBE">
              <w:rPr>
                <w:rFonts w:ascii="仿宋_GB2312" w:eastAsia="仿宋_GB2312" w:hAnsi="宋体" w:cs="宋体" w:hint="eastAsia"/>
                <w:color w:val="333333"/>
                <w:kern w:val="0"/>
                <w:sz w:val="24"/>
                <w:szCs w:val="24"/>
              </w:rPr>
              <w:t>公司以成为“国内一流的生命健康产业卓越品质服务商”为战略目标，紧紧围绕公司年度经营目标，认真组织实施各项工作，推动党建工作和业务经营深度融合，生命健康主业持续推进产品创新和转型升级，其他辅业协同发展，特定对象发行股份事项正在审核中，公司治理制度体系持续完善。</w:t>
            </w:r>
          </w:p>
          <w:p w:rsidR="00E16EBE" w:rsidRPr="00E16EBE" w:rsidRDefault="00E16EBE" w:rsidP="00131D1F">
            <w:pPr>
              <w:snapToGrid w:val="0"/>
              <w:spacing w:line="480" w:lineRule="exact"/>
              <w:ind w:firstLineChars="200" w:firstLine="480"/>
              <w:jc w:val="left"/>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2024年上半年，公司实现营业收入20,743.59万元，同比减少48.33%，其中体外诊断业务实现收入11,892.52万元，贸易业务实现收入3,808.51万元，房地产、代建、租赁业务、物业服务等收入5,042.56万元；实现归属于上市公司股东净利润-2,963.39万元，与上年同期相比减亏1,730.62万元。营业收入降低主要系园林市政施工业务剥离影响所致。</w:t>
            </w:r>
          </w:p>
          <w:p w:rsidR="00E16EBE" w:rsidRPr="00E16EBE" w:rsidRDefault="00E16EBE" w:rsidP="00131D1F">
            <w:pPr>
              <w:snapToGrid w:val="0"/>
              <w:spacing w:line="480" w:lineRule="exact"/>
              <w:ind w:firstLineChars="200" w:firstLine="480"/>
              <w:jc w:val="left"/>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多维度发力筑牢生命健康主业，增强公司发展新动能。艾克韦生物持续推进传统业务转型和产品创新升级，生物安全整体技术解决方案首个项目成功落地，聊城创新艾克韦医学检验实验室取得《医疗机构执业许可证》和《临床基因扩增检验实验室技术审查合格证》，客户开拓初见成效，第三方医学检验服务实现新</w:t>
            </w:r>
            <w:r w:rsidRPr="00E16EBE">
              <w:rPr>
                <w:rFonts w:ascii="仿宋_GB2312" w:eastAsia="仿宋_GB2312" w:hAnsi="宋体" w:cs="宋体" w:hint="eastAsia"/>
                <w:color w:val="333333"/>
                <w:kern w:val="0"/>
                <w:sz w:val="24"/>
                <w:szCs w:val="24"/>
              </w:rPr>
              <w:lastRenderedPageBreak/>
              <w:t>拓展；在细胞保存液、巴氏染色液、全自动细胞制备与筛选产业化项目设备等试剂、设备产品方面下功夫，布局满足客户需求和潜在市场需要的新产品，完成3项山东省技术创新项目和7项知识产权（专利）的申报，蓄</w:t>
            </w:r>
            <w:proofErr w:type="gramStart"/>
            <w:r w:rsidRPr="00E16EBE">
              <w:rPr>
                <w:rFonts w:ascii="仿宋_GB2312" w:eastAsia="仿宋_GB2312" w:hAnsi="宋体" w:cs="宋体" w:hint="eastAsia"/>
                <w:color w:val="333333"/>
                <w:kern w:val="0"/>
                <w:sz w:val="24"/>
                <w:szCs w:val="24"/>
              </w:rPr>
              <w:t>力未来</w:t>
            </w:r>
            <w:proofErr w:type="gramEnd"/>
            <w:r w:rsidRPr="00E16EBE">
              <w:rPr>
                <w:rFonts w:ascii="仿宋_GB2312" w:eastAsia="仿宋_GB2312" w:hAnsi="宋体" w:cs="宋体" w:hint="eastAsia"/>
                <w:color w:val="333333"/>
                <w:kern w:val="0"/>
                <w:sz w:val="24"/>
                <w:szCs w:val="24"/>
              </w:rPr>
              <w:t>竞争实力。</w:t>
            </w:r>
          </w:p>
          <w:p w:rsidR="00E16EBE" w:rsidRPr="00E16EBE" w:rsidRDefault="00E16EBE" w:rsidP="00131D1F">
            <w:pPr>
              <w:snapToGrid w:val="0"/>
              <w:spacing w:line="480" w:lineRule="exact"/>
              <w:ind w:firstLineChars="200" w:firstLine="480"/>
              <w:jc w:val="left"/>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同时，公司紧紧围绕生命健康主业发展战略规划，加大项目考察力度，多渠道调研生命健康实业企业或项目，积极探索生命健康主业</w:t>
            </w:r>
            <w:proofErr w:type="gramStart"/>
            <w:r w:rsidRPr="00E16EBE">
              <w:rPr>
                <w:rFonts w:ascii="仿宋_GB2312" w:eastAsia="仿宋_GB2312" w:hAnsi="宋体" w:cs="宋体" w:hint="eastAsia"/>
                <w:color w:val="333333"/>
                <w:kern w:val="0"/>
                <w:sz w:val="24"/>
                <w:szCs w:val="24"/>
              </w:rPr>
              <w:t>投资并拓机会</w:t>
            </w:r>
            <w:proofErr w:type="gramEnd"/>
            <w:r w:rsidRPr="00E16EBE">
              <w:rPr>
                <w:rFonts w:ascii="仿宋_GB2312" w:eastAsia="仿宋_GB2312" w:hAnsi="宋体" w:cs="宋体" w:hint="eastAsia"/>
                <w:color w:val="333333"/>
                <w:kern w:val="0"/>
                <w:sz w:val="24"/>
                <w:szCs w:val="24"/>
              </w:rPr>
              <w:t>，积极储备投资项目，加快夯实公司战略产业布局；充分发挥专业团队的优势，前瞻性地进行产业研究，赋能公司主业发展；多次参加行业会议，推广公司体外诊断产品，拓展行业优质客户，提升公司产品的知名度和营销效能。</w:t>
            </w:r>
          </w:p>
          <w:p w:rsidR="00E16EBE" w:rsidRPr="00E16EBE" w:rsidRDefault="00E16EBE" w:rsidP="00131D1F">
            <w:pPr>
              <w:snapToGrid w:val="0"/>
              <w:spacing w:line="480" w:lineRule="exact"/>
              <w:ind w:firstLineChars="200" w:firstLine="480"/>
              <w:jc w:val="left"/>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公司辅业协同发展，助力稳健发展。子公司瑞</w:t>
            </w:r>
            <w:proofErr w:type="gramStart"/>
            <w:r w:rsidRPr="00E16EBE">
              <w:rPr>
                <w:rFonts w:ascii="仿宋_GB2312" w:eastAsia="仿宋_GB2312" w:hAnsi="宋体" w:cs="宋体" w:hint="eastAsia"/>
                <w:color w:val="333333"/>
                <w:kern w:val="0"/>
                <w:sz w:val="24"/>
                <w:szCs w:val="24"/>
              </w:rPr>
              <w:t>蚨祥</w:t>
            </w:r>
            <w:proofErr w:type="gramEnd"/>
            <w:r w:rsidRPr="00E16EBE">
              <w:rPr>
                <w:rFonts w:ascii="仿宋_GB2312" w:eastAsia="仿宋_GB2312" w:hAnsi="宋体" w:cs="宋体" w:hint="eastAsia"/>
                <w:color w:val="333333"/>
                <w:kern w:val="0"/>
                <w:sz w:val="24"/>
                <w:szCs w:val="24"/>
              </w:rPr>
              <w:t>贸易继续开展钢材贸易业务；全资</w:t>
            </w:r>
            <w:proofErr w:type="gramStart"/>
            <w:r w:rsidRPr="00E16EBE">
              <w:rPr>
                <w:rFonts w:ascii="仿宋_GB2312" w:eastAsia="仿宋_GB2312" w:hAnsi="宋体" w:cs="宋体" w:hint="eastAsia"/>
                <w:color w:val="333333"/>
                <w:kern w:val="0"/>
                <w:sz w:val="24"/>
                <w:szCs w:val="24"/>
              </w:rPr>
              <w:t>子公司济高生物</w:t>
            </w:r>
            <w:proofErr w:type="gramEnd"/>
            <w:r w:rsidRPr="00E16EBE">
              <w:rPr>
                <w:rFonts w:ascii="仿宋_GB2312" w:eastAsia="仿宋_GB2312" w:hAnsi="宋体" w:cs="宋体" w:hint="eastAsia"/>
                <w:color w:val="333333"/>
                <w:kern w:val="0"/>
                <w:sz w:val="24"/>
                <w:szCs w:val="24"/>
              </w:rPr>
              <w:t>与济南</w:t>
            </w:r>
            <w:proofErr w:type="gramStart"/>
            <w:r w:rsidRPr="00E16EBE">
              <w:rPr>
                <w:rFonts w:ascii="仿宋_GB2312" w:eastAsia="仿宋_GB2312" w:hAnsi="宋体" w:cs="宋体" w:hint="eastAsia"/>
                <w:color w:val="333333"/>
                <w:kern w:val="0"/>
                <w:sz w:val="24"/>
                <w:szCs w:val="24"/>
              </w:rPr>
              <w:t>颐</w:t>
            </w:r>
            <w:proofErr w:type="gramEnd"/>
            <w:r w:rsidRPr="00E16EBE">
              <w:rPr>
                <w:rFonts w:ascii="仿宋_GB2312" w:eastAsia="仿宋_GB2312" w:hAnsi="宋体" w:cs="宋体" w:hint="eastAsia"/>
                <w:color w:val="333333"/>
                <w:kern w:val="0"/>
                <w:sz w:val="24"/>
                <w:szCs w:val="24"/>
              </w:rPr>
              <w:t>诚实业有限公司签署委托运营合作协议，为济南</w:t>
            </w:r>
            <w:proofErr w:type="gramStart"/>
            <w:r w:rsidRPr="00E16EBE">
              <w:rPr>
                <w:rFonts w:ascii="仿宋_GB2312" w:eastAsia="仿宋_GB2312" w:hAnsi="宋体" w:cs="宋体" w:hint="eastAsia"/>
                <w:color w:val="333333"/>
                <w:kern w:val="0"/>
                <w:sz w:val="24"/>
                <w:szCs w:val="24"/>
              </w:rPr>
              <w:t>颐</w:t>
            </w:r>
            <w:proofErr w:type="gramEnd"/>
            <w:r w:rsidRPr="00E16EBE">
              <w:rPr>
                <w:rFonts w:ascii="仿宋_GB2312" w:eastAsia="仿宋_GB2312" w:hAnsi="宋体" w:cs="宋体" w:hint="eastAsia"/>
                <w:color w:val="333333"/>
                <w:kern w:val="0"/>
                <w:sz w:val="24"/>
                <w:szCs w:val="24"/>
              </w:rPr>
              <w:t>诚实业有限公司拥有的生物医药产业园提供招商运营管理服务，增加公司收入，助力主业发展；公司加大对自有资产运营管理力度，通过租售并举、盘活闲置资产等方式提升对</w:t>
            </w:r>
            <w:proofErr w:type="gramStart"/>
            <w:r w:rsidRPr="00E16EBE">
              <w:rPr>
                <w:rFonts w:ascii="仿宋_GB2312" w:eastAsia="仿宋_GB2312" w:hAnsi="宋体" w:cs="宋体" w:hint="eastAsia"/>
                <w:color w:val="333333"/>
                <w:kern w:val="0"/>
                <w:sz w:val="24"/>
                <w:szCs w:val="24"/>
              </w:rPr>
              <w:t>自持</w:t>
            </w:r>
            <w:proofErr w:type="gramEnd"/>
            <w:r w:rsidRPr="00E16EBE">
              <w:rPr>
                <w:rFonts w:ascii="仿宋_GB2312" w:eastAsia="仿宋_GB2312" w:hAnsi="宋体" w:cs="宋体" w:hint="eastAsia"/>
                <w:color w:val="333333"/>
                <w:kern w:val="0"/>
                <w:sz w:val="24"/>
                <w:szCs w:val="24"/>
              </w:rPr>
              <w:t>资产的运营效益，物业服务市场拓展加大发力，丰盛服务业态。持续深入挖掘中华老字号“瑞蚨祥”品牌价值，文</w:t>
            </w:r>
            <w:proofErr w:type="gramStart"/>
            <w:r w:rsidRPr="00E16EBE">
              <w:rPr>
                <w:rFonts w:ascii="仿宋_GB2312" w:eastAsia="仿宋_GB2312" w:hAnsi="宋体" w:cs="宋体" w:hint="eastAsia"/>
                <w:color w:val="333333"/>
                <w:kern w:val="0"/>
                <w:sz w:val="24"/>
                <w:szCs w:val="24"/>
              </w:rPr>
              <w:t>创产品</w:t>
            </w:r>
            <w:proofErr w:type="gramEnd"/>
            <w:r w:rsidRPr="00E16EBE">
              <w:rPr>
                <w:rFonts w:ascii="仿宋_GB2312" w:eastAsia="仿宋_GB2312" w:hAnsi="宋体" w:cs="宋体" w:hint="eastAsia"/>
                <w:color w:val="333333"/>
                <w:kern w:val="0"/>
                <w:sz w:val="24"/>
                <w:szCs w:val="24"/>
              </w:rPr>
              <w:t>设计定制，探索品牌合作等轻资产运营模式，实现老字号文化品牌赋能。</w:t>
            </w:r>
          </w:p>
          <w:p w:rsidR="00E16EBE" w:rsidRDefault="00E16EBE" w:rsidP="00131D1F">
            <w:pPr>
              <w:snapToGrid w:val="0"/>
              <w:spacing w:line="480" w:lineRule="exact"/>
              <w:ind w:firstLineChars="200" w:firstLine="480"/>
              <w:jc w:val="left"/>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发挥资本市场作用开展再融资，确保公司可持续发展，目前该事项正在上交所审核流程中。持续完善制度体系，根据相关规定要求，公司制定了《会计师事务所选聘制度》，保障公司治理制度体系持续满足监管要求，为公司规范运作提供保证。</w:t>
            </w:r>
          </w:p>
          <w:p w:rsidR="00166AE3" w:rsidRDefault="00DF6D1C" w:rsidP="00131D1F">
            <w:pPr>
              <w:snapToGrid w:val="0"/>
              <w:spacing w:line="480" w:lineRule="exact"/>
              <w:ind w:firstLineChars="200" w:firstLine="482"/>
              <w:jc w:val="left"/>
              <w:rPr>
                <w:rFonts w:ascii="仿宋_GB2312" w:eastAsia="仿宋_GB2312" w:hAnsi="宋体" w:cs="宋体"/>
                <w:b/>
                <w:bCs/>
                <w:color w:val="333333"/>
                <w:kern w:val="0"/>
                <w:sz w:val="24"/>
                <w:szCs w:val="24"/>
              </w:rPr>
            </w:pPr>
            <w:r>
              <w:rPr>
                <w:rFonts w:ascii="仿宋_GB2312" w:eastAsia="仿宋_GB2312" w:hAnsi="宋体" w:cs="宋体"/>
                <w:b/>
                <w:bCs/>
                <w:color w:val="333333"/>
                <w:kern w:val="0"/>
                <w:sz w:val="24"/>
                <w:szCs w:val="24"/>
              </w:rPr>
              <w:t>2</w:t>
            </w:r>
            <w:r>
              <w:rPr>
                <w:rFonts w:ascii="仿宋_GB2312" w:eastAsia="仿宋_GB2312" w:hAnsi="宋体" w:cs="宋体" w:hint="eastAsia"/>
                <w:b/>
                <w:bCs/>
                <w:color w:val="333333"/>
                <w:kern w:val="0"/>
                <w:sz w:val="24"/>
                <w:szCs w:val="24"/>
              </w:rPr>
              <w:t>.Q：</w:t>
            </w:r>
            <w:r w:rsidR="00E16EBE" w:rsidRPr="00E16EBE">
              <w:rPr>
                <w:rFonts w:ascii="仿宋_GB2312" w:eastAsia="仿宋_GB2312" w:hAnsi="宋体" w:cs="宋体" w:hint="eastAsia"/>
                <w:b/>
                <w:bCs/>
                <w:color w:val="333333"/>
                <w:kern w:val="0"/>
                <w:sz w:val="24"/>
                <w:szCs w:val="24"/>
              </w:rPr>
              <w:t>请介绍一下公司主业子公司的业务情况。</w:t>
            </w:r>
          </w:p>
          <w:p w:rsidR="00E16EBE" w:rsidRPr="00E16EBE" w:rsidRDefault="00AC720F" w:rsidP="00131D1F">
            <w:pPr>
              <w:snapToGrid w:val="0"/>
              <w:spacing w:line="480" w:lineRule="exact"/>
              <w:ind w:firstLineChars="200" w:firstLine="480"/>
              <w:rPr>
                <w:rFonts w:ascii="仿宋_GB2312" w:eastAsia="仿宋_GB2312" w:hAnsi="宋体" w:cs="宋体"/>
                <w:color w:val="333333"/>
                <w:kern w:val="0"/>
                <w:sz w:val="24"/>
                <w:szCs w:val="24"/>
              </w:rPr>
            </w:pPr>
            <w:r w:rsidRPr="00AC720F">
              <w:rPr>
                <w:rFonts w:ascii="仿宋_GB2312" w:eastAsia="仿宋_GB2312" w:hAnsi="宋体" w:cs="宋体" w:hint="eastAsia"/>
                <w:color w:val="333333"/>
                <w:kern w:val="0"/>
                <w:sz w:val="24"/>
                <w:szCs w:val="24"/>
              </w:rPr>
              <w:t>A：感谢您对公司的关注！</w:t>
            </w:r>
            <w:r w:rsidR="00E16EBE">
              <w:rPr>
                <w:rFonts w:ascii="仿宋_GB2312" w:eastAsia="仿宋_GB2312" w:hAnsi="宋体" w:cs="宋体" w:hint="eastAsia"/>
                <w:color w:val="333333"/>
                <w:kern w:val="0"/>
                <w:sz w:val="24"/>
                <w:szCs w:val="24"/>
              </w:rPr>
              <w:t>子公司</w:t>
            </w:r>
            <w:r w:rsidR="00E16EBE" w:rsidRPr="00E16EBE">
              <w:rPr>
                <w:rFonts w:ascii="仿宋_GB2312" w:eastAsia="仿宋_GB2312" w:hAnsi="宋体" w:cs="宋体" w:hint="eastAsia"/>
                <w:color w:val="333333"/>
                <w:kern w:val="0"/>
                <w:sz w:val="24"/>
                <w:szCs w:val="24"/>
              </w:rPr>
              <w:t>艾克韦生物主要涉及生命健康、生物安全、医疗服务三大业务领域，其中生命健康领域主要包含分子诊断试剂的研发和产品的迭代升级，分子诊断自动化检测设备的研发，建立了自主创新的自动化检测平台与检测试剂联合应用的完整产业链；生物安全领域可提供生物</w:t>
            </w:r>
            <w:proofErr w:type="gramStart"/>
            <w:r w:rsidR="00E16EBE" w:rsidRPr="00E16EBE">
              <w:rPr>
                <w:rFonts w:ascii="仿宋_GB2312" w:eastAsia="仿宋_GB2312" w:hAnsi="宋体" w:cs="宋体" w:hint="eastAsia"/>
                <w:color w:val="333333"/>
                <w:kern w:val="0"/>
                <w:sz w:val="24"/>
                <w:szCs w:val="24"/>
              </w:rPr>
              <w:t>样本库全生命周期</w:t>
            </w:r>
            <w:proofErr w:type="gramEnd"/>
            <w:r w:rsidR="00E16EBE" w:rsidRPr="00E16EBE">
              <w:rPr>
                <w:rFonts w:ascii="仿宋_GB2312" w:eastAsia="仿宋_GB2312" w:hAnsi="宋体" w:cs="宋体" w:hint="eastAsia"/>
                <w:color w:val="333333"/>
                <w:kern w:val="0"/>
                <w:sz w:val="24"/>
                <w:szCs w:val="24"/>
              </w:rPr>
              <w:t>整体技术解决方案；医疗服务领域主要开展医疗共建、社会民生、特检等业务。</w:t>
            </w:r>
          </w:p>
          <w:p w:rsidR="00E16EBE" w:rsidRPr="00E16EBE" w:rsidRDefault="00E16EBE" w:rsidP="00131D1F">
            <w:pPr>
              <w:snapToGrid w:val="0"/>
              <w:spacing w:line="480" w:lineRule="exact"/>
              <w:ind w:firstLineChars="200" w:firstLine="480"/>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艾克韦生物主要产品包括：（1）生命健康类产品，目前已开发的分子诊断</w:t>
            </w:r>
            <w:r w:rsidRPr="00E16EBE">
              <w:rPr>
                <w:rFonts w:ascii="仿宋_GB2312" w:eastAsia="仿宋_GB2312" w:hAnsi="宋体" w:cs="宋体" w:hint="eastAsia"/>
                <w:color w:val="333333"/>
                <w:kern w:val="0"/>
                <w:sz w:val="24"/>
                <w:szCs w:val="24"/>
              </w:rPr>
              <w:lastRenderedPageBreak/>
              <w:t>试剂200多种，其中，核酸检测试剂盒已达150余种，包含7大系列：呼吸道病原体系列、感染性与食源性腹泻病原体系列、发热伴出疹-手足口病原体系列、媒介传播病原体检测系列、发热伴出疹类其他病原体系列、动物疫病病毒检测系列、动物源性基因检测等各类病原微生物的核酸检测，涵盖了80%的国家法定传染病检病原体；自主创新的冻干型荧光定量检测试剂盒30余种，冻干剂型突破了冷</w:t>
            </w:r>
            <w:proofErr w:type="gramStart"/>
            <w:r w:rsidRPr="00E16EBE">
              <w:rPr>
                <w:rFonts w:ascii="仿宋_GB2312" w:eastAsia="仿宋_GB2312" w:hAnsi="宋体" w:cs="宋体" w:hint="eastAsia"/>
                <w:color w:val="333333"/>
                <w:kern w:val="0"/>
                <w:sz w:val="24"/>
                <w:szCs w:val="24"/>
              </w:rPr>
              <w:t>链运输</w:t>
            </w:r>
            <w:proofErr w:type="gramEnd"/>
            <w:r w:rsidRPr="00E16EBE">
              <w:rPr>
                <w:rFonts w:ascii="仿宋_GB2312" w:eastAsia="仿宋_GB2312" w:hAnsi="宋体" w:cs="宋体" w:hint="eastAsia"/>
                <w:color w:val="333333"/>
                <w:kern w:val="0"/>
                <w:sz w:val="24"/>
                <w:szCs w:val="24"/>
              </w:rPr>
              <w:t>局限，减少了运输成本，预分装配置，免配液操作，加入核酸即可上机检测，大大缩短了操作时间，是公司已有荧光定量检测试剂的补充与升级；血液、病毒类核酸提取试剂盒、污水核酸提取试剂盒、石蜡组织DNA提取试剂盒等，可用于PCR/RT-PCR、测序等下游分子生物学检测；生化、免疫类检测产品包括特异性生长因子（TSGF）、脂蛋白相关磷脂酶A2（Lp-PLA2）、</w:t>
            </w:r>
            <w:proofErr w:type="gramStart"/>
            <w:r w:rsidRPr="00E16EBE">
              <w:rPr>
                <w:rFonts w:ascii="仿宋_GB2312" w:eastAsia="仿宋_GB2312" w:hAnsi="宋体" w:cs="宋体" w:hint="eastAsia"/>
                <w:color w:val="333333"/>
                <w:kern w:val="0"/>
                <w:sz w:val="24"/>
                <w:szCs w:val="24"/>
              </w:rPr>
              <w:t>脂联素</w:t>
            </w:r>
            <w:proofErr w:type="gramEnd"/>
            <w:r w:rsidRPr="00E16EBE">
              <w:rPr>
                <w:rFonts w:ascii="仿宋_GB2312" w:eastAsia="仿宋_GB2312" w:hAnsi="宋体" w:cs="宋体" w:hint="eastAsia"/>
                <w:color w:val="333333"/>
                <w:kern w:val="0"/>
                <w:sz w:val="24"/>
                <w:szCs w:val="24"/>
              </w:rPr>
              <w:t>（ADPN）等检测试剂盒，可实现肿瘤、心脑血管疾病、糖尿病等疾病的早发现、早诊断。另外，巴氏染色液试剂产品的研发已取得阶段性成果。</w:t>
            </w:r>
          </w:p>
          <w:p w:rsidR="00E16EBE" w:rsidRPr="00E16EBE" w:rsidRDefault="00E16EBE" w:rsidP="00131D1F">
            <w:pPr>
              <w:snapToGrid w:val="0"/>
              <w:spacing w:line="480" w:lineRule="exact"/>
              <w:ind w:firstLineChars="200" w:firstLine="480"/>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分子诊断自动化检测设备主要包括：超高通量全自动核酸检测系统、全自动核酸工作站、全自动核酸提取纯化仪、荧光定量PCR仪等，上述平台均为开放式平台,可与同类企业生产的分子诊断试剂配套使用。目前，艾克韦生物已实现了自主创新的自动化检测平台与检测试剂联合应用的上下游完整产业链的建立，有效提升了分子诊断领域的核心竞争力，可为所服务客户提供更加系统的技术解决方案。</w:t>
            </w:r>
          </w:p>
          <w:p w:rsidR="00E16EBE" w:rsidRPr="00E16EBE" w:rsidRDefault="00E16EBE" w:rsidP="00131D1F">
            <w:pPr>
              <w:snapToGrid w:val="0"/>
              <w:spacing w:line="480" w:lineRule="exact"/>
              <w:ind w:firstLineChars="200" w:firstLine="480"/>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（2）生物安全类产品，可提供生物</w:t>
            </w:r>
            <w:proofErr w:type="gramStart"/>
            <w:r w:rsidRPr="00E16EBE">
              <w:rPr>
                <w:rFonts w:ascii="仿宋_GB2312" w:eastAsia="仿宋_GB2312" w:hAnsi="宋体" w:cs="宋体" w:hint="eastAsia"/>
                <w:color w:val="333333"/>
                <w:kern w:val="0"/>
                <w:sz w:val="24"/>
                <w:szCs w:val="24"/>
              </w:rPr>
              <w:t>样本库全生命周期</w:t>
            </w:r>
            <w:proofErr w:type="gramEnd"/>
            <w:r w:rsidRPr="00E16EBE">
              <w:rPr>
                <w:rFonts w:ascii="仿宋_GB2312" w:eastAsia="仿宋_GB2312" w:hAnsi="宋体" w:cs="宋体" w:hint="eastAsia"/>
                <w:color w:val="333333"/>
                <w:kern w:val="0"/>
                <w:sz w:val="24"/>
                <w:szCs w:val="24"/>
              </w:rPr>
              <w:t>整体技术解决方案，主要包括生物样本库管理软件、生物样本智能保藏柜、生物样本智能管理终端等配套软硬件设施的生产、销售，并可为政府实验室和临床医疗机构提供设计、建设、运营管理体系等一体化的实验室、生物样本</w:t>
            </w:r>
            <w:proofErr w:type="gramStart"/>
            <w:r w:rsidRPr="00E16EBE">
              <w:rPr>
                <w:rFonts w:ascii="仿宋_GB2312" w:eastAsia="仿宋_GB2312" w:hAnsi="宋体" w:cs="宋体" w:hint="eastAsia"/>
                <w:color w:val="333333"/>
                <w:kern w:val="0"/>
                <w:sz w:val="24"/>
                <w:szCs w:val="24"/>
              </w:rPr>
              <w:t>库解决</w:t>
            </w:r>
            <w:proofErr w:type="gramEnd"/>
            <w:r w:rsidRPr="00E16EBE">
              <w:rPr>
                <w:rFonts w:ascii="仿宋_GB2312" w:eastAsia="仿宋_GB2312" w:hAnsi="宋体" w:cs="宋体" w:hint="eastAsia"/>
                <w:color w:val="333333"/>
                <w:kern w:val="0"/>
                <w:sz w:val="24"/>
                <w:szCs w:val="24"/>
              </w:rPr>
              <w:t>方案，是山东省生物安全管理体系技术创新及建设的领军企业。目前，艾克韦</w:t>
            </w:r>
            <w:proofErr w:type="gramStart"/>
            <w:r w:rsidRPr="00E16EBE">
              <w:rPr>
                <w:rFonts w:ascii="仿宋_GB2312" w:eastAsia="仿宋_GB2312" w:hAnsi="宋体" w:cs="宋体" w:hint="eastAsia"/>
                <w:color w:val="333333"/>
                <w:kern w:val="0"/>
                <w:sz w:val="24"/>
                <w:szCs w:val="24"/>
              </w:rPr>
              <w:t>生物生物</w:t>
            </w:r>
            <w:proofErr w:type="gramEnd"/>
            <w:r w:rsidRPr="00E16EBE">
              <w:rPr>
                <w:rFonts w:ascii="仿宋_GB2312" w:eastAsia="仿宋_GB2312" w:hAnsi="宋体" w:cs="宋体" w:hint="eastAsia"/>
                <w:color w:val="333333"/>
                <w:kern w:val="0"/>
                <w:sz w:val="24"/>
                <w:szCs w:val="24"/>
              </w:rPr>
              <w:t>安全领域子公司承接的细胞产品中试转化公共服务平台项目已全面开展，该项目不仅包括实验室标准化装修、生物安全个性化定制、细胞库的标准化建设，还包括一系列相关仪器设备的定制、安装和调试等，是艾克韦生物在生物安全整体解决方案领域大体量</w:t>
            </w:r>
            <w:r w:rsidRPr="00E16EBE">
              <w:rPr>
                <w:rFonts w:ascii="仿宋_GB2312" w:eastAsia="仿宋_GB2312" w:hAnsi="宋体" w:cs="宋体" w:hint="eastAsia"/>
                <w:color w:val="333333"/>
                <w:kern w:val="0"/>
                <w:sz w:val="24"/>
                <w:szCs w:val="24"/>
              </w:rPr>
              <w:lastRenderedPageBreak/>
              <w:t>项目的全新突破。</w:t>
            </w:r>
          </w:p>
          <w:p w:rsidR="00E16EBE" w:rsidRPr="00E16EBE" w:rsidRDefault="00E16EBE" w:rsidP="00131D1F">
            <w:pPr>
              <w:snapToGrid w:val="0"/>
              <w:spacing w:line="480" w:lineRule="exact"/>
              <w:ind w:firstLineChars="200" w:firstLine="480"/>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（3）医疗检测服务，艾克韦生物下设山东艾克韦医学检验所有限公司、</w:t>
            </w:r>
            <w:proofErr w:type="gramStart"/>
            <w:r w:rsidRPr="00E16EBE">
              <w:rPr>
                <w:rFonts w:ascii="仿宋_GB2312" w:eastAsia="仿宋_GB2312" w:hAnsi="宋体" w:cs="宋体" w:hint="eastAsia"/>
                <w:color w:val="333333"/>
                <w:kern w:val="0"/>
                <w:sz w:val="24"/>
                <w:szCs w:val="24"/>
              </w:rPr>
              <w:t>临沂济高发展</w:t>
            </w:r>
            <w:proofErr w:type="gramEnd"/>
            <w:r w:rsidRPr="00E16EBE">
              <w:rPr>
                <w:rFonts w:ascii="仿宋_GB2312" w:eastAsia="仿宋_GB2312" w:hAnsi="宋体" w:cs="宋体" w:hint="eastAsia"/>
                <w:color w:val="333333"/>
                <w:kern w:val="0"/>
                <w:sz w:val="24"/>
                <w:szCs w:val="24"/>
              </w:rPr>
              <w:t>医学检验实验室有限公司、聊城创新艾克韦医学检验实验室等第三方检测机构。检验所配置有多名高、中级专业技术人员，能够利用集约化经营、专业化分工等优势为各类医疗机构提供第三方医学检验、病理诊断和质检技术等服务。</w:t>
            </w:r>
          </w:p>
          <w:p w:rsidR="00E16EBE" w:rsidRDefault="00E16EBE" w:rsidP="00131D1F">
            <w:pPr>
              <w:snapToGrid w:val="0"/>
              <w:spacing w:line="480" w:lineRule="exact"/>
              <w:ind w:firstLineChars="200" w:firstLine="480"/>
              <w:jc w:val="left"/>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目前相关子公司主要开展医疗共建、社会民生、特检三大业务方向，设有临床细胞分子遗传学专业；临床体液、血液专业；临床化学检验专业、临床免疫、血清学专业/病理科五大专业科室，建有完善的质量管理体系、综合的信息化系统，配备有高通量测序仪、基因芯片、核酸质谱、荧光定量PCR等高端检测设备，可提供专业的第三方医学检验服务，如：肿瘤早筛、肿瘤用药伴随诊断、宏基因、新生儿免疫缺陷筛查、血尿便常规、凝血常规、常规生化、微量元素、激素、肿瘤标志物、特种蛋白、感染免疫、自身免疫、微生物学检测、病原体核酸检测等各类检测项目1000余项。同时建设有集约化的物资集采平台及物流配送平台，可提供从实验室基础建设、设计、装修、认证、仪器设备及试剂耗材集采、物流配送到专业的质量体系搭建、信息化建设、医学检验等第三方服务。</w:t>
            </w:r>
          </w:p>
          <w:p w:rsidR="00166AE3" w:rsidRDefault="00DF6D1C" w:rsidP="00131D1F">
            <w:pPr>
              <w:snapToGrid w:val="0"/>
              <w:spacing w:line="480" w:lineRule="exact"/>
              <w:ind w:firstLineChars="200" w:firstLine="482"/>
              <w:jc w:val="left"/>
              <w:rPr>
                <w:rFonts w:ascii="仿宋_GB2312" w:eastAsia="仿宋_GB2312" w:hAnsi="宋体" w:cs="宋体"/>
                <w:b/>
                <w:bCs/>
                <w:color w:val="333333"/>
                <w:kern w:val="0"/>
                <w:sz w:val="24"/>
                <w:szCs w:val="24"/>
              </w:rPr>
            </w:pPr>
            <w:r>
              <w:rPr>
                <w:rFonts w:ascii="仿宋_GB2312" w:eastAsia="仿宋_GB2312" w:hAnsi="宋体" w:cs="宋体"/>
                <w:b/>
                <w:bCs/>
                <w:color w:val="333333"/>
                <w:kern w:val="0"/>
                <w:sz w:val="24"/>
                <w:szCs w:val="24"/>
              </w:rPr>
              <w:t>3</w:t>
            </w:r>
            <w:r>
              <w:rPr>
                <w:rFonts w:ascii="仿宋_GB2312" w:eastAsia="仿宋_GB2312" w:hAnsi="宋体" w:cs="宋体" w:hint="eastAsia"/>
                <w:b/>
                <w:bCs/>
                <w:color w:val="333333"/>
                <w:kern w:val="0"/>
                <w:sz w:val="24"/>
                <w:szCs w:val="24"/>
              </w:rPr>
              <w:t>.Q：</w:t>
            </w:r>
            <w:r w:rsidR="00E16EBE" w:rsidRPr="00E16EBE">
              <w:rPr>
                <w:rFonts w:ascii="仿宋_GB2312" w:eastAsia="仿宋_GB2312" w:hAnsi="宋体" w:cs="宋体" w:hint="eastAsia"/>
                <w:b/>
                <w:bCs/>
                <w:color w:val="333333"/>
                <w:kern w:val="0"/>
                <w:sz w:val="24"/>
                <w:szCs w:val="24"/>
              </w:rPr>
              <w:t>请介绍一下公司发展有那些优势。</w:t>
            </w:r>
          </w:p>
          <w:p w:rsidR="00E16EBE" w:rsidRPr="00E16EBE" w:rsidRDefault="00AC720F" w:rsidP="00131D1F">
            <w:pPr>
              <w:snapToGrid w:val="0"/>
              <w:spacing w:line="480" w:lineRule="exact"/>
              <w:ind w:firstLineChars="200" w:firstLine="480"/>
              <w:jc w:val="left"/>
              <w:rPr>
                <w:rFonts w:ascii="仿宋_GB2312" w:eastAsia="仿宋_GB2312" w:hAnsi="宋体" w:cs="宋体"/>
                <w:color w:val="333333"/>
                <w:kern w:val="0"/>
                <w:sz w:val="24"/>
                <w:szCs w:val="24"/>
              </w:rPr>
            </w:pPr>
            <w:r w:rsidRPr="00AC720F">
              <w:rPr>
                <w:rFonts w:ascii="仿宋_GB2312" w:eastAsia="仿宋_GB2312" w:hAnsi="宋体" w:cs="宋体" w:hint="eastAsia"/>
                <w:color w:val="333333"/>
                <w:kern w:val="0"/>
                <w:sz w:val="24"/>
                <w:szCs w:val="24"/>
              </w:rPr>
              <w:t>A：</w:t>
            </w:r>
            <w:r w:rsidR="00E16EBE" w:rsidRPr="00E16EBE">
              <w:rPr>
                <w:rFonts w:ascii="仿宋_GB2312" w:eastAsia="仿宋_GB2312" w:hAnsi="宋体" w:cs="宋体" w:hint="eastAsia"/>
                <w:color w:val="333333"/>
                <w:kern w:val="0"/>
                <w:sz w:val="24"/>
                <w:szCs w:val="24"/>
              </w:rPr>
              <w:t>您好！感谢您的关注！控股股东赋能优势。公司控股股东坚定支持公司发展，为公司发展提供广阔空间。股东济南高新控股集团有限公司为中国产业园区30强、中国产业园区运营商影响力10强企业、中国产业园区运营商20强，主体信用评级为AAA，是省内拥有最高投资评级的国家级高新区平台公司，具有丰富的园区运营经验和资源、雄厚的园区运营能力和综合实力。公司控股股东在人才、资金、平台等各方面都对公司提供了大力支持，赋能公司高质量发展。公司将依托国有股东在公司治理、规范运作、资源等方面的优势，不断升公司治理、规范运作水平，并借助其在资源、资金等方面的优势，资源共享，加大产业整合力度，提升主业发展能力。</w:t>
            </w:r>
          </w:p>
          <w:p w:rsidR="00E16EBE" w:rsidRPr="00E16EBE" w:rsidRDefault="00E16EBE" w:rsidP="00131D1F">
            <w:pPr>
              <w:snapToGrid w:val="0"/>
              <w:spacing w:line="480" w:lineRule="exact"/>
              <w:ind w:firstLineChars="200" w:firstLine="480"/>
              <w:jc w:val="left"/>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lastRenderedPageBreak/>
              <w:t>区位优势。公司将充分利用国家高新区、自贸试验区、综合保税区、新旧动能转换起步区、</w:t>
            </w:r>
            <w:proofErr w:type="gramStart"/>
            <w:r w:rsidRPr="00E16EBE">
              <w:rPr>
                <w:rFonts w:ascii="仿宋_GB2312" w:eastAsia="仿宋_GB2312" w:hAnsi="宋体" w:cs="宋体" w:hint="eastAsia"/>
                <w:color w:val="333333"/>
                <w:kern w:val="0"/>
                <w:sz w:val="24"/>
                <w:szCs w:val="24"/>
              </w:rPr>
              <w:t>科创金融</w:t>
            </w:r>
            <w:proofErr w:type="gramEnd"/>
            <w:r w:rsidRPr="00E16EBE">
              <w:rPr>
                <w:rFonts w:ascii="仿宋_GB2312" w:eastAsia="仿宋_GB2312" w:hAnsi="宋体" w:cs="宋体" w:hint="eastAsia"/>
                <w:color w:val="333333"/>
                <w:kern w:val="0"/>
                <w:sz w:val="24"/>
                <w:szCs w:val="24"/>
              </w:rPr>
              <w:t>改革试验区的“五区”国家级政策优势、先进制度模式及先行先</w:t>
            </w:r>
            <w:proofErr w:type="gramStart"/>
            <w:r w:rsidRPr="00E16EBE">
              <w:rPr>
                <w:rFonts w:ascii="仿宋_GB2312" w:eastAsia="仿宋_GB2312" w:hAnsi="宋体" w:cs="宋体" w:hint="eastAsia"/>
                <w:color w:val="333333"/>
                <w:kern w:val="0"/>
                <w:sz w:val="24"/>
                <w:szCs w:val="24"/>
              </w:rPr>
              <w:t>试创新</w:t>
            </w:r>
            <w:proofErr w:type="gramEnd"/>
            <w:r w:rsidRPr="00E16EBE">
              <w:rPr>
                <w:rFonts w:ascii="仿宋_GB2312" w:eastAsia="仿宋_GB2312" w:hAnsi="宋体" w:cs="宋体" w:hint="eastAsia"/>
                <w:color w:val="333333"/>
                <w:kern w:val="0"/>
                <w:sz w:val="24"/>
                <w:szCs w:val="24"/>
              </w:rPr>
              <w:t>机制等动能，和济南高新区生物医药主导产业优势，积极拓展生命健康主业，将公司打造成为“国内一流的生命健康产业卓越品质服务商”。</w:t>
            </w:r>
          </w:p>
          <w:p w:rsidR="00E16EBE" w:rsidRPr="00E16EBE" w:rsidRDefault="00E16EBE" w:rsidP="00131D1F">
            <w:pPr>
              <w:snapToGrid w:val="0"/>
              <w:spacing w:line="480" w:lineRule="exact"/>
              <w:ind w:firstLineChars="200" w:firstLine="480"/>
              <w:jc w:val="left"/>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技术与产品优势。公司控股子公司艾克韦生物主要经营分子诊断试剂及设备的研发、生产与销售，为国家高新技术企业、专精特新企业、瞪</w:t>
            </w:r>
            <w:proofErr w:type="gramStart"/>
            <w:r w:rsidRPr="00E16EBE">
              <w:rPr>
                <w:rFonts w:ascii="仿宋_GB2312" w:eastAsia="仿宋_GB2312" w:hAnsi="宋体" w:cs="宋体" w:hint="eastAsia"/>
                <w:color w:val="333333"/>
                <w:kern w:val="0"/>
                <w:sz w:val="24"/>
                <w:szCs w:val="24"/>
              </w:rPr>
              <w:t>羚</w:t>
            </w:r>
            <w:proofErr w:type="gramEnd"/>
            <w:r w:rsidRPr="00E16EBE">
              <w:rPr>
                <w:rFonts w:ascii="仿宋_GB2312" w:eastAsia="仿宋_GB2312" w:hAnsi="宋体" w:cs="宋体" w:hint="eastAsia"/>
                <w:color w:val="333333"/>
                <w:kern w:val="0"/>
                <w:sz w:val="24"/>
                <w:szCs w:val="24"/>
              </w:rPr>
              <w:t>企业和国家知识产权优势企业，其核心技术人员具有丰富的体外诊断试剂行业管理和研发经验。目前，艾克韦生物及其下属子公司拥有100余项专利/软件著作权、多项医疗器械注册证书和备案凭证，艾克韦</w:t>
            </w:r>
            <w:proofErr w:type="gramStart"/>
            <w:r w:rsidRPr="00E16EBE">
              <w:rPr>
                <w:rFonts w:ascii="仿宋_GB2312" w:eastAsia="仿宋_GB2312" w:hAnsi="宋体" w:cs="宋体" w:hint="eastAsia"/>
                <w:color w:val="333333"/>
                <w:kern w:val="0"/>
                <w:sz w:val="24"/>
                <w:szCs w:val="24"/>
              </w:rPr>
              <w:t>医</w:t>
            </w:r>
            <w:proofErr w:type="gramEnd"/>
            <w:r w:rsidRPr="00E16EBE">
              <w:rPr>
                <w:rFonts w:ascii="仿宋_GB2312" w:eastAsia="仿宋_GB2312" w:hAnsi="宋体" w:cs="宋体" w:hint="eastAsia"/>
                <w:color w:val="333333"/>
                <w:kern w:val="0"/>
                <w:sz w:val="24"/>
                <w:szCs w:val="24"/>
              </w:rPr>
              <w:t>检所报告期内完成生化、免疫、病理增项，并开展医疗共建项目。艾克韦相关产品覆盖面大，应用范围广，能够满足各类客户的不同需求，进而扩大市场份额和提升公司业绩。</w:t>
            </w:r>
          </w:p>
          <w:p w:rsidR="00E16EBE" w:rsidRPr="00E16EBE" w:rsidRDefault="00E16EBE" w:rsidP="00131D1F">
            <w:pPr>
              <w:snapToGrid w:val="0"/>
              <w:spacing w:line="480" w:lineRule="exact"/>
              <w:ind w:firstLineChars="200" w:firstLine="480"/>
              <w:jc w:val="left"/>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管理团队优势。公司持续优化组织机构，提高管控和业务执行效能，通过自我培养和外部引进，组建拥有丰富的体外诊断行业管理、研发、与资本运作经验的管理团队，各级管理人员具备奋斗和创新精神；公司拥有完善的人才培养、培训体系，通过“新笙代”培养计划、业务能力培训、管理能力培训等人才培养机制，为员工创造职后再教育机会，同时通过提供补助鼓励员工自学提高学历、专业能力，员工综合素质持续提升，打造过硬人才队伍，增强内生动力。</w:t>
            </w:r>
          </w:p>
          <w:p w:rsidR="00E16EBE" w:rsidRDefault="00E16EBE" w:rsidP="00131D1F">
            <w:pPr>
              <w:snapToGrid w:val="0"/>
              <w:spacing w:line="480" w:lineRule="exact"/>
              <w:ind w:firstLineChars="200" w:firstLine="480"/>
              <w:jc w:val="left"/>
              <w:rPr>
                <w:rFonts w:ascii="仿宋_GB2312" w:eastAsia="仿宋_GB2312" w:hAnsi="宋体" w:cs="宋体"/>
                <w:color w:val="333333"/>
                <w:kern w:val="0"/>
                <w:sz w:val="24"/>
                <w:szCs w:val="24"/>
              </w:rPr>
            </w:pPr>
            <w:r w:rsidRPr="00E16EBE">
              <w:rPr>
                <w:rFonts w:ascii="仿宋_GB2312" w:eastAsia="仿宋_GB2312" w:hAnsi="宋体" w:cs="宋体" w:hint="eastAsia"/>
                <w:color w:val="333333"/>
                <w:kern w:val="0"/>
                <w:sz w:val="24"/>
                <w:szCs w:val="24"/>
              </w:rPr>
              <w:t>产业协同优势。公司正聚焦生命健康核心主业，通过</w:t>
            </w:r>
            <w:proofErr w:type="gramStart"/>
            <w:r w:rsidRPr="00E16EBE">
              <w:rPr>
                <w:rFonts w:ascii="仿宋_GB2312" w:eastAsia="仿宋_GB2312" w:hAnsi="宋体" w:cs="宋体" w:hint="eastAsia"/>
                <w:color w:val="333333"/>
                <w:kern w:val="0"/>
                <w:sz w:val="24"/>
                <w:szCs w:val="24"/>
              </w:rPr>
              <w:t>投资并拓和</w:t>
            </w:r>
            <w:proofErr w:type="gramEnd"/>
            <w:r w:rsidRPr="00E16EBE">
              <w:rPr>
                <w:rFonts w:ascii="仿宋_GB2312" w:eastAsia="仿宋_GB2312" w:hAnsi="宋体" w:cs="宋体" w:hint="eastAsia"/>
                <w:color w:val="333333"/>
                <w:kern w:val="0"/>
                <w:sz w:val="24"/>
                <w:szCs w:val="24"/>
              </w:rPr>
              <w:t>老字号品牌文化赋能核心主业，同时完善产业链，做</w:t>
            </w:r>
            <w:proofErr w:type="gramStart"/>
            <w:r w:rsidRPr="00E16EBE">
              <w:rPr>
                <w:rFonts w:ascii="仿宋_GB2312" w:eastAsia="仿宋_GB2312" w:hAnsi="宋体" w:cs="宋体" w:hint="eastAsia"/>
                <w:color w:val="333333"/>
                <w:kern w:val="0"/>
                <w:sz w:val="24"/>
                <w:szCs w:val="24"/>
              </w:rPr>
              <w:t>强生命</w:t>
            </w:r>
            <w:proofErr w:type="gramEnd"/>
            <w:r w:rsidRPr="00E16EBE">
              <w:rPr>
                <w:rFonts w:ascii="仿宋_GB2312" w:eastAsia="仿宋_GB2312" w:hAnsi="宋体" w:cs="宋体" w:hint="eastAsia"/>
                <w:color w:val="333333"/>
                <w:kern w:val="0"/>
                <w:sz w:val="24"/>
                <w:szCs w:val="24"/>
              </w:rPr>
              <w:t>健康主业，不断提升公司盈利能力和核心竞争力，促进公司可持续发展。</w:t>
            </w:r>
          </w:p>
          <w:p w:rsidR="00166AE3" w:rsidRPr="009B4CBA" w:rsidRDefault="00DF6D1C" w:rsidP="00131D1F">
            <w:pPr>
              <w:snapToGrid w:val="0"/>
              <w:spacing w:line="480" w:lineRule="exact"/>
              <w:ind w:firstLineChars="200" w:firstLine="482"/>
              <w:jc w:val="left"/>
              <w:rPr>
                <w:rFonts w:ascii="仿宋_GB2312" w:eastAsia="仿宋_GB2312" w:hAnsi="宋体" w:cs="宋体"/>
                <w:b/>
                <w:color w:val="333333"/>
                <w:kern w:val="0"/>
                <w:sz w:val="24"/>
                <w:szCs w:val="24"/>
              </w:rPr>
            </w:pPr>
            <w:r>
              <w:rPr>
                <w:rFonts w:ascii="仿宋_GB2312" w:eastAsia="仿宋_GB2312" w:hAnsi="宋体" w:cs="宋体"/>
                <w:b/>
                <w:bCs/>
                <w:color w:val="333333"/>
                <w:kern w:val="0"/>
                <w:sz w:val="24"/>
                <w:szCs w:val="24"/>
              </w:rPr>
              <w:t>4</w:t>
            </w:r>
            <w:r>
              <w:rPr>
                <w:rFonts w:ascii="仿宋_GB2312" w:eastAsia="仿宋_GB2312" w:hAnsi="宋体" w:cs="宋体" w:hint="eastAsia"/>
                <w:b/>
                <w:bCs/>
                <w:color w:val="333333"/>
                <w:kern w:val="0"/>
                <w:sz w:val="24"/>
                <w:szCs w:val="24"/>
              </w:rPr>
              <w:t>.</w:t>
            </w:r>
            <w:r w:rsidR="00E16EBE" w:rsidRPr="009B4CBA">
              <w:rPr>
                <w:rFonts w:ascii="仿宋_GB2312" w:eastAsia="仿宋_GB2312" w:hAnsi="宋体" w:cs="宋体"/>
                <w:b/>
                <w:color w:val="333333"/>
                <w:kern w:val="0"/>
                <w:sz w:val="24"/>
                <w:szCs w:val="24"/>
              </w:rPr>
              <w:t xml:space="preserve"> </w:t>
            </w:r>
            <w:r w:rsidRPr="009B4CBA">
              <w:rPr>
                <w:rFonts w:ascii="仿宋_GB2312" w:eastAsia="仿宋_GB2312" w:hAnsi="宋体" w:cs="宋体" w:hint="eastAsia"/>
                <w:b/>
                <w:color w:val="333333"/>
                <w:kern w:val="0"/>
                <w:sz w:val="24"/>
                <w:szCs w:val="24"/>
              </w:rPr>
              <w:t>Q：</w:t>
            </w:r>
            <w:r w:rsidR="00E16EBE" w:rsidRPr="00E16EBE">
              <w:rPr>
                <w:rFonts w:ascii="仿宋_GB2312" w:eastAsia="仿宋_GB2312" w:hAnsi="宋体" w:cs="宋体" w:hint="eastAsia"/>
                <w:b/>
                <w:color w:val="333333"/>
                <w:kern w:val="0"/>
                <w:sz w:val="24"/>
                <w:szCs w:val="24"/>
              </w:rPr>
              <w:t>济南高新定增已到哪一步？</w:t>
            </w:r>
            <w:r w:rsidR="00CA7872" w:rsidRPr="009B4CBA">
              <w:rPr>
                <w:rFonts w:ascii="仿宋_GB2312" w:eastAsia="仿宋_GB2312" w:hAnsi="宋体" w:cs="宋体"/>
                <w:b/>
                <w:color w:val="333333"/>
                <w:kern w:val="0"/>
                <w:sz w:val="24"/>
                <w:szCs w:val="24"/>
              </w:rPr>
              <w:t xml:space="preserve"> </w:t>
            </w:r>
          </w:p>
          <w:p w:rsidR="00E16EBE" w:rsidRDefault="00AC720F" w:rsidP="00131D1F">
            <w:pPr>
              <w:snapToGrid w:val="0"/>
              <w:spacing w:line="480" w:lineRule="exact"/>
              <w:ind w:firstLineChars="200" w:firstLine="480"/>
              <w:jc w:val="left"/>
              <w:rPr>
                <w:rFonts w:ascii="仿宋_GB2312" w:eastAsia="仿宋_GB2312" w:hAnsi="宋体" w:cs="宋体"/>
                <w:color w:val="333333"/>
                <w:kern w:val="0"/>
                <w:sz w:val="24"/>
                <w:szCs w:val="24"/>
              </w:rPr>
            </w:pPr>
            <w:r w:rsidRPr="00AC720F">
              <w:rPr>
                <w:rFonts w:ascii="仿宋_GB2312" w:eastAsia="仿宋_GB2312" w:hAnsi="宋体" w:cs="宋体" w:hint="eastAsia"/>
                <w:color w:val="333333"/>
                <w:kern w:val="0"/>
                <w:sz w:val="24"/>
                <w:szCs w:val="24"/>
              </w:rPr>
              <w:t>A：</w:t>
            </w:r>
            <w:r w:rsidR="00E16EBE" w:rsidRPr="00E16EBE">
              <w:rPr>
                <w:rFonts w:ascii="仿宋_GB2312" w:eastAsia="仿宋_GB2312" w:hAnsi="宋体" w:cs="宋体" w:hint="eastAsia"/>
                <w:color w:val="333333"/>
                <w:kern w:val="0"/>
                <w:sz w:val="24"/>
                <w:szCs w:val="24"/>
              </w:rPr>
              <w:t>公司再融资事项于2024年1月19日报送上交所受理审核，期间积极配合交易所问询等审核工作，目前正在上交所审核流程中。公司聚焦生命健康核心主业发展，在持续深耕体外诊断领域的同时积极推进投资并购事宜，科学规划主业发展路径，择机并购优质生命健康产业项目，做大做</w:t>
            </w:r>
            <w:proofErr w:type="gramStart"/>
            <w:r w:rsidR="00E16EBE" w:rsidRPr="00E16EBE">
              <w:rPr>
                <w:rFonts w:ascii="仿宋_GB2312" w:eastAsia="仿宋_GB2312" w:hAnsi="宋体" w:cs="宋体" w:hint="eastAsia"/>
                <w:color w:val="333333"/>
                <w:kern w:val="0"/>
                <w:sz w:val="24"/>
                <w:szCs w:val="24"/>
              </w:rPr>
              <w:t>强生命</w:t>
            </w:r>
            <w:proofErr w:type="gramEnd"/>
            <w:r w:rsidR="00E16EBE" w:rsidRPr="00E16EBE">
              <w:rPr>
                <w:rFonts w:ascii="仿宋_GB2312" w:eastAsia="仿宋_GB2312" w:hAnsi="宋体" w:cs="宋体" w:hint="eastAsia"/>
                <w:color w:val="333333"/>
                <w:kern w:val="0"/>
                <w:sz w:val="24"/>
                <w:szCs w:val="24"/>
              </w:rPr>
              <w:t>健康主业，公司将充分发挥资本市场作用，扩展融资渠道，改善财务状况，为公司主业进一步发展</w:t>
            </w:r>
            <w:r w:rsidR="00E16EBE" w:rsidRPr="00E16EBE">
              <w:rPr>
                <w:rFonts w:ascii="仿宋_GB2312" w:eastAsia="仿宋_GB2312" w:hAnsi="宋体" w:cs="宋体" w:hint="eastAsia"/>
                <w:color w:val="333333"/>
                <w:kern w:val="0"/>
                <w:sz w:val="24"/>
                <w:szCs w:val="24"/>
              </w:rPr>
              <w:lastRenderedPageBreak/>
              <w:t>提供资金保障，提高公司抗风险能力，保障公司未来的长期可持续发展。</w:t>
            </w:r>
          </w:p>
          <w:p w:rsidR="00166AE3" w:rsidRPr="009B4CBA" w:rsidRDefault="00E16EBE" w:rsidP="00131D1F">
            <w:pPr>
              <w:snapToGrid w:val="0"/>
              <w:spacing w:line="480" w:lineRule="exact"/>
              <w:ind w:firstLineChars="200" w:firstLine="482"/>
              <w:jc w:val="left"/>
              <w:rPr>
                <w:rFonts w:ascii="仿宋_GB2312" w:eastAsia="仿宋_GB2312" w:hAnsi="宋体" w:cs="宋体"/>
                <w:b/>
                <w:color w:val="333333"/>
                <w:kern w:val="0"/>
                <w:sz w:val="24"/>
                <w:szCs w:val="24"/>
              </w:rPr>
            </w:pPr>
            <w:r>
              <w:rPr>
                <w:rFonts w:ascii="仿宋_GB2312" w:eastAsia="仿宋_GB2312" w:hAnsi="宋体" w:cs="宋体" w:hint="eastAsia"/>
                <w:b/>
                <w:color w:val="333333"/>
                <w:kern w:val="0"/>
                <w:sz w:val="24"/>
                <w:szCs w:val="24"/>
              </w:rPr>
              <w:t>5</w:t>
            </w:r>
            <w:r w:rsidR="00DF6D1C" w:rsidRPr="009B4CBA">
              <w:rPr>
                <w:rFonts w:ascii="仿宋_GB2312" w:eastAsia="仿宋_GB2312" w:hAnsi="宋体" w:cs="宋体" w:hint="eastAsia"/>
                <w:b/>
                <w:color w:val="333333"/>
                <w:kern w:val="0"/>
                <w:sz w:val="24"/>
                <w:szCs w:val="24"/>
              </w:rPr>
              <w:t>.Q：</w:t>
            </w:r>
            <w:r w:rsidRPr="00E16EBE">
              <w:rPr>
                <w:rFonts w:ascii="仿宋_GB2312" w:eastAsia="仿宋_GB2312" w:hAnsi="宋体" w:cs="宋体" w:hint="eastAsia"/>
                <w:b/>
                <w:color w:val="333333"/>
                <w:kern w:val="0"/>
                <w:sz w:val="24"/>
                <w:szCs w:val="24"/>
              </w:rPr>
              <w:t>公司开展了哪些市值管理工作？</w:t>
            </w:r>
          </w:p>
          <w:p w:rsidR="00AC720F" w:rsidRDefault="00AC720F" w:rsidP="00131D1F">
            <w:pPr>
              <w:snapToGrid w:val="0"/>
              <w:spacing w:line="480" w:lineRule="exact"/>
              <w:ind w:firstLineChars="200" w:firstLine="480"/>
              <w:jc w:val="left"/>
              <w:rPr>
                <w:rFonts w:ascii="仿宋_GB2312" w:eastAsia="仿宋_GB2312" w:hAnsi="宋体" w:cs="宋体"/>
                <w:color w:val="333333"/>
                <w:kern w:val="0"/>
                <w:sz w:val="24"/>
                <w:szCs w:val="24"/>
              </w:rPr>
            </w:pPr>
            <w:r w:rsidRPr="00AC720F">
              <w:rPr>
                <w:rFonts w:ascii="仿宋_GB2312" w:eastAsia="仿宋_GB2312" w:hAnsi="宋体" w:cs="宋体" w:hint="eastAsia"/>
                <w:color w:val="333333"/>
                <w:kern w:val="0"/>
                <w:sz w:val="24"/>
                <w:szCs w:val="24"/>
              </w:rPr>
              <w:t>A：</w:t>
            </w:r>
            <w:r w:rsidR="00E16EBE" w:rsidRPr="00E16EBE">
              <w:rPr>
                <w:rFonts w:ascii="仿宋_GB2312" w:eastAsia="仿宋_GB2312" w:hAnsi="宋体" w:cs="宋体" w:hint="eastAsia"/>
                <w:color w:val="333333"/>
                <w:kern w:val="0"/>
                <w:sz w:val="24"/>
                <w:szCs w:val="24"/>
              </w:rPr>
              <w:t>您好！感谢您的关注！公司一直很重视市值管理工作，在积极努力做好经营工作的同时也大力开拓转型升级工作，拓宽生命健康赛道，做</w:t>
            </w:r>
            <w:proofErr w:type="gramStart"/>
            <w:r w:rsidR="00E16EBE" w:rsidRPr="00E16EBE">
              <w:rPr>
                <w:rFonts w:ascii="仿宋_GB2312" w:eastAsia="仿宋_GB2312" w:hAnsi="宋体" w:cs="宋体" w:hint="eastAsia"/>
                <w:color w:val="333333"/>
                <w:kern w:val="0"/>
                <w:sz w:val="24"/>
                <w:szCs w:val="24"/>
              </w:rPr>
              <w:t>强做</w:t>
            </w:r>
            <w:proofErr w:type="gramEnd"/>
            <w:r w:rsidR="00E16EBE" w:rsidRPr="00E16EBE">
              <w:rPr>
                <w:rFonts w:ascii="仿宋_GB2312" w:eastAsia="仿宋_GB2312" w:hAnsi="宋体" w:cs="宋体" w:hint="eastAsia"/>
                <w:color w:val="333333"/>
                <w:kern w:val="0"/>
                <w:sz w:val="24"/>
                <w:szCs w:val="24"/>
              </w:rPr>
              <w:t>大生命健康产业规模，助力公司高质量发展。公司开展向特定对象发行股票工作，募集资金全部用来补充流动资金，为公司主业发展注入新鲜血液，也显示出控股股东对公司发展的坚定信心。未来公司会综合分析市场股价表现并结合经营情况、发展规划等考虑择机采取措施提振股价，如有相关计划，公司会按照相关制度规则认真履行信息披露义务。</w:t>
            </w:r>
          </w:p>
          <w:p w:rsidR="00166AE3" w:rsidRPr="009D7F95" w:rsidRDefault="00DF6D1C" w:rsidP="007944F0">
            <w:pPr>
              <w:snapToGrid w:val="0"/>
              <w:spacing w:line="480" w:lineRule="exact"/>
              <w:ind w:firstLineChars="200" w:firstLine="420"/>
              <w:jc w:val="left"/>
              <w:rPr>
                <w:rFonts w:ascii="仿宋_GB2312" w:eastAsia="仿宋_GB2312" w:hAnsi="宋体" w:cs="宋体"/>
                <w:color w:val="333333"/>
                <w:kern w:val="0"/>
                <w:sz w:val="24"/>
                <w:szCs w:val="24"/>
              </w:rPr>
            </w:pPr>
            <w:bookmarkStart w:id="0" w:name="_GoBack"/>
            <w:bookmarkEnd w:id="0"/>
            <w:r>
              <w:rPr>
                <w:rFonts w:ascii="仿宋_GB2312" w:eastAsia="仿宋_GB2312"/>
                <w:color w:val="333333"/>
              </w:rPr>
              <w:t xml:space="preserve">                                  </w:t>
            </w:r>
          </w:p>
        </w:tc>
      </w:tr>
      <w:tr w:rsidR="00166AE3">
        <w:tc>
          <w:tcPr>
            <w:tcW w:w="1696" w:type="dxa"/>
            <w:shd w:val="clear" w:color="auto" w:fill="FFFFFF"/>
            <w:tcMar>
              <w:top w:w="0" w:type="dxa"/>
              <w:left w:w="30" w:type="dxa"/>
              <w:bottom w:w="0" w:type="dxa"/>
              <w:right w:w="30" w:type="dxa"/>
            </w:tcMar>
            <w:vAlign w:val="center"/>
          </w:tcPr>
          <w:p w:rsidR="00166AE3" w:rsidRDefault="00DF6D1C">
            <w:pPr>
              <w:spacing w:line="579" w:lineRule="exac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附件清单</w:t>
            </w:r>
          </w:p>
          <w:p w:rsidR="00166AE3" w:rsidRDefault="00DF6D1C">
            <w:pPr>
              <w:spacing w:line="579" w:lineRule="exac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（如有）</w:t>
            </w:r>
          </w:p>
        </w:tc>
        <w:tc>
          <w:tcPr>
            <w:tcW w:w="8364" w:type="dxa"/>
            <w:shd w:val="clear" w:color="auto" w:fill="FFFFFF"/>
            <w:tcMar>
              <w:top w:w="0" w:type="dxa"/>
              <w:left w:w="30" w:type="dxa"/>
              <w:bottom w:w="0" w:type="dxa"/>
              <w:right w:w="30" w:type="dxa"/>
            </w:tcMar>
            <w:vAlign w:val="center"/>
          </w:tcPr>
          <w:p w:rsidR="00166AE3" w:rsidRDefault="00DF6D1C">
            <w:pPr>
              <w:spacing w:line="579" w:lineRule="exac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无</w:t>
            </w:r>
          </w:p>
        </w:tc>
      </w:tr>
      <w:tr w:rsidR="00166AE3">
        <w:tc>
          <w:tcPr>
            <w:tcW w:w="1696" w:type="dxa"/>
            <w:shd w:val="clear" w:color="auto" w:fill="FFFFFF"/>
            <w:tcMar>
              <w:top w:w="0" w:type="dxa"/>
              <w:left w:w="30" w:type="dxa"/>
              <w:bottom w:w="0" w:type="dxa"/>
              <w:right w:w="30" w:type="dxa"/>
            </w:tcMar>
            <w:vAlign w:val="center"/>
          </w:tcPr>
          <w:p w:rsidR="00166AE3" w:rsidRDefault="00DF6D1C">
            <w:pPr>
              <w:spacing w:line="579" w:lineRule="exac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日期</w:t>
            </w:r>
          </w:p>
        </w:tc>
        <w:tc>
          <w:tcPr>
            <w:tcW w:w="8364" w:type="dxa"/>
            <w:shd w:val="clear" w:color="auto" w:fill="FFFFFF"/>
            <w:tcMar>
              <w:top w:w="0" w:type="dxa"/>
              <w:left w:w="30" w:type="dxa"/>
              <w:bottom w:w="0" w:type="dxa"/>
              <w:right w:w="30" w:type="dxa"/>
            </w:tcMar>
            <w:vAlign w:val="center"/>
          </w:tcPr>
          <w:p w:rsidR="00166AE3" w:rsidRDefault="00DF6D1C" w:rsidP="009F6661">
            <w:pPr>
              <w:spacing w:line="579" w:lineRule="exac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202</w:t>
            </w:r>
            <w:r w:rsidR="005E1E67">
              <w:rPr>
                <w:rFonts w:ascii="宋体" w:eastAsia="宋体" w:hAnsi="宋体" w:cs="宋体" w:hint="eastAsia"/>
                <w:color w:val="333333"/>
                <w:kern w:val="0"/>
                <w:sz w:val="24"/>
                <w:szCs w:val="24"/>
              </w:rPr>
              <w:t>4</w:t>
            </w:r>
            <w:r>
              <w:rPr>
                <w:rFonts w:ascii="宋体" w:eastAsia="宋体" w:hAnsi="宋体" w:cs="宋体" w:hint="eastAsia"/>
                <w:color w:val="333333"/>
                <w:kern w:val="0"/>
                <w:sz w:val="24"/>
                <w:szCs w:val="24"/>
              </w:rPr>
              <w:t>年</w:t>
            </w:r>
            <w:r w:rsidR="009F6661">
              <w:rPr>
                <w:rFonts w:ascii="宋体" w:eastAsia="宋体" w:hAnsi="宋体" w:cs="宋体" w:hint="eastAsia"/>
                <w:color w:val="333333"/>
                <w:kern w:val="0"/>
                <w:sz w:val="24"/>
                <w:szCs w:val="24"/>
              </w:rPr>
              <w:t>9</w:t>
            </w:r>
            <w:r>
              <w:rPr>
                <w:rFonts w:ascii="宋体" w:eastAsia="宋体" w:hAnsi="宋体" w:cs="宋体" w:hint="eastAsia"/>
                <w:color w:val="333333"/>
                <w:kern w:val="0"/>
                <w:sz w:val="24"/>
                <w:szCs w:val="24"/>
              </w:rPr>
              <w:t>月</w:t>
            </w:r>
            <w:r w:rsidR="009F6661">
              <w:rPr>
                <w:rFonts w:ascii="宋体" w:eastAsia="宋体" w:hAnsi="宋体" w:cs="宋体" w:hint="eastAsia"/>
                <w:color w:val="333333"/>
                <w:kern w:val="0"/>
                <w:sz w:val="24"/>
                <w:szCs w:val="24"/>
              </w:rPr>
              <w:t>6</w:t>
            </w:r>
            <w:r>
              <w:rPr>
                <w:rFonts w:ascii="宋体" w:eastAsia="宋体" w:hAnsi="宋体" w:cs="宋体" w:hint="eastAsia"/>
                <w:color w:val="333333"/>
                <w:kern w:val="0"/>
                <w:sz w:val="24"/>
                <w:szCs w:val="24"/>
              </w:rPr>
              <w:t>日</w:t>
            </w:r>
          </w:p>
        </w:tc>
      </w:tr>
    </w:tbl>
    <w:p w:rsidR="00166AE3" w:rsidRDefault="00166AE3">
      <w:pPr>
        <w:spacing w:line="579" w:lineRule="exact"/>
      </w:pPr>
    </w:p>
    <w:p w:rsidR="00166AE3" w:rsidRDefault="00166AE3">
      <w:pPr>
        <w:spacing w:line="579" w:lineRule="exact"/>
      </w:pPr>
    </w:p>
    <w:p w:rsidR="00166AE3" w:rsidRDefault="00166AE3">
      <w:pPr>
        <w:spacing w:line="579" w:lineRule="exact"/>
      </w:pPr>
    </w:p>
    <w:sectPr w:rsidR="00166AE3">
      <w:head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4C8" w:rsidRDefault="00CF74C8">
      <w:r>
        <w:separator/>
      </w:r>
    </w:p>
  </w:endnote>
  <w:endnote w:type="continuationSeparator" w:id="0">
    <w:p w:rsidR="00CF74C8" w:rsidRDefault="00CF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4C8" w:rsidRDefault="00CF74C8">
      <w:r>
        <w:separator/>
      </w:r>
    </w:p>
  </w:footnote>
  <w:footnote w:type="continuationSeparator" w:id="0">
    <w:p w:rsidR="00CF74C8" w:rsidRDefault="00CF7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AE3" w:rsidRDefault="00166AE3">
    <w:pPr>
      <w:pStyle w:val="a5"/>
    </w:pPr>
  </w:p>
  <w:p w:rsidR="00166AE3" w:rsidRDefault="00166AE3">
    <w:pPr>
      <w:pStyle w:val="a5"/>
    </w:pPr>
  </w:p>
  <w:p w:rsidR="00166AE3" w:rsidRDefault="00DF6D1C">
    <w:pPr>
      <w:pStyle w:val="a5"/>
      <w:rPr>
        <w:rFonts w:ascii="仿宋_GB2312" w:eastAsia="仿宋_GB2312"/>
        <w:sz w:val="21"/>
        <w:szCs w:val="21"/>
      </w:rPr>
    </w:pPr>
    <w:r>
      <w:rPr>
        <w:rFonts w:ascii="仿宋_GB2312" w:eastAsia="仿宋_GB2312" w:hint="eastAsia"/>
        <w:sz w:val="21"/>
        <w:szCs w:val="21"/>
      </w:rPr>
      <w:t xml:space="preserve">公司代码：600807                   </w:t>
    </w:r>
    <w:r>
      <w:rPr>
        <w:rFonts w:ascii="仿宋_GB2312" w:eastAsia="仿宋_GB2312"/>
        <w:sz w:val="21"/>
        <w:szCs w:val="21"/>
      </w:rPr>
      <w:t xml:space="preserve">           </w:t>
    </w:r>
    <w:r>
      <w:rPr>
        <w:rFonts w:ascii="仿宋_GB2312" w:eastAsia="仿宋_GB2312" w:hint="eastAsia"/>
        <w:sz w:val="21"/>
        <w:szCs w:val="21"/>
      </w:rPr>
      <w:t xml:space="preserve">                    公司简称：济南高新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N2E0Y2I0ZTJlODk5Y2RhODlkMjUzMDYyMTc1NTEifQ=="/>
  </w:docVars>
  <w:rsids>
    <w:rsidRoot w:val="00AA6338"/>
    <w:rsid w:val="0002263D"/>
    <w:rsid w:val="00033263"/>
    <w:rsid w:val="00063B3D"/>
    <w:rsid w:val="000A22E7"/>
    <w:rsid w:val="000D66E3"/>
    <w:rsid w:val="000F144D"/>
    <w:rsid w:val="001004E1"/>
    <w:rsid w:val="00131D1F"/>
    <w:rsid w:val="00166AE3"/>
    <w:rsid w:val="001749B9"/>
    <w:rsid w:val="001754AC"/>
    <w:rsid w:val="00192BBC"/>
    <w:rsid w:val="001C74EA"/>
    <w:rsid w:val="001D6A44"/>
    <w:rsid w:val="001E5CA6"/>
    <w:rsid w:val="001F1F7B"/>
    <w:rsid w:val="00201CF4"/>
    <w:rsid w:val="00214A0B"/>
    <w:rsid w:val="002167C1"/>
    <w:rsid w:val="00224F14"/>
    <w:rsid w:val="00225F91"/>
    <w:rsid w:val="00253511"/>
    <w:rsid w:val="002538A2"/>
    <w:rsid w:val="00283D9E"/>
    <w:rsid w:val="002901A4"/>
    <w:rsid w:val="002A6E7E"/>
    <w:rsid w:val="002D1AEB"/>
    <w:rsid w:val="003152D3"/>
    <w:rsid w:val="003525E8"/>
    <w:rsid w:val="003567E9"/>
    <w:rsid w:val="0036148B"/>
    <w:rsid w:val="00374262"/>
    <w:rsid w:val="003A5A81"/>
    <w:rsid w:val="003F6C08"/>
    <w:rsid w:val="003F7473"/>
    <w:rsid w:val="004239AF"/>
    <w:rsid w:val="00466765"/>
    <w:rsid w:val="00475528"/>
    <w:rsid w:val="00493D40"/>
    <w:rsid w:val="004A3DD9"/>
    <w:rsid w:val="004E393D"/>
    <w:rsid w:val="004E76E9"/>
    <w:rsid w:val="004F489D"/>
    <w:rsid w:val="004F4A8D"/>
    <w:rsid w:val="00514BA0"/>
    <w:rsid w:val="005264B5"/>
    <w:rsid w:val="00527CE0"/>
    <w:rsid w:val="00544E16"/>
    <w:rsid w:val="00585AB3"/>
    <w:rsid w:val="00593C81"/>
    <w:rsid w:val="0059446F"/>
    <w:rsid w:val="005C0F01"/>
    <w:rsid w:val="005E1E67"/>
    <w:rsid w:val="005E53A4"/>
    <w:rsid w:val="005E74FF"/>
    <w:rsid w:val="006205D8"/>
    <w:rsid w:val="006268C3"/>
    <w:rsid w:val="00633922"/>
    <w:rsid w:val="00640C80"/>
    <w:rsid w:val="006A2560"/>
    <w:rsid w:val="006C6778"/>
    <w:rsid w:val="006D4BD5"/>
    <w:rsid w:val="006E5D89"/>
    <w:rsid w:val="006E7440"/>
    <w:rsid w:val="006F7333"/>
    <w:rsid w:val="00705392"/>
    <w:rsid w:val="00714F5B"/>
    <w:rsid w:val="00717DD5"/>
    <w:rsid w:val="007525D7"/>
    <w:rsid w:val="007715B5"/>
    <w:rsid w:val="007800F6"/>
    <w:rsid w:val="007944F0"/>
    <w:rsid w:val="00795CCE"/>
    <w:rsid w:val="007A2CEA"/>
    <w:rsid w:val="00877473"/>
    <w:rsid w:val="0089293B"/>
    <w:rsid w:val="008F40B5"/>
    <w:rsid w:val="00961DF7"/>
    <w:rsid w:val="00984B5F"/>
    <w:rsid w:val="009907D0"/>
    <w:rsid w:val="00996380"/>
    <w:rsid w:val="009B4CBA"/>
    <w:rsid w:val="009C5C8E"/>
    <w:rsid w:val="009D6AE9"/>
    <w:rsid w:val="009D7F95"/>
    <w:rsid w:val="009F6661"/>
    <w:rsid w:val="00A0032A"/>
    <w:rsid w:val="00A13ABF"/>
    <w:rsid w:val="00A1746E"/>
    <w:rsid w:val="00A26262"/>
    <w:rsid w:val="00A26839"/>
    <w:rsid w:val="00A40374"/>
    <w:rsid w:val="00A61165"/>
    <w:rsid w:val="00A66914"/>
    <w:rsid w:val="00A700E1"/>
    <w:rsid w:val="00A74AF4"/>
    <w:rsid w:val="00AA38A7"/>
    <w:rsid w:val="00AA6338"/>
    <w:rsid w:val="00AC720F"/>
    <w:rsid w:val="00AD5980"/>
    <w:rsid w:val="00AF0FEB"/>
    <w:rsid w:val="00B40FEA"/>
    <w:rsid w:val="00B52CC9"/>
    <w:rsid w:val="00B74A8C"/>
    <w:rsid w:val="00B75AC5"/>
    <w:rsid w:val="00B83CB3"/>
    <w:rsid w:val="00B95EE8"/>
    <w:rsid w:val="00BA38CE"/>
    <w:rsid w:val="00BC6168"/>
    <w:rsid w:val="00BD4D0D"/>
    <w:rsid w:val="00BE3AFB"/>
    <w:rsid w:val="00BF5863"/>
    <w:rsid w:val="00C056A9"/>
    <w:rsid w:val="00C40048"/>
    <w:rsid w:val="00C55E38"/>
    <w:rsid w:val="00C65C65"/>
    <w:rsid w:val="00C87362"/>
    <w:rsid w:val="00CA7872"/>
    <w:rsid w:val="00CC702A"/>
    <w:rsid w:val="00CF74C8"/>
    <w:rsid w:val="00D07C17"/>
    <w:rsid w:val="00D12906"/>
    <w:rsid w:val="00D131CD"/>
    <w:rsid w:val="00D41B8F"/>
    <w:rsid w:val="00D62DF2"/>
    <w:rsid w:val="00D82460"/>
    <w:rsid w:val="00D83DD4"/>
    <w:rsid w:val="00D9427E"/>
    <w:rsid w:val="00DD3317"/>
    <w:rsid w:val="00DE581A"/>
    <w:rsid w:val="00DF6D1C"/>
    <w:rsid w:val="00E04E39"/>
    <w:rsid w:val="00E16EBE"/>
    <w:rsid w:val="00E20470"/>
    <w:rsid w:val="00E91460"/>
    <w:rsid w:val="00EC55E3"/>
    <w:rsid w:val="00EF2766"/>
    <w:rsid w:val="00EF453D"/>
    <w:rsid w:val="00F073B1"/>
    <w:rsid w:val="00F12533"/>
    <w:rsid w:val="00F23B56"/>
    <w:rsid w:val="00F63EA1"/>
    <w:rsid w:val="00F74C2F"/>
    <w:rsid w:val="00F84494"/>
    <w:rsid w:val="00F947A9"/>
    <w:rsid w:val="00F96413"/>
    <w:rsid w:val="00FA28FA"/>
    <w:rsid w:val="00FC50E2"/>
    <w:rsid w:val="0B03782A"/>
    <w:rsid w:val="3EAE6331"/>
    <w:rsid w:val="3F7A1450"/>
    <w:rsid w:val="473A62C8"/>
    <w:rsid w:val="4F956D36"/>
    <w:rsid w:val="580E2B6A"/>
    <w:rsid w:val="676A4E34"/>
    <w:rsid w:val="7FB25C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table" w:styleId="a8">
    <w:name w:val="Table Grid"/>
    <w:basedOn w:val="a1"/>
    <w:rsid w:val="009B4CB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table" w:styleId="a8">
    <w:name w:val="Table Grid"/>
    <w:basedOn w:val="a1"/>
    <w:rsid w:val="009B4CB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676</Words>
  <Characters>3859</Characters>
  <Application>Microsoft Office Word</Application>
  <DocSecurity>0</DocSecurity>
  <Lines>32</Lines>
  <Paragraphs>9</Paragraphs>
  <ScaleCrop>false</ScaleCrop>
  <Company>P R C</Company>
  <LinksUpToDate>false</LinksUpToDate>
  <CharactersWithSpaces>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陆明辉</dc:creator>
  <cp:lastModifiedBy>A</cp:lastModifiedBy>
  <cp:revision>121</cp:revision>
  <cp:lastPrinted>2024-05-29T06:14:00Z</cp:lastPrinted>
  <dcterms:created xsi:type="dcterms:W3CDTF">2022-10-24T07:02:00Z</dcterms:created>
  <dcterms:modified xsi:type="dcterms:W3CDTF">2024-09-06T08:36:00Z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517BDDFF07944EBE98C83002E88B35B8</vt:lpwstr>
  </property>
</Properties>
</file>