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83865">
      <w:pPr>
        <w:spacing w:line="576" w:lineRule="exact"/>
        <w:jc w:val="center"/>
        <w:rPr>
          <w:rFonts w:ascii="Times New Roman" w:hAnsi="Times New Roman" w:eastAsia="黑体" w:cs="Times New Roman"/>
          <w:sz w:val="36"/>
          <w:szCs w:val="36"/>
        </w:rPr>
      </w:pPr>
      <w:r>
        <w:rPr>
          <w:rFonts w:hint="eastAsia" w:ascii="Times New Roman" w:hAnsi="Times New Roman" w:eastAsia="黑体" w:cs="Times New Roman"/>
          <w:sz w:val="36"/>
          <w:szCs w:val="36"/>
        </w:rPr>
        <w:t>四川明星电力股份有限</w:t>
      </w:r>
      <w:r>
        <w:rPr>
          <w:rFonts w:ascii="Times New Roman" w:hAnsi="Times New Roman" w:eastAsia="黑体" w:cs="Times New Roman"/>
          <w:sz w:val="36"/>
          <w:szCs w:val="36"/>
        </w:rPr>
        <w:t>公司</w:t>
      </w:r>
    </w:p>
    <w:p w14:paraId="4BDA5162">
      <w:pPr>
        <w:spacing w:after="156" w:afterLines="50" w:line="576" w:lineRule="exact"/>
        <w:jc w:val="center"/>
        <w:rPr>
          <w:rFonts w:ascii="Times New Roman" w:hAnsi="Times New Roman" w:eastAsia="黑体" w:cs="Times New Roman"/>
          <w:sz w:val="36"/>
          <w:szCs w:val="36"/>
        </w:rPr>
      </w:pPr>
      <w:r>
        <w:rPr>
          <w:rFonts w:ascii="Times New Roman" w:hAnsi="Times New Roman" w:eastAsia="黑体" w:cs="Times New Roman"/>
          <w:sz w:val="36"/>
          <w:szCs w:val="36"/>
        </w:rPr>
        <w:t>投资者关系活动记录表</w:t>
      </w:r>
    </w:p>
    <w:tbl>
      <w:tblPr>
        <w:tblStyle w:val="6"/>
        <w:tblW w:w="8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7250"/>
      </w:tblGrid>
      <w:tr w14:paraId="6979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72" w:type="dxa"/>
            <w:vAlign w:val="center"/>
          </w:tcPr>
          <w:p w14:paraId="112BDA2C">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投资者关系活动类别</w:t>
            </w:r>
          </w:p>
        </w:tc>
        <w:tc>
          <w:tcPr>
            <w:tcW w:w="7250" w:type="dxa"/>
            <w:vAlign w:val="center"/>
          </w:tcPr>
          <w:p w14:paraId="6A89078E">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 xml:space="preserve">√特定对象调研       □分析师会议       □媒体采访   </w:t>
            </w:r>
          </w:p>
          <w:p w14:paraId="6144D506">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 xml:space="preserve">□新闻发布会         □现场参观         □业绩说明会  </w:t>
            </w:r>
          </w:p>
          <w:p w14:paraId="54D64C42">
            <w:pPr>
              <w:spacing w:line="360" w:lineRule="auto"/>
              <w:rPr>
                <w:rFonts w:ascii="宋体" w:hAnsi="宋体" w:eastAsia="宋体" w:cs="宋体"/>
                <w:color w:val="auto"/>
                <w:kern w:val="0"/>
                <w:sz w:val="20"/>
                <w:szCs w:val="21"/>
              </w:rPr>
            </w:pPr>
            <w:r>
              <w:rPr>
                <w:rFonts w:hint="eastAsia" w:ascii="宋体" w:hAnsi="宋体" w:eastAsia="宋体" w:cs="宋体"/>
                <w:color w:val="auto"/>
                <w:kern w:val="0"/>
                <w:sz w:val="20"/>
                <w:szCs w:val="21"/>
              </w:rPr>
              <w:t>□现金分红说明会     □业绩暨现金分红说明会</w:t>
            </w:r>
          </w:p>
          <w:p w14:paraId="4777EB7F">
            <w:pPr>
              <w:spacing w:line="360" w:lineRule="auto"/>
              <w:rPr>
                <w:rFonts w:ascii="Times New Roman" w:hAnsi="Times New Roman" w:eastAsia="宋体" w:cs="Times New Roman"/>
                <w:color w:val="auto"/>
                <w:kern w:val="0"/>
                <w:sz w:val="20"/>
                <w:szCs w:val="21"/>
              </w:rPr>
            </w:pPr>
            <w:r>
              <w:rPr>
                <w:rFonts w:hint="eastAsia" w:ascii="宋体" w:hAnsi="宋体" w:eastAsia="宋体" w:cs="宋体"/>
                <w:color w:val="auto"/>
                <w:kern w:val="0"/>
                <w:sz w:val="20"/>
                <w:szCs w:val="21"/>
              </w:rPr>
              <w:t>□其他</w:t>
            </w:r>
          </w:p>
        </w:tc>
      </w:tr>
      <w:tr w14:paraId="347E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672" w:type="dxa"/>
            <w:vAlign w:val="center"/>
          </w:tcPr>
          <w:p w14:paraId="67267A5C">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活动</w:t>
            </w:r>
          </w:p>
          <w:p w14:paraId="3455E165">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名称</w:t>
            </w:r>
          </w:p>
        </w:tc>
        <w:tc>
          <w:tcPr>
            <w:tcW w:w="7250" w:type="dxa"/>
            <w:vAlign w:val="center"/>
          </w:tcPr>
          <w:p w14:paraId="24A3B64A">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机构调研线上交流会</w:t>
            </w:r>
          </w:p>
        </w:tc>
      </w:tr>
      <w:tr w14:paraId="4810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672" w:type="dxa"/>
            <w:vAlign w:val="center"/>
          </w:tcPr>
          <w:p w14:paraId="324C5D8C">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活动</w:t>
            </w:r>
          </w:p>
          <w:p w14:paraId="0E0055A0">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方式</w:t>
            </w:r>
          </w:p>
        </w:tc>
        <w:tc>
          <w:tcPr>
            <w:tcW w:w="7250" w:type="dxa"/>
            <w:vAlign w:val="center"/>
          </w:tcPr>
          <w:p w14:paraId="71C2C4ED">
            <w:pPr>
              <w:spacing w:line="360" w:lineRule="auto"/>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线上会议</w:t>
            </w:r>
          </w:p>
        </w:tc>
      </w:tr>
      <w:tr w14:paraId="3C46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672" w:type="dxa"/>
            <w:vAlign w:val="center"/>
          </w:tcPr>
          <w:p w14:paraId="5619F703">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参与单位名称及人员</w:t>
            </w:r>
          </w:p>
        </w:tc>
        <w:tc>
          <w:tcPr>
            <w:tcW w:w="7250" w:type="dxa"/>
            <w:vAlign w:val="center"/>
          </w:tcPr>
          <w:p w14:paraId="29AA6ED4">
            <w:pPr>
              <w:spacing w:line="360" w:lineRule="auto"/>
              <w:rPr>
                <w:rFonts w:hint="default" w:ascii="Times New Roman" w:hAnsi="Times New Roman" w:eastAsia="宋体" w:cs="Times New Roman"/>
                <w:color w:val="auto"/>
                <w:kern w:val="0"/>
                <w:sz w:val="20"/>
                <w:szCs w:val="21"/>
                <w:lang w:val="en-US" w:eastAsia="zh-CN"/>
              </w:rPr>
            </w:pPr>
            <w:r>
              <w:rPr>
                <w:rFonts w:hint="eastAsia" w:ascii="Times New Roman" w:hAnsi="Times New Roman" w:eastAsia="宋体" w:cs="Times New Roman"/>
                <w:bCs/>
                <w:color w:val="auto"/>
                <w:kern w:val="0"/>
                <w:sz w:val="20"/>
                <w:szCs w:val="21"/>
                <w:lang w:val="en-US" w:eastAsia="zh-CN"/>
              </w:rPr>
              <w:t>开源</w:t>
            </w:r>
            <w:r>
              <w:rPr>
                <w:rFonts w:hint="eastAsia" w:ascii="Times New Roman" w:hAnsi="Times New Roman" w:eastAsia="宋体" w:cs="Times New Roman"/>
                <w:bCs/>
                <w:color w:val="auto"/>
                <w:kern w:val="0"/>
                <w:sz w:val="20"/>
                <w:szCs w:val="21"/>
              </w:rPr>
              <w:t>证券</w:t>
            </w:r>
            <w:r>
              <w:rPr>
                <w:rFonts w:hint="eastAsia" w:ascii="Times New Roman" w:hAnsi="Times New Roman" w:eastAsia="宋体" w:cs="Times New Roman"/>
                <w:bCs/>
                <w:color w:val="auto"/>
                <w:kern w:val="0"/>
                <w:sz w:val="20"/>
                <w:szCs w:val="21"/>
                <w:lang w:val="en-US" w:eastAsia="zh-CN"/>
              </w:rPr>
              <w:t xml:space="preserve">  周</w:t>
            </w:r>
            <w:bookmarkStart w:id="0" w:name="_GoBack"/>
            <w:bookmarkEnd w:id="0"/>
            <w:r>
              <w:rPr>
                <w:rFonts w:hint="eastAsia" w:ascii="Times New Roman" w:hAnsi="Times New Roman" w:eastAsia="宋体" w:cs="Times New Roman"/>
                <w:bCs/>
                <w:color w:val="auto"/>
                <w:kern w:val="0"/>
                <w:sz w:val="20"/>
                <w:szCs w:val="21"/>
                <w:lang w:val="en-US" w:eastAsia="zh-CN"/>
              </w:rPr>
              <w:t>磊</w:t>
            </w:r>
          </w:p>
        </w:tc>
      </w:tr>
      <w:tr w14:paraId="77B3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672" w:type="dxa"/>
            <w:vAlign w:val="center"/>
          </w:tcPr>
          <w:p w14:paraId="1E41CFDE">
            <w:pPr>
              <w:spacing w:line="360"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时间</w:t>
            </w:r>
          </w:p>
        </w:tc>
        <w:tc>
          <w:tcPr>
            <w:tcW w:w="7250" w:type="dxa"/>
            <w:vAlign w:val="center"/>
          </w:tcPr>
          <w:p w14:paraId="606AF211">
            <w:pPr>
              <w:spacing w:line="360" w:lineRule="auto"/>
              <w:jc w:val="left"/>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2024年</w:t>
            </w:r>
            <w:r>
              <w:rPr>
                <w:rFonts w:hint="eastAsia" w:ascii="Times New Roman" w:hAnsi="Times New Roman" w:eastAsia="宋体" w:cs="Times New Roman"/>
                <w:color w:val="auto"/>
                <w:kern w:val="0"/>
                <w:sz w:val="20"/>
                <w:szCs w:val="21"/>
                <w:lang w:val="en-US" w:eastAsia="zh-CN"/>
              </w:rPr>
              <w:t>9</w:t>
            </w:r>
            <w:r>
              <w:rPr>
                <w:rFonts w:hint="eastAsia" w:ascii="Times New Roman" w:hAnsi="Times New Roman" w:eastAsia="宋体" w:cs="Times New Roman"/>
                <w:color w:val="auto"/>
                <w:kern w:val="0"/>
                <w:sz w:val="20"/>
                <w:szCs w:val="21"/>
              </w:rPr>
              <w:t>月</w:t>
            </w:r>
            <w:r>
              <w:rPr>
                <w:rFonts w:hint="eastAsia" w:ascii="Times New Roman" w:hAnsi="Times New Roman" w:eastAsia="宋体" w:cs="Times New Roman"/>
                <w:color w:val="auto"/>
                <w:kern w:val="0"/>
                <w:sz w:val="20"/>
                <w:szCs w:val="21"/>
                <w:lang w:val="en-US" w:eastAsia="zh-CN"/>
              </w:rPr>
              <w:t>10</w:t>
            </w:r>
            <w:r>
              <w:rPr>
                <w:rFonts w:hint="eastAsia" w:ascii="Times New Roman" w:hAnsi="Times New Roman" w:eastAsia="宋体" w:cs="Times New Roman"/>
                <w:color w:val="auto"/>
                <w:kern w:val="0"/>
                <w:sz w:val="20"/>
                <w:szCs w:val="21"/>
              </w:rPr>
              <w:t xml:space="preserve">日 </w:t>
            </w:r>
            <w:r>
              <w:rPr>
                <w:rFonts w:hint="eastAsia" w:ascii="Times New Roman" w:hAnsi="Times New Roman" w:eastAsia="宋体" w:cs="Times New Roman"/>
                <w:color w:val="auto"/>
                <w:kern w:val="0"/>
                <w:sz w:val="20"/>
                <w:szCs w:val="21"/>
                <w:lang w:val="en-US" w:eastAsia="zh-CN"/>
              </w:rPr>
              <w:t>14</w:t>
            </w:r>
            <w:r>
              <w:rPr>
                <w:rFonts w:hint="eastAsia" w:ascii="Times New Roman" w:hAnsi="Times New Roman" w:eastAsia="宋体" w:cs="Times New Roman"/>
                <w:color w:val="auto"/>
                <w:kern w:val="0"/>
                <w:sz w:val="20"/>
                <w:szCs w:val="21"/>
              </w:rPr>
              <w:t>:</w:t>
            </w:r>
            <w:r>
              <w:rPr>
                <w:rFonts w:hint="eastAsia" w:ascii="Times New Roman" w:hAnsi="Times New Roman" w:eastAsia="宋体" w:cs="Times New Roman"/>
                <w:color w:val="auto"/>
                <w:kern w:val="0"/>
                <w:sz w:val="20"/>
                <w:szCs w:val="21"/>
                <w:lang w:val="en-US" w:eastAsia="zh-CN"/>
              </w:rPr>
              <w:t>0</w:t>
            </w:r>
            <w:r>
              <w:rPr>
                <w:rFonts w:hint="eastAsia" w:ascii="Times New Roman" w:hAnsi="Times New Roman" w:eastAsia="宋体" w:cs="Times New Roman"/>
                <w:color w:val="auto"/>
                <w:kern w:val="0"/>
                <w:sz w:val="20"/>
                <w:szCs w:val="21"/>
              </w:rPr>
              <w:t>0-1</w:t>
            </w:r>
            <w:r>
              <w:rPr>
                <w:rFonts w:hint="eastAsia" w:ascii="Times New Roman" w:hAnsi="Times New Roman" w:eastAsia="宋体" w:cs="Times New Roman"/>
                <w:color w:val="auto"/>
                <w:kern w:val="0"/>
                <w:sz w:val="20"/>
                <w:szCs w:val="21"/>
                <w:lang w:val="en-US" w:eastAsia="zh-CN"/>
              </w:rPr>
              <w:t>5</w:t>
            </w:r>
            <w:r>
              <w:rPr>
                <w:rFonts w:hint="eastAsia" w:ascii="Times New Roman" w:hAnsi="Times New Roman" w:eastAsia="宋体" w:cs="Times New Roman"/>
                <w:color w:val="auto"/>
                <w:kern w:val="0"/>
                <w:sz w:val="20"/>
                <w:szCs w:val="21"/>
              </w:rPr>
              <w:t>:</w:t>
            </w:r>
            <w:r>
              <w:rPr>
                <w:rFonts w:hint="eastAsia" w:ascii="Times New Roman" w:hAnsi="Times New Roman" w:eastAsia="宋体" w:cs="Times New Roman"/>
                <w:color w:val="auto"/>
                <w:kern w:val="0"/>
                <w:sz w:val="20"/>
                <w:szCs w:val="21"/>
                <w:lang w:val="en-US" w:eastAsia="zh-CN"/>
              </w:rPr>
              <w:t>0</w:t>
            </w:r>
            <w:r>
              <w:rPr>
                <w:rFonts w:hint="eastAsia" w:ascii="Times New Roman" w:hAnsi="Times New Roman" w:eastAsia="宋体" w:cs="Times New Roman"/>
                <w:color w:val="auto"/>
                <w:kern w:val="0"/>
                <w:sz w:val="20"/>
                <w:szCs w:val="21"/>
              </w:rPr>
              <w:t>0</w:t>
            </w:r>
          </w:p>
        </w:tc>
      </w:tr>
      <w:tr w14:paraId="1F238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72" w:type="dxa"/>
            <w:vAlign w:val="center"/>
          </w:tcPr>
          <w:p w14:paraId="47B7952D">
            <w:pPr>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地点</w:t>
            </w:r>
          </w:p>
        </w:tc>
        <w:tc>
          <w:tcPr>
            <w:tcW w:w="7250" w:type="dxa"/>
            <w:vAlign w:val="center"/>
          </w:tcPr>
          <w:p w14:paraId="74104E2A">
            <w:pPr>
              <w:adjustRightInd w:val="0"/>
              <w:snapToGrid w:val="0"/>
              <w:rPr>
                <w:rFonts w:ascii="Times New Roman" w:hAnsi="Times New Roman" w:eastAsia="宋体" w:cs="Times New Roman"/>
                <w:color w:val="auto"/>
                <w:kern w:val="0"/>
                <w:sz w:val="20"/>
                <w:szCs w:val="21"/>
              </w:rPr>
            </w:pPr>
            <w:r>
              <w:rPr>
                <w:rFonts w:hint="eastAsia" w:ascii="Times New Roman" w:hAnsi="Times New Roman" w:eastAsia="宋体" w:cs="Times New Roman"/>
                <w:color w:val="auto"/>
                <w:kern w:val="0"/>
                <w:sz w:val="20"/>
                <w:szCs w:val="21"/>
              </w:rPr>
              <w:t>线上会议</w:t>
            </w:r>
          </w:p>
        </w:tc>
      </w:tr>
      <w:tr w14:paraId="5BCC9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672" w:type="dxa"/>
            <w:vAlign w:val="center"/>
          </w:tcPr>
          <w:p w14:paraId="375C8D4A">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公司接待人员</w:t>
            </w:r>
          </w:p>
        </w:tc>
        <w:tc>
          <w:tcPr>
            <w:tcW w:w="7250" w:type="dxa"/>
            <w:vAlign w:val="center"/>
          </w:tcPr>
          <w:p w14:paraId="606DD3BC">
            <w:pPr>
              <w:spacing w:line="400" w:lineRule="exact"/>
              <w:jc w:val="left"/>
              <w:rPr>
                <w:rFonts w:ascii="Times New Roman" w:hAnsi="Times New Roman" w:eastAsia="宋体" w:cs="Times New Roman"/>
                <w:bCs/>
                <w:color w:val="auto"/>
                <w:kern w:val="0"/>
                <w:sz w:val="20"/>
                <w:szCs w:val="21"/>
              </w:rPr>
            </w:pPr>
            <w:r>
              <w:rPr>
                <w:rFonts w:hint="eastAsia" w:ascii="Times New Roman" w:hAnsi="Times New Roman" w:eastAsia="宋体" w:cs="Times New Roman"/>
                <w:bCs/>
                <w:color w:val="auto"/>
                <w:kern w:val="0"/>
                <w:sz w:val="20"/>
                <w:szCs w:val="21"/>
              </w:rPr>
              <w:t>副总经理、董事会秘书：杨大申先生</w:t>
            </w:r>
          </w:p>
          <w:p w14:paraId="633719AB">
            <w:pPr>
              <w:spacing w:line="400" w:lineRule="exact"/>
              <w:jc w:val="left"/>
              <w:rPr>
                <w:rFonts w:ascii="Times New Roman" w:hAnsi="Times New Roman" w:eastAsia="宋体" w:cs="Times New Roman"/>
                <w:bCs/>
                <w:color w:val="auto"/>
                <w:kern w:val="0"/>
                <w:sz w:val="20"/>
                <w:szCs w:val="21"/>
              </w:rPr>
            </w:pPr>
            <w:r>
              <w:rPr>
                <w:rFonts w:hint="eastAsia" w:ascii="Times New Roman" w:hAnsi="Times New Roman" w:eastAsia="宋体" w:cs="Times New Roman"/>
                <w:bCs/>
                <w:color w:val="auto"/>
                <w:kern w:val="0"/>
                <w:sz w:val="20"/>
                <w:szCs w:val="21"/>
              </w:rPr>
              <w:t>公司相关部门负责人</w:t>
            </w:r>
          </w:p>
        </w:tc>
      </w:tr>
      <w:tr w14:paraId="24E4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672" w:type="dxa"/>
            <w:vAlign w:val="center"/>
          </w:tcPr>
          <w:p w14:paraId="67DE60B2">
            <w:pPr>
              <w:spacing w:line="288" w:lineRule="auto"/>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投资者关系活动主要内容介绍</w:t>
            </w:r>
          </w:p>
        </w:tc>
        <w:tc>
          <w:tcPr>
            <w:tcW w:w="7250" w:type="dxa"/>
            <w:vAlign w:val="center"/>
          </w:tcPr>
          <w:p w14:paraId="428CD340">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1.公司水电自发电量销售单价水平？</w:t>
            </w:r>
          </w:p>
          <w:p w14:paraId="37F0CD5E">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答：公司水电</w:t>
            </w:r>
            <w:r>
              <w:rPr>
                <w:rFonts w:hint="eastAsia" w:ascii="Times New Roman" w:hAnsi="Times New Roman" w:eastAsia="宋体" w:cs="Times New Roman"/>
                <w:color w:val="auto"/>
                <w:kern w:val="0"/>
                <w:sz w:val="20"/>
                <w:szCs w:val="20"/>
                <w:lang w:val="en-US" w:eastAsia="zh-CN"/>
              </w:rPr>
              <w:t>上网</w:t>
            </w:r>
            <w:r>
              <w:rPr>
                <w:rFonts w:hint="eastAsia" w:ascii="Times New Roman" w:hAnsi="Times New Roman" w:eastAsia="宋体" w:cs="Times New Roman"/>
                <w:color w:val="auto"/>
                <w:kern w:val="0"/>
                <w:sz w:val="20"/>
                <w:szCs w:val="20"/>
              </w:rPr>
              <w:t>自发电量主要在</w:t>
            </w:r>
            <w:r>
              <w:rPr>
                <w:rFonts w:hint="eastAsia" w:ascii="Times New Roman" w:hAnsi="Times New Roman" w:eastAsia="宋体" w:cs="Times New Roman"/>
                <w:color w:val="auto"/>
                <w:kern w:val="0"/>
                <w:sz w:val="20"/>
                <w:szCs w:val="20"/>
                <w:lang w:val="en-US" w:eastAsia="zh-CN"/>
              </w:rPr>
              <w:t>公司供区范围</w:t>
            </w:r>
            <w:r>
              <w:rPr>
                <w:rFonts w:hint="eastAsia" w:ascii="Times New Roman" w:hAnsi="Times New Roman" w:eastAsia="宋体" w:cs="Times New Roman"/>
                <w:color w:val="auto"/>
                <w:kern w:val="0"/>
                <w:sz w:val="20"/>
                <w:szCs w:val="20"/>
              </w:rPr>
              <w:t>内消纳，没有参与水电上网</w:t>
            </w:r>
            <w:r>
              <w:rPr>
                <w:rFonts w:hint="eastAsia" w:ascii="Times New Roman" w:hAnsi="Times New Roman" w:eastAsia="宋体" w:cs="Times New Roman"/>
                <w:color w:val="auto"/>
                <w:kern w:val="0"/>
                <w:sz w:val="20"/>
                <w:szCs w:val="20"/>
                <w:lang w:val="en-US" w:eastAsia="zh-CN"/>
              </w:rPr>
              <w:t>的市场化</w:t>
            </w:r>
            <w:r>
              <w:rPr>
                <w:rFonts w:hint="eastAsia" w:ascii="Times New Roman" w:hAnsi="Times New Roman" w:eastAsia="宋体" w:cs="Times New Roman"/>
                <w:color w:val="auto"/>
                <w:kern w:val="0"/>
                <w:sz w:val="20"/>
                <w:szCs w:val="20"/>
              </w:rPr>
              <w:t>交易。</w:t>
            </w:r>
          </w:p>
          <w:p w14:paraId="59376A5C">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2.公司从国网四川公司外购电的价格水平？</w:t>
            </w:r>
          </w:p>
          <w:p w14:paraId="67AD98DF">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答：公司与</w:t>
            </w:r>
            <w:r>
              <w:rPr>
                <w:rFonts w:hint="eastAsia" w:ascii="Times New Roman" w:hAnsi="Times New Roman" w:eastAsia="宋体" w:cs="Times New Roman"/>
                <w:color w:val="auto"/>
                <w:kern w:val="0"/>
                <w:sz w:val="20"/>
                <w:szCs w:val="20"/>
                <w:lang w:val="en-US" w:eastAsia="zh-CN"/>
              </w:rPr>
              <w:t>国网</w:t>
            </w:r>
            <w:r>
              <w:rPr>
                <w:rFonts w:hint="eastAsia" w:ascii="Times New Roman" w:hAnsi="Times New Roman" w:eastAsia="宋体" w:cs="Times New Roman"/>
                <w:color w:val="auto"/>
                <w:kern w:val="0"/>
                <w:sz w:val="20"/>
                <w:szCs w:val="20"/>
              </w:rPr>
              <w:t>四川省电力公司按</w:t>
            </w:r>
            <w:r>
              <w:rPr>
                <w:rFonts w:hint="eastAsia" w:ascii="Times New Roman" w:hAnsi="Times New Roman" w:eastAsia="宋体" w:cs="Times New Roman"/>
                <w:color w:val="auto"/>
                <w:kern w:val="0"/>
                <w:sz w:val="20"/>
                <w:szCs w:val="20"/>
                <w:highlight w:val="none"/>
              </w:rPr>
              <w:t>规定</w:t>
            </w:r>
            <w:r>
              <w:rPr>
                <w:rFonts w:hint="eastAsia" w:ascii="Times New Roman" w:hAnsi="Times New Roman" w:eastAsia="宋体" w:cs="Times New Roman"/>
                <w:color w:val="auto"/>
                <w:kern w:val="0"/>
                <w:sz w:val="20"/>
                <w:szCs w:val="20"/>
                <w:highlight w:val="none"/>
                <w:lang w:val="en-US" w:eastAsia="zh-CN"/>
              </w:rPr>
              <w:t>签订</w:t>
            </w:r>
            <w:r>
              <w:rPr>
                <w:rFonts w:hint="eastAsia" w:ascii="Times New Roman" w:hAnsi="Times New Roman" w:eastAsia="宋体" w:cs="Times New Roman"/>
                <w:color w:val="auto"/>
                <w:kern w:val="0"/>
                <w:sz w:val="20"/>
                <w:szCs w:val="20"/>
                <w:highlight w:val="none"/>
              </w:rPr>
              <w:t>了</w:t>
            </w:r>
            <w:r>
              <w:rPr>
                <w:rFonts w:hint="eastAsia" w:ascii="Times New Roman" w:hAnsi="Times New Roman" w:eastAsia="宋体" w:cs="Times New Roman"/>
                <w:color w:val="auto"/>
                <w:kern w:val="0"/>
                <w:sz w:val="20"/>
                <w:szCs w:val="20"/>
                <w:highlight w:val="none"/>
                <w:lang w:val="en-US" w:eastAsia="zh-CN"/>
              </w:rPr>
              <w:t>购电协议</w:t>
            </w:r>
            <w:r>
              <w:rPr>
                <w:rFonts w:hint="eastAsia" w:ascii="Times New Roman" w:hAnsi="Times New Roman" w:eastAsia="宋体" w:cs="Times New Roman"/>
                <w:color w:val="auto"/>
                <w:kern w:val="0"/>
                <w:sz w:val="20"/>
                <w:szCs w:val="20"/>
                <w:highlight w:val="none"/>
              </w:rPr>
              <w:t>，建立了正常的电量</w:t>
            </w:r>
            <w:r>
              <w:rPr>
                <w:rFonts w:hint="eastAsia" w:ascii="Times New Roman" w:hAnsi="Times New Roman" w:eastAsia="宋体" w:cs="Times New Roman"/>
                <w:color w:val="auto"/>
                <w:kern w:val="0"/>
                <w:sz w:val="20"/>
                <w:szCs w:val="20"/>
                <w:highlight w:val="none"/>
                <w:lang w:val="en-US" w:eastAsia="zh-CN"/>
              </w:rPr>
              <w:t>购售</w:t>
            </w:r>
            <w:r>
              <w:rPr>
                <w:rFonts w:hint="eastAsia" w:ascii="Times New Roman" w:hAnsi="Times New Roman" w:eastAsia="宋体" w:cs="Times New Roman"/>
                <w:color w:val="auto"/>
                <w:kern w:val="0"/>
                <w:sz w:val="20"/>
                <w:szCs w:val="20"/>
                <w:highlight w:val="none"/>
              </w:rPr>
              <w:t>关系，结算电价按国家相关电价政策执行。</w:t>
            </w:r>
            <w:r>
              <w:rPr>
                <w:rFonts w:hint="eastAsia" w:ascii="Times New Roman" w:hAnsi="Times New Roman" w:eastAsia="宋体" w:cs="Times New Roman"/>
                <w:color w:val="auto"/>
                <w:kern w:val="0"/>
                <w:sz w:val="20"/>
                <w:szCs w:val="20"/>
              </w:rPr>
              <w:t>结算价格主要由上网交易电费和输配电费组成，其中：交易电价按用户实时交易价格结算，输配电价按四川省</w:t>
            </w:r>
            <w:r>
              <w:rPr>
                <w:rFonts w:hint="eastAsia" w:ascii="Times New Roman" w:hAnsi="Times New Roman" w:eastAsia="宋体" w:cs="Times New Roman"/>
                <w:color w:val="auto"/>
                <w:kern w:val="0"/>
                <w:sz w:val="20"/>
                <w:szCs w:val="20"/>
                <w:lang w:val="en-US" w:eastAsia="zh-CN"/>
              </w:rPr>
              <w:t>发展和改革委员会</w:t>
            </w:r>
            <w:r>
              <w:rPr>
                <w:rFonts w:hint="eastAsia" w:ascii="Times New Roman" w:hAnsi="Times New Roman" w:eastAsia="宋体" w:cs="Times New Roman"/>
                <w:color w:val="auto"/>
                <w:kern w:val="0"/>
                <w:sz w:val="20"/>
                <w:szCs w:val="20"/>
              </w:rPr>
              <w:t>规定</w:t>
            </w:r>
            <w:r>
              <w:rPr>
                <w:rFonts w:hint="eastAsia" w:ascii="Times New Roman" w:hAnsi="Times New Roman" w:eastAsia="宋体" w:cs="Times New Roman"/>
                <w:color w:val="auto"/>
                <w:kern w:val="0"/>
                <w:sz w:val="20"/>
                <w:szCs w:val="20"/>
                <w:highlight w:val="none"/>
              </w:rPr>
              <w:t>省内网间</w:t>
            </w:r>
            <w:r>
              <w:rPr>
                <w:rFonts w:hint="eastAsia" w:ascii="Times New Roman" w:hAnsi="Times New Roman" w:eastAsia="宋体" w:cs="Times New Roman"/>
                <w:color w:val="auto"/>
                <w:kern w:val="0"/>
                <w:sz w:val="20"/>
                <w:szCs w:val="20"/>
              </w:rPr>
              <w:t>输配电价执行，保持不变；所以外购电价随用户交易电价变化而正常波动，最终外购电的价格水平由市场确定。</w:t>
            </w:r>
          </w:p>
          <w:p w14:paraId="158213A2">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3.汽车充电站的运营及收益率情况？</w:t>
            </w:r>
          </w:p>
          <w:p w14:paraId="14B22A4A">
            <w:pPr>
              <w:spacing w:line="380" w:lineRule="exact"/>
              <w:ind w:firstLine="400" w:firstLineChars="200"/>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rPr>
              <w:t>答：公司积极融入新型能源体系建设，加快布局</w:t>
            </w:r>
            <w:r>
              <w:rPr>
                <w:rFonts w:hint="eastAsia" w:ascii="Times New Roman" w:hAnsi="Times New Roman" w:eastAsia="宋体" w:cs="Times New Roman"/>
                <w:color w:val="auto"/>
                <w:kern w:val="0"/>
                <w:sz w:val="20"/>
                <w:szCs w:val="20"/>
                <w:lang w:val="en-US" w:eastAsia="zh-CN"/>
              </w:rPr>
              <w:t>电动汽车</w:t>
            </w:r>
            <w:r>
              <w:rPr>
                <w:rFonts w:hint="eastAsia" w:ascii="Times New Roman" w:hAnsi="Times New Roman" w:eastAsia="宋体" w:cs="Times New Roman"/>
                <w:color w:val="auto"/>
                <w:kern w:val="0"/>
                <w:sz w:val="20"/>
                <w:szCs w:val="20"/>
              </w:rPr>
              <w:t>充电站建设，自主设计、研发了“明星充电运营管理平台”，截至2024年6月30日，已建成</w:t>
            </w:r>
            <w:r>
              <w:rPr>
                <w:rFonts w:hint="eastAsia" w:ascii="Times New Roman" w:hAnsi="Times New Roman" w:eastAsia="宋体" w:cs="Times New Roman"/>
                <w:color w:val="auto"/>
                <w:kern w:val="0"/>
                <w:sz w:val="20"/>
                <w:szCs w:val="20"/>
                <w:lang w:val="en-US" w:eastAsia="zh-CN"/>
              </w:rPr>
              <w:t>电动汽车</w:t>
            </w:r>
            <w:r>
              <w:rPr>
                <w:rFonts w:hint="eastAsia" w:ascii="Times New Roman" w:hAnsi="Times New Roman" w:eastAsia="宋体" w:cs="Times New Roman"/>
                <w:color w:val="auto"/>
                <w:kern w:val="0"/>
                <w:sz w:val="20"/>
                <w:szCs w:val="20"/>
              </w:rPr>
              <w:t>充电站10座（106个充电终端），约占遂宁市城区充电终端总数的三分之一，</w:t>
            </w:r>
            <w:r>
              <w:rPr>
                <w:rFonts w:hint="eastAsia" w:ascii="Times New Roman" w:hAnsi="Times New Roman" w:eastAsia="宋体" w:cs="Times New Roman"/>
                <w:color w:val="auto"/>
                <w:kern w:val="0"/>
                <w:sz w:val="20"/>
                <w:szCs w:val="20"/>
                <w:highlight w:val="none"/>
              </w:rPr>
              <w:t>2024年上半年充电电量230.26万千瓦时，同比增长17.56%</w:t>
            </w:r>
            <w:r>
              <w:rPr>
                <w:rFonts w:hint="eastAsia" w:ascii="Times New Roman" w:hAnsi="Times New Roman" w:eastAsia="宋体" w:cs="Times New Roman"/>
                <w:color w:val="auto"/>
                <w:kern w:val="0"/>
                <w:sz w:val="20"/>
                <w:szCs w:val="20"/>
                <w:highlight w:val="none"/>
                <w:lang w:eastAsia="zh-CN"/>
              </w:rPr>
              <w:t>。</w:t>
            </w:r>
          </w:p>
          <w:p w14:paraId="3C68D2F7">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4.农村配网改造项目的收益率核定方式？</w:t>
            </w:r>
          </w:p>
          <w:p w14:paraId="30697E87">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答：农村配网是属于公司输配电网的一部分，按照国家发展改革委</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国家能源局</w:t>
            </w:r>
            <w:r>
              <w:rPr>
                <w:rFonts w:hint="eastAsia" w:ascii="Times New Roman" w:hAnsi="Times New Roman" w:eastAsia="宋体" w:cs="Times New Roman"/>
                <w:color w:val="auto"/>
                <w:kern w:val="0"/>
                <w:sz w:val="20"/>
                <w:szCs w:val="20"/>
                <w:highlight w:val="none"/>
              </w:rPr>
              <w:t>《输配电定价成本监审办法》</w:t>
            </w: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宋体" w:cs="Times New Roman"/>
                <w:color w:val="auto"/>
                <w:kern w:val="0"/>
                <w:sz w:val="20"/>
                <w:szCs w:val="20"/>
              </w:rPr>
              <w:t>发改价格规〔2019〕897号</w:t>
            </w:r>
            <w:r>
              <w:rPr>
                <w:rFonts w:hint="eastAsia" w:ascii="Times New Roman" w:hAnsi="Times New Roman" w:eastAsia="宋体" w:cs="Times New Roman"/>
                <w:color w:val="auto"/>
                <w:kern w:val="0"/>
                <w:sz w:val="20"/>
                <w:szCs w:val="20"/>
                <w:highlight w:val="none"/>
                <w:lang w:eastAsia="zh-CN"/>
              </w:rPr>
              <w:t>）</w:t>
            </w:r>
            <w:r>
              <w:rPr>
                <w:rFonts w:hint="eastAsia" w:ascii="Times New Roman" w:hAnsi="Times New Roman" w:eastAsia="宋体" w:cs="Times New Roman"/>
                <w:color w:val="auto"/>
                <w:kern w:val="0"/>
                <w:sz w:val="20"/>
                <w:szCs w:val="20"/>
              </w:rPr>
              <w:t>核定。</w:t>
            </w:r>
          </w:p>
          <w:p w14:paraId="00823F9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5.西南缺电情况对销售电价的提振展望？</w:t>
            </w:r>
          </w:p>
          <w:p w14:paraId="4B7D9845">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近年来西南地区由于高温极端天气影响，在用电高峰时段存在一定的缺口，但电力供应总体正常。电网企业严格按国家电价主管部门公布的输配电价标准执行，在一个监管周期内保持不变；但发电上网交易电价随供需形势的变化存在上下波动，所以用户的到户电价也将随交易电价的变化而波动。</w:t>
            </w:r>
          </w:p>
          <w:p w14:paraId="54F26785">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6.2023年第三轮输配电价核定对公司利润率的影响？</w:t>
            </w:r>
          </w:p>
          <w:p w14:paraId="25D5E527">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与前两轮输配电价改革相比，国家第三轮输配电价改革涉及内容较多且政策变化大，简化了用户分类，真正按照“准许成本+合理收益”原则核定输配电价，输配电价核定机制更加顺畅。主要体现在核定居民农业的基准购电价与基期交叉补贴标准，分电压等级核定容、需量电价，单列线损费用，进一步完善两部制电价，首次引入负荷率挂钩的需量电价机制，引入系统运行费，鼓励工商用户（交易电价或代理购电价），优化用电方式，提高用电效率，进而提高整个电力系统运行效率。公司自2023年6月1日起执行第三轮输配电价，盈利模式全面从购销价差向收取输配电费转变。</w:t>
            </w:r>
          </w:p>
          <w:p w14:paraId="54F74BD8">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7.2026年第四轮输配电价的展望？</w:t>
            </w:r>
          </w:p>
          <w:p w14:paraId="4BDA286C">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答：根据中共中央国务院《中共中央国务院关于推进价格机制改革的若干意见》</w:t>
            </w:r>
            <w:r>
              <w:rPr>
                <w:rFonts w:hint="eastAsia" w:ascii="Times New Roman" w:hAnsi="Times New Roman" w:eastAsia="宋体" w:cs="Times New Roman"/>
                <w:color w:val="auto"/>
                <w:kern w:val="0"/>
                <w:sz w:val="20"/>
                <w:szCs w:val="20"/>
                <w:lang w:eastAsia="zh-CN"/>
              </w:rPr>
              <w:t>、</w:t>
            </w:r>
            <w:r>
              <w:rPr>
                <w:rFonts w:ascii="Helvetica" w:hAnsi="Helvetica" w:eastAsia="Helvetica" w:cs="Helvetica"/>
                <w:i w:val="0"/>
                <w:iCs w:val="0"/>
                <w:caps w:val="0"/>
                <w:color w:val="auto"/>
                <w:spacing w:val="0"/>
                <w:sz w:val="21"/>
                <w:szCs w:val="21"/>
                <w:shd w:val="clear" w:fill="FFFFFF"/>
              </w:rPr>
              <w:t>国家发展改革委</w:t>
            </w:r>
            <w:r>
              <w:rPr>
                <w:rFonts w:hint="eastAsia" w:ascii="Times New Roman" w:hAnsi="Times New Roman" w:eastAsia="宋体" w:cs="Times New Roman"/>
                <w:color w:val="auto"/>
                <w:kern w:val="0"/>
                <w:sz w:val="20"/>
                <w:szCs w:val="20"/>
              </w:rPr>
              <w:t>《省级电网输配电价定价办法》</w:t>
            </w:r>
            <w:r>
              <w:rPr>
                <w:rFonts w:hint="eastAsia" w:ascii="Times New Roman" w:hAnsi="Times New Roman" w:eastAsia="宋体" w:cs="Times New Roman"/>
                <w:color w:val="auto"/>
                <w:kern w:val="0"/>
                <w:sz w:val="20"/>
                <w:szCs w:val="20"/>
                <w:lang w:eastAsia="zh-CN"/>
              </w:rPr>
              <w:t>（发改价格规〔2020〕101号）</w:t>
            </w:r>
            <w:r>
              <w:rPr>
                <w:rFonts w:hint="eastAsia" w:ascii="Times New Roman" w:hAnsi="Times New Roman" w:eastAsia="宋体" w:cs="Times New Roman"/>
                <w:color w:val="auto"/>
                <w:kern w:val="0"/>
                <w:sz w:val="20"/>
                <w:szCs w:val="20"/>
              </w:rPr>
              <w:t>和国家发展改革委、国家能源局《输配电</w:t>
            </w:r>
            <w:r>
              <w:rPr>
                <w:rFonts w:hint="eastAsia" w:ascii="Times New Roman" w:hAnsi="Times New Roman" w:eastAsia="宋体" w:cs="Times New Roman"/>
                <w:color w:val="auto"/>
                <w:kern w:val="0"/>
                <w:sz w:val="20"/>
                <w:szCs w:val="20"/>
                <w:lang w:val="en-US" w:eastAsia="zh-CN"/>
              </w:rPr>
              <w:t>定</w:t>
            </w:r>
            <w:r>
              <w:rPr>
                <w:rFonts w:hint="eastAsia" w:ascii="Times New Roman" w:hAnsi="Times New Roman" w:eastAsia="宋体" w:cs="Times New Roman"/>
                <w:color w:val="auto"/>
                <w:kern w:val="0"/>
                <w:sz w:val="20"/>
                <w:szCs w:val="20"/>
              </w:rPr>
              <w:t>价成本监审办法》</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发改价格规〔2019〕897号</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等文件精神</w:t>
            </w:r>
            <w:r>
              <w:rPr>
                <w:rFonts w:hint="eastAsia" w:ascii="Times New Roman" w:hAnsi="Times New Roman" w:eastAsia="宋体" w:cs="Times New Roman"/>
                <w:color w:val="auto"/>
                <w:kern w:val="0"/>
                <w:sz w:val="20"/>
                <w:szCs w:val="20"/>
                <w:lang w:eastAsia="zh-CN"/>
              </w:rPr>
              <w:t>，</w:t>
            </w:r>
            <w:r>
              <w:rPr>
                <w:rFonts w:hint="eastAsia" w:ascii="Times New Roman" w:hAnsi="Times New Roman" w:eastAsia="宋体" w:cs="Times New Roman"/>
                <w:color w:val="auto"/>
                <w:kern w:val="0"/>
                <w:sz w:val="20"/>
                <w:szCs w:val="20"/>
              </w:rPr>
              <w:t>由政府电价主管部门科学合理地制定输配电价，输配电价以成本监审为基础，按“准许成本+合理收益”的原则核定输配电价。第三监管周期输配电价执行时间为2023年6月1日</w:t>
            </w:r>
            <w:r>
              <w:rPr>
                <w:rFonts w:hint="eastAsia" w:ascii="Times New Roman" w:hAnsi="Times New Roman" w:eastAsia="宋体" w:cs="Times New Roman"/>
                <w:color w:val="auto"/>
                <w:kern w:val="0"/>
                <w:sz w:val="20"/>
                <w:szCs w:val="20"/>
                <w:lang w:val="en-US" w:eastAsia="zh-CN"/>
              </w:rPr>
              <w:t>至</w:t>
            </w:r>
            <w:r>
              <w:rPr>
                <w:rFonts w:hint="eastAsia" w:ascii="Times New Roman" w:hAnsi="Times New Roman" w:eastAsia="宋体" w:cs="Times New Roman"/>
                <w:color w:val="auto"/>
                <w:kern w:val="0"/>
                <w:sz w:val="20"/>
                <w:szCs w:val="20"/>
              </w:rPr>
              <w:t>2026年5月31日，目前公司没有收到开展第四轮输配电价成本监审的通知，最终第四监管周期输配电价水平由政府电价主管部门确定。</w:t>
            </w:r>
          </w:p>
          <w:p w14:paraId="579D9BDD">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8.2024年</w:t>
            </w:r>
            <w:r>
              <w:rPr>
                <w:rFonts w:hint="eastAsia" w:ascii="Times New Roman" w:hAnsi="Times New Roman" w:eastAsia="宋体" w:cs="Times New Roman"/>
                <w:color w:val="auto"/>
                <w:kern w:val="0"/>
                <w:sz w:val="20"/>
                <w:szCs w:val="20"/>
                <w:lang w:val="en-US" w:eastAsia="zh-CN"/>
              </w:rPr>
              <w:t>上半年</w:t>
            </w:r>
            <w:r>
              <w:rPr>
                <w:rFonts w:hint="eastAsia" w:ascii="Times New Roman" w:hAnsi="Times New Roman" w:eastAsia="宋体" w:cs="Times New Roman"/>
                <w:color w:val="auto"/>
                <w:kern w:val="0"/>
                <w:sz w:val="20"/>
                <w:szCs w:val="20"/>
              </w:rPr>
              <w:t>毛利率大幅下降的主要原因？</w:t>
            </w:r>
          </w:p>
          <w:p w14:paraId="1D483A95">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2024年上半年毛利率下降原因为营业成本的增幅高于营业收入的增幅。具体原因：一是上半年上游来水偏枯，自发电量同比减少；二是在建工程转固增加致电网资产累计折旧同比增加；三是上半年低谷时段的用电量同比增加，售电业务收入增速放缓。</w:t>
            </w:r>
          </w:p>
          <w:p w14:paraId="1955CB8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9.后续水电和综合能源的资本开支计划？</w:t>
            </w:r>
          </w:p>
          <w:p w14:paraId="58EE89D1">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后续水电的资本开支计划主要围绕公司现有水电站设备开展一些改造，使机组设备保持在良好状态，确保水电站持续稳定发电。综合能源资本开支主要围绕充电站建设、能源托管等综合能源项目，增加新的利润增长点。</w:t>
            </w:r>
          </w:p>
          <w:p w14:paraId="2BA23F58">
            <w:pPr>
              <w:spacing w:line="380" w:lineRule="exact"/>
              <w:ind w:firstLine="400" w:firstLineChars="200"/>
              <w:rPr>
                <w:rFonts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10.现金分红等股东回报计划展望？</w:t>
            </w:r>
          </w:p>
          <w:p w14:paraId="086F2A4D">
            <w:pPr>
              <w:spacing w:line="380" w:lineRule="exact"/>
              <w:ind w:firstLine="400" w:firstLineChars="200"/>
              <w:rPr>
                <w:rFonts w:hint="eastAsia" w:ascii="Times New Roman" w:hAnsi="Times New Roman" w:eastAsia="宋体" w:cs="Times New Roman"/>
                <w:color w:val="auto"/>
                <w:kern w:val="0"/>
                <w:sz w:val="20"/>
                <w:szCs w:val="20"/>
              </w:rPr>
            </w:pPr>
            <w:r>
              <w:rPr>
                <w:rFonts w:hint="eastAsia" w:ascii="Times New Roman" w:hAnsi="Times New Roman" w:eastAsia="宋体" w:cs="Times New Roman"/>
                <w:color w:val="auto"/>
                <w:kern w:val="0"/>
                <w:sz w:val="20"/>
                <w:szCs w:val="20"/>
              </w:rPr>
              <w:t>答：公司高度重视投资者回报，积极践行“以投资者为本”理念，2024年8月29日已披露了《2024年度“提质增效重回报”行动方案》，未来公司分红计划将持续按《上市公司监管指引第3号——上市公司现金分红（2023年修订）》要求，充分考虑公司盈利状况、所处行业特点、现金流状况及公司可持续发展等因素，制定合理持续的利润分配方案，增强分红的稳定性、及时性和可预期性。同时，公司也会积极关注国家相关制度和监管要求，适时修订公司的分红制度，积极回馈广大投资者，为资本市场的健康发展贡献应有力量。</w:t>
            </w:r>
          </w:p>
        </w:tc>
      </w:tr>
      <w:tr w14:paraId="5FB0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672" w:type="dxa"/>
            <w:vAlign w:val="center"/>
          </w:tcPr>
          <w:p w14:paraId="46A16468">
            <w:pPr>
              <w:jc w:val="center"/>
              <w:rPr>
                <w:rFonts w:ascii="Times New Roman" w:hAnsi="Times New Roman" w:eastAsia="宋体" w:cs="Times New Roman"/>
                <w:color w:val="auto"/>
                <w:kern w:val="0"/>
                <w:sz w:val="20"/>
                <w:szCs w:val="21"/>
              </w:rPr>
            </w:pPr>
            <w:r>
              <w:rPr>
                <w:rFonts w:ascii="Times New Roman" w:hAnsi="Times New Roman" w:eastAsia="宋体" w:cs="Times New Roman"/>
                <w:color w:val="auto"/>
                <w:kern w:val="0"/>
                <w:sz w:val="20"/>
                <w:szCs w:val="21"/>
              </w:rPr>
              <w:t>附件清单（如有）</w:t>
            </w:r>
          </w:p>
        </w:tc>
        <w:tc>
          <w:tcPr>
            <w:tcW w:w="7250" w:type="dxa"/>
            <w:vAlign w:val="center"/>
          </w:tcPr>
          <w:p w14:paraId="4E7E7297">
            <w:pPr>
              <w:adjustRightInd w:val="0"/>
              <w:snapToGrid w:val="0"/>
              <w:rPr>
                <w:rFonts w:ascii="Times New Roman" w:hAnsi="Times New Roman" w:eastAsia="宋体" w:cs="Times New Roman"/>
                <w:bCs/>
                <w:color w:val="auto"/>
                <w:kern w:val="0"/>
                <w:sz w:val="20"/>
                <w:szCs w:val="21"/>
              </w:rPr>
            </w:pPr>
            <w:r>
              <w:rPr>
                <w:rFonts w:ascii="Times New Roman" w:hAnsi="Times New Roman" w:eastAsia="宋体" w:cs="Times New Roman"/>
                <w:bCs/>
                <w:color w:val="auto"/>
                <w:kern w:val="0"/>
                <w:sz w:val="20"/>
                <w:szCs w:val="21"/>
              </w:rPr>
              <w:t>无</w:t>
            </w:r>
          </w:p>
        </w:tc>
      </w:tr>
    </w:tbl>
    <w:p w14:paraId="199A8D7D">
      <w:pPr>
        <w:spacing w:line="20" w:lineRule="exact"/>
        <w:jc w:val="left"/>
        <w:rPr>
          <w:rFonts w:ascii="Times New Roman" w:hAnsi="Times New Roman" w:eastAsia="宋体" w:cs="Times New Roman"/>
          <w:sz w:val="24"/>
          <w:szCs w:val="24"/>
        </w:rPr>
      </w:pPr>
    </w:p>
    <w:p w14:paraId="0E042652">
      <w:pPr>
        <w:spacing w:line="20" w:lineRule="exact"/>
        <w:jc w:val="left"/>
        <w:rPr>
          <w:rFonts w:ascii="Times New Roman" w:hAnsi="Times New Roman" w:eastAsia="宋体" w:cs="Times New Roman"/>
          <w:sz w:val="24"/>
          <w:szCs w:val="24"/>
        </w:rPr>
      </w:pPr>
    </w:p>
    <w:p w14:paraId="2D325F43">
      <w:pPr>
        <w:spacing w:line="20" w:lineRule="exact"/>
        <w:jc w:val="left"/>
        <w:rPr>
          <w:rFonts w:ascii="Times New Roman" w:hAnsi="Times New Roman" w:eastAsia="宋体" w:cs="Times New Roman"/>
          <w:sz w:val="24"/>
          <w:szCs w:val="24"/>
        </w:rPr>
      </w:pPr>
    </w:p>
    <w:p w14:paraId="1701F9E2">
      <w:pPr>
        <w:spacing w:line="20" w:lineRule="exact"/>
        <w:jc w:val="left"/>
        <w:rPr>
          <w:rFonts w:ascii="Times New Roman" w:hAnsi="Times New Roman" w:eastAsia="宋体" w:cs="Times New Roman"/>
          <w:sz w:val="24"/>
          <w:szCs w:val="24"/>
        </w:rPr>
      </w:pPr>
    </w:p>
    <w:p w14:paraId="018EA9F9">
      <w:pPr>
        <w:spacing w:line="20" w:lineRule="exact"/>
        <w:jc w:val="left"/>
        <w:rPr>
          <w:rFonts w:ascii="Times New Roman" w:hAnsi="Times New Roman" w:eastAsia="宋体" w:cs="Times New Roman"/>
          <w:sz w:val="24"/>
          <w:szCs w:val="24"/>
        </w:rPr>
      </w:pPr>
    </w:p>
    <w:p w14:paraId="3D09FF2D">
      <w:pPr>
        <w:spacing w:line="20" w:lineRule="exact"/>
        <w:jc w:val="left"/>
        <w:rPr>
          <w:rFonts w:ascii="Times New Roman" w:hAnsi="Times New Roman" w:eastAsia="宋体" w:cs="Times New Roman"/>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5193795"/>
    </w:sdtPr>
    <w:sdtContent>
      <w:sdt>
        <w:sdtPr>
          <w:id w:val="-1669238322"/>
        </w:sdtPr>
        <w:sdtContent>
          <w:p w14:paraId="31D55DBC">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394A9AF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NjNmMzIzYjY2ZDc0ZDkyYjljNjgwYWQ0MWZkODMifQ=="/>
  </w:docVars>
  <w:rsids>
    <w:rsidRoot w:val="006E388F"/>
    <w:rsid w:val="00000190"/>
    <w:rsid w:val="00000F10"/>
    <w:rsid w:val="00010DE2"/>
    <w:rsid w:val="0001434C"/>
    <w:rsid w:val="00017D3A"/>
    <w:rsid w:val="0002177B"/>
    <w:rsid w:val="000231A2"/>
    <w:rsid w:val="00024526"/>
    <w:rsid w:val="00031322"/>
    <w:rsid w:val="00031AFE"/>
    <w:rsid w:val="00032B24"/>
    <w:rsid w:val="00032CA3"/>
    <w:rsid w:val="000338B3"/>
    <w:rsid w:val="00034B8E"/>
    <w:rsid w:val="0003666F"/>
    <w:rsid w:val="00037EEC"/>
    <w:rsid w:val="00040E71"/>
    <w:rsid w:val="00042537"/>
    <w:rsid w:val="00046383"/>
    <w:rsid w:val="00047205"/>
    <w:rsid w:val="000517A7"/>
    <w:rsid w:val="00052496"/>
    <w:rsid w:val="00053C12"/>
    <w:rsid w:val="00053C4E"/>
    <w:rsid w:val="00057F41"/>
    <w:rsid w:val="00060C0D"/>
    <w:rsid w:val="00060C34"/>
    <w:rsid w:val="000652CE"/>
    <w:rsid w:val="000654AC"/>
    <w:rsid w:val="00065ED0"/>
    <w:rsid w:val="00067274"/>
    <w:rsid w:val="00071529"/>
    <w:rsid w:val="00071AA7"/>
    <w:rsid w:val="00071D69"/>
    <w:rsid w:val="000724D0"/>
    <w:rsid w:val="0007406D"/>
    <w:rsid w:val="000801D5"/>
    <w:rsid w:val="0008283A"/>
    <w:rsid w:val="0008576F"/>
    <w:rsid w:val="00090634"/>
    <w:rsid w:val="00090841"/>
    <w:rsid w:val="00090ACF"/>
    <w:rsid w:val="00092798"/>
    <w:rsid w:val="0009597F"/>
    <w:rsid w:val="0009739D"/>
    <w:rsid w:val="000A0FB5"/>
    <w:rsid w:val="000A159F"/>
    <w:rsid w:val="000A4AEF"/>
    <w:rsid w:val="000A53EF"/>
    <w:rsid w:val="000B112D"/>
    <w:rsid w:val="000B1B3D"/>
    <w:rsid w:val="000B401A"/>
    <w:rsid w:val="000B650A"/>
    <w:rsid w:val="000C0B34"/>
    <w:rsid w:val="000C465D"/>
    <w:rsid w:val="000C6383"/>
    <w:rsid w:val="000C63A1"/>
    <w:rsid w:val="000C6975"/>
    <w:rsid w:val="000C6AD0"/>
    <w:rsid w:val="000C7B59"/>
    <w:rsid w:val="000D0003"/>
    <w:rsid w:val="000D14C1"/>
    <w:rsid w:val="000D42DE"/>
    <w:rsid w:val="000D621D"/>
    <w:rsid w:val="000D78B0"/>
    <w:rsid w:val="000D7BB8"/>
    <w:rsid w:val="000E14D4"/>
    <w:rsid w:val="000E426F"/>
    <w:rsid w:val="000F0B8B"/>
    <w:rsid w:val="000F146F"/>
    <w:rsid w:val="000F6180"/>
    <w:rsid w:val="000F626C"/>
    <w:rsid w:val="000F63A5"/>
    <w:rsid w:val="000F64ED"/>
    <w:rsid w:val="000F6B23"/>
    <w:rsid w:val="000F6CC3"/>
    <w:rsid w:val="000F6D78"/>
    <w:rsid w:val="00102038"/>
    <w:rsid w:val="00102590"/>
    <w:rsid w:val="00102B70"/>
    <w:rsid w:val="00102E0F"/>
    <w:rsid w:val="00103C42"/>
    <w:rsid w:val="0010499B"/>
    <w:rsid w:val="00104E06"/>
    <w:rsid w:val="00105011"/>
    <w:rsid w:val="00105C89"/>
    <w:rsid w:val="00106EE1"/>
    <w:rsid w:val="00110356"/>
    <w:rsid w:val="00110618"/>
    <w:rsid w:val="0011162B"/>
    <w:rsid w:val="0011242E"/>
    <w:rsid w:val="001139F2"/>
    <w:rsid w:val="001141EC"/>
    <w:rsid w:val="00114B3C"/>
    <w:rsid w:val="00114BE6"/>
    <w:rsid w:val="00115E46"/>
    <w:rsid w:val="00117866"/>
    <w:rsid w:val="00120D15"/>
    <w:rsid w:val="00123CA5"/>
    <w:rsid w:val="00125C4F"/>
    <w:rsid w:val="00127C1B"/>
    <w:rsid w:val="00127E6D"/>
    <w:rsid w:val="00130F6F"/>
    <w:rsid w:val="0013317B"/>
    <w:rsid w:val="00133BBB"/>
    <w:rsid w:val="00134965"/>
    <w:rsid w:val="00144635"/>
    <w:rsid w:val="001457A1"/>
    <w:rsid w:val="001466B6"/>
    <w:rsid w:val="00147135"/>
    <w:rsid w:val="00152CA2"/>
    <w:rsid w:val="00152FF3"/>
    <w:rsid w:val="00157C6D"/>
    <w:rsid w:val="001602D1"/>
    <w:rsid w:val="00161FA2"/>
    <w:rsid w:val="001644C5"/>
    <w:rsid w:val="00165501"/>
    <w:rsid w:val="001655D4"/>
    <w:rsid w:val="00171BAB"/>
    <w:rsid w:val="00176629"/>
    <w:rsid w:val="00177FE5"/>
    <w:rsid w:val="0018046F"/>
    <w:rsid w:val="00180E3F"/>
    <w:rsid w:val="00185D59"/>
    <w:rsid w:val="00186070"/>
    <w:rsid w:val="00186457"/>
    <w:rsid w:val="00191BB0"/>
    <w:rsid w:val="001930A5"/>
    <w:rsid w:val="00195CCB"/>
    <w:rsid w:val="00197355"/>
    <w:rsid w:val="001A03EA"/>
    <w:rsid w:val="001A049F"/>
    <w:rsid w:val="001A0646"/>
    <w:rsid w:val="001A3FBD"/>
    <w:rsid w:val="001B00C5"/>
    <w:rsid w:val="001B30EC"/>
    <w:rsid w:val="001B3425"/>
    <w:rsid w:val="001B759D"/>
    <w:rsid w:val="001C32D0"/>
    <w:rsid w:val="001C3C73"/>
    <w:rsid w:val="001C4E87"/>
    <w:rsid w:val="001C6AAA"/>
    <w:rsid w:val="001C7FD5"/>
    <w:rsid w:val="001D1939"/>
    <w:rsid w:val="001D1970"/>
    <w:rsid w:val="001D35FE"/>
    <w:rsid w:val="001D4460"/>
    <w:rsid w:val="001D5F63"/>
    <w:rsid w:val="001D65D7"/>
    <w:rsid w:val="001E0D90"/>
    <w:rsid w:val="001E137E"/>
    <w:rsid w:val="001E1C84"/>
    <w:rsid w:val="001E2CB6"/>
    <w:rsid w:val="001E2DBA"/>
    <w:rsid w:val="001E3C04"/>
    <w:rsid w:val="001E4134"/>
    <w:rsid w:val="001E467F"/>
    <w:rsid w:val="001E5836"/>
    <w:rsid w:val="001E5CCC"/>
    <w:rsid w:val="001F2DA1"/>
    <w:rsid w:val="001F412A"/>
    <w:rsid w:val="001F48B1"/>
    <w:rsid w:val="001F4EDF"/>
    <w:rsid w:val="001F7CED"/>
    <w:rsid w:val="00201D68"/>
    <w:rsid w:val="00203845"/>
    <w:rsid w:val="00203854"/>
    <w:rsid w:val="0020467B"/>
    <w:rsid w:val="00204826"/>
    <w:rsid w:val="00210446"/>
    <w:rsid w:val="00211011"/>
    <w:rsid w:val="0021480C"/>
    <w:rsid w:val="002163C9"/>
    <w:rsid w:val="00220B09"/>
    <w:rsid w:val="002213DB"/>
    <w:rsid w:val="002241C9"/>
    <w:rsid w:val="00225BD2"/>
    <w:rsid w:val="00225E2F"/>
    <w:rsid w:val="00225F65"/>
    <w:rsid w:val="00226DC1"/>
    <w:rsid w:val="00230D28"/>
    <w:rsid w:val="00230D93"/>
    <w:rsid w:val="0023147E"/>
    <w:rsid w:val="002317CF"/>
    <w:rsid w:val="0023394D"/>
    <w:rsid w:val="00233C12"/>
    <w:rsid w:val="0023416E"/>
    <w:rsid w:val="002346C1"/>
    <w:rsid w:val="00240309"/>
    <w:rsid w:val="0024416A"/>
    <w:rsid w:val="002462AC"/>
    <w:rsid w:val="0024718A"/>
    <w:rsid w:val="00247F12"/>
    <w:rsid w:val="00260BE1"/>
    <w:rsid w:val="00263A13"/>
    <w:rsid w:val="002659EE"/>
    <w:rsid w:val="00271875"/>
    <w:rsid w:val="0027226D"/>
    <w:rsid w:val="00281319"/>
    <w:rsid w:val="0028220D"/>
    <w:rsid w:val="002836EA"/>
    <w:rsid w:val="0028517D"/>
    <w:rsid w:val="0028550E"/>
    <w:rsid w:val="00285D59"/>
    <w:rsid w:val="00285E3C"/>
    <w:rsid w:val="002928EE"/>
    <w:rsid w:val="00296438"/>
    <w:rsid w:val="00296D03"/>
    <w:rsid w:val="00297C96"/>
    <w:rsid w:val="002A19D7"/>
    <w:rsid w:val="002A2307"/>
    <w:rsid w:val="002A7279"/>
    <w:rsid w:val="002B20AF"/>
    <w:rsid w:val="002B5392"/>
    <w:rsid w:val="002B64AD"/>
    <w:rsid w:val="002B6723"/>
    <w:rsid w:val="002B7E6F"/>
    <w:rsid w:val="002C0D1D"/>
    <w:rsid w:val="002C0E75"/>
    <w:rsid w:val="002C2302"/>
    <w:rsid w:val="002C67F1"/>
    <w:rsid w:val="002D1322"/>
    <w:rsid w:val="002D31EF"/>
    <w:rsid w:val="002D39EE"/>
    <w:rsid w:val="002D52FC"/>
    <w:rsid w:val="002D59E0"/>
    <w:rsid w:val="002D73DE"/>
    <w:rsid w:val="002E052C"/>
    <w:rsid w:val="002E09FD"/>
    <w:rsid w:val="002E0F55"/>
    <w:rsid w:val="002E0FB3"/>
    <w:rsid w:val="002E306B"/>
    <w:rsid w:val="002E3E39"/>
    <w:rsid w:val="002E5CCD"/>
    <w:rsid w:val="002E686D"/>
    <w:rsid w:val="002E6B80"/>
    <w:rsid w:val="002F1FA8"/>
    <w:rsid w:val="002F3900"/>
    <w:rsid w:val="002F5DBC"/>
    <w:rsid w:val="002F5DE1"/>
    <w:rsid w:val="00301DC9"/>
    <w:rsid w:val="00303265"/>
    <w:rsid w:val="00303EBE"/>
    <w:rsid w:val="00305EB5"/>
    <w:rsid w:val="00306CB2"/>
    <w:rsid w:val="003077A6"/>
    <w:rsid w:val="00307C12"/>
    <w:rsid w:val="003121A6"/>
    <w:rsid w:val="00316270"/>
    <w:rsid w:val="00317A52"/>
    <w:rsid w:val="0032199F"/>
    <w:rsid w:val="00322CBA"/>
    <w:rsid w:val="00325BB3"/>
    <w:rsid w:val="003353A7"/>
    <w:rsid w:val="00341445"/>
    <w:rsid w:val="00342454"/>
    <w:rsid w:val="00344A1A"/>
    <w:rsid w:val="00354FDC"/>
    <w:rsid w:val="0035672D"/>
    <w:rsid w:val="00356E95"/>
    <w:rsid w:val="003576F4"/>
    <w:rsid w:val="0036094B"/>
    <w:rsid w:val="00362733"/>
    <w:rsid w:val="00363806"/>
    <w:rsid w:val="00367DB0"/>
    <w:rsid w:val="0037063F"/>
    <w:rsid w:val="00370E34"/>
    <w:rsid w:val="00373F89"/>
    <w:rsid w:val="00375A3B"/>
    <w:rsid w:val="003776ED"/>
    <w:rsid w:val="003812EC"/>
    <w:rsid w:val="00381388"/>
    <w:rsid w:val="003815BB"/>
    <w:rsid w:val="00382B11"/>
    <w:rsid w:val="00383E8A"/>
    <w:rsid w:val="00386B13"/>
    <w:rsid w:val="0038737F"/>
    <w:rsid w:val="00392195"/>
    <w:rsid w:val="0039761F"/>
    <w:rsid w:val="003A22AF"/>
    <w:rsid w:val="003A4DA9"/>
    <w:rsid w:val="003A6941"/>
    <w:rsid w:val="003A6EA4"/>
    <w:rsid w:val="003A76BB"/>
    <w:rsid w:val="003B0DAF"/>
    <w:rsid w:val="003B19B9"/>
    <w:rsid w:val="003B2E7E"/>
    <w:rsid w:val="003B3A04"/>
    <w:rsid w:val="003B664F"/>
    <w:rsid w:val="003B780F"/>
    <w:rsid w:val="003C2811"/>
    <w:rsid w:val="003C578B"/>
    <w:rsid w:val="003C6EC8"/>
    <w:rsid w:val="003C7C59"/>
    <w:rsid w:val="003D7270"/>
    <w:rsid w:val="003E00A1"/>
    <w:rsid w:val="003E08AD"/>
    <w:rsid w:val="003E1A13"/>
    <w:rsid w:val="003E2ACC"/>
    <w:rsid w:val="003E2D33"/>
    <w:rsid w:val="003E4A30"/>
    <w:rsid w:val="003E4B1C"/>
    <w:rsid w:val="003E6D7F"/>
    <w:rsid w:val="003F131A"/>
    <w:rsid w:val="003F2BFD"/>
    <w:rsid w:val="004014D9"/>
    <w:rsid w:val="00401862"/>
    <w:rsid w:val="00401C05"/>
    <w:rsid w:val="0040210B"/>
    <w:rsid w:val="00402BD4"/>
    <w:rsid w:val="00402F64"/>
    <w:rsid w:val="00405471"/>
    <w:rsid w:val="00410C27"/>
    <w:rsid w:val="0041290A"/>
    <w:rsid w:val="00412A6F"/>
    <w:rsid w:val="00412AC3"/>
    <w:rsid w:val="0041415B"/>
    <w:rsid w:val="00414879"/>
    <w:rsid w:val="004156A2"/>
    <w:rsid w:val="00416C63"/>
    <w:rsid w:val="0041725B"/>
    <w:rsid w:val="00421BBF"/>
    <w:rsid w:val="0042374F"/>
    <w:rsid w:val="00427007"/>
    <w:rsid w:val="004276CD"/>
    <w:rsid w:val="00430628"/>
    <w:rsid w:val="00432F0C"/>
    <w:rsid w:val="0043380E"/>
    <w:rsid w:val="00434EFC"/>
    <w:rsid w:val="0043544F"/>
    <w:rsid w:val="00436A0D"/>
    <w:rsid w:val="004409C4"/>
    <w:rsid w:val="00441110"/>
    <w:rsid w:val="004413D9"/>
    <w:rsid w:val="00441C65"/>
    <w:rsid w:val="00441F05"/>
    <w:rsid w:val="0044578C"/>
    <w:rsid w:val="00445D60"/>
    <w:rsid w:val="0045037C"/>
    <w:rsid w:val="00454AFD"/>
    <w:rsid w:val="00454F69"/>
    <w:rsid w:val="00456A53"/>
    <w:rsid w:val="00456D81"/>
    <w:rsid w:val="0045730F"/>
    <w:rsid w:val="004575D9"/>
    <w:rsid w:val="00457B79"/>
    <w:rsid w:val="00460E2F"/>
    <w:rsid w:val="00461459"/>
    <w:rsid w:val="004614E1"/>
    <w:rsid w:val="00463DF1"/>
    <w:rsid w:val="0046467D"/>
    <w:rsid w:val="00464910"/>
    <w:rsid w:val="00473B5D"/>
    <w:rsid w:val="00475CE0"/>
    <w:rsid w:val="00481605"/>
    <w:rsid w:val="004817F6"/>
    <w:rsid w:val="0048223B"/>
    <w:rsid w:val="00482B78"/>
    <w:rsid w:val="004852D7"/>
    <w:rsid w:val="00485F5B"/>
    <w:rsid w:val="00486376"/>
    <w:rsid w:val="00486637"/>
    <w:rsid w:val="00486F0C"/>
    <w:rsid w:val="00490C6C"/>
    <w:rsid w:val="004914B7"/>
    <w:rsid w:val="00492D49"/>
    <w:rsid w:val="00494768"/>
    <w:rsid w:val="00495068"/>
    <w:rsid w:val="00496CE5"/>
    <w:rsid w:val="004972C2"/>
    <w:rsid w:val="00497346"/>
    <w:rsid w:val="004979F2"/>
    <w:rsid w:val="004A2AB2"/>
    <w:rsid w:val="004A3443"/>
    <w:rsid w:val="004A5E5B"/>
    <w:rsid w:val="004A6164"/>
    <w:rsid w:val="004A72C2"/>
    <w:rsid w:val="004B0117"/>
    <w:rsid w:val="004B1480"/>
    <w:rsid w:val="004B1E8C"/>
    <w:rsid w:val="004B454C"/>
    <w:rsid w:val="004B6414"/>
    <w:rsid w:val="004C400C"/>
    <w:rsid w:val="004C585B"/>
    <w:rsid w:val="004C6441"/>
    <w:rsid w:val="004C6657"/>
    <w:rsid w:val="004C6A98"/>
    <w:rsid w:val="004C6EE3"/>
    <w:rsid w:val="004D0BCB"/>
    <w:rsid w:val="004D23E2"/>
    <w:rsid w:val="004D23F9"/>
    <w:rsid w:val="004D4C13"/>
    <w:rsid w:val="004D6D57"/>
    <w:rsid w:val="004D727A"/>
    <w:rsid w:val="004D770C"/>
    <w:rsid w:val="004E27BE"/>
    <w:rsid w:val="004E2835"/>
    <w:rsid w:val="004E4C41"/>
    <w:rsid w:val="004E54F9"/>
    <w:rsid w:val="004F041E"/>
    <w:rsid w:val="004F4C5E"/>
    <w:rsid w:val="004F5955"/>
    <w:rsid w:val="00500250"/>
    <w:rsid w:val="00503661"/>
    <w:rsid w:val="00504CE9"/>
    <w:rsid w:val="005103D1"/>
    <w:rsid w:val="005104E7"/>
    <w:rsid w:val="005112D3"/>
    <w:rsid w:val="00511340"/>
    <w:rsid w:val="00511C02"/>
    <w:rsid w:val="00512B95"/>
    <w:rsid w:val="0051404E"/>
    <w:rsid w:val="0052143B"/>
    <w:rsid w:val="00523F64"/>
    <w:rsid w:val="00524A6F"/>
    <w:rsid w:val="0052512F"/>
    <w:rsid w:val="00527223"/>
    <w:rsid w:val="00530441"/>
    <w:rsid w:val="0053263E"/>
    <w:rsid w:val="00535599"/>
    <w:rsid w:val="00537AA2"/>
    <w:rsid w:val="00542D52"/>
    <w:rsid w:val="0054374E"/>
    <w:rsid w:val="005437F3"/>
    <w:rsid w:val="00545329"/>
    <w:rsid w:val="00547E7F"/>
    <w:rsid w:val="00552BD2"/>
    <w:rsid w:val="005532EA"/>
    <w:rsid w:val="005561CC"/>
    <w:rsid w:val="0055655B"/>
    <w:rsid w:val="00560501"/>
    <w:rsid w:val="00560647"/>
    <w:rsid w:val="0056605F"/>
    <w:rsid w:val="00566E37"/>
    <w:rsid w:val="00567D2C"/>
    <w:rsid w:val="00570C25"/>
    <w:rsid w:val="00571C1F"/>
    <w:rsid w:val="005721D8"/>
    <w:rsid w:val="00573D5B"/>
    <w:rsid w:val="00575B0F"/>
    <w:rsid w:val="00577432"/>
    <w:rsid w:val="00577CBA"/>
    <w:rsid w:val="00583621"/>
    <w:rsid w:val="005837CA"/>
    <w:rsid w:val="00590689"/>
    <w:rsid w:val="005943B0"/>
    <w:rsid w:val="0059455C"/>
    <w:rsid w:val="005960A8"/>
    <w:rsid w:val="005A655D"/>
    <w:rsid w:val="005A71EF"/>
    <w:rsid w:val="005A7E0C"/>
    <w:rsid w:val="005B0120"/>
    <w:rsid w:val="005B5574"/>
    <w:rsid w:val="005B6DE5"/>
    <w:rsid w:val="005B724D"/>
    <w:rsid w:val="005B7AB0"/>
    <w:rsid w:val="005C14F4"/>
    <w:rsid w:val="005C2033"/>
    <w:rsid w:val="005C4D6F"/>
    <w:rsid w:val="005C6D7D"/>
    <w:rsid w:val="005D0275"/>
    <w:rsid w:val="005D0DD7"/>
    <w:rsid w:val="005D506C"/>
    <w:rsid w:val="005E03E3"/>
    <w:rsid w:val="005E096F"/>
    <w:rsid w:val="005E1A79"/>
    <w:rsid w:val="005E24B7"/>
    <w:rsid w:val="005E290D"/>
    <w:rsid w:val="005E3C09"/>
    <w:rsid w:val="005E4A56"/>
    <w:rsid w:val="005E5C77"/>
    <w:rsid w:val="005F1A0B"/>
    <w:rsid w:val="005F48C0"/>
    <w:rsid w:val="005F7B83"/>
    <w:rsid w:val="0060280D"/>
    <w:rsid w:val="00602D76"/>
    <w:rsid w:val="006053D5"/>
    <w:rsid w:val="00605F0E"/>
    <w:rsid w:val="0060697B"/>
    <w:rsid w:val="00606BF2"/>
    <w:rsid w:val="00611A5C"/>
    <w:rsid w:val="00611F22"/>
    <w:rsid w:val="00612778"/>
    <w:rsid w:val="0061349A"/>
    <w:rsid w:val="00613624"/>
    <w:rsid w:val="00613CBB"/>
    <w:rsid w:val="0061694F"/>
    <w:rsid w:val="006169DF"/>
    <w:rsid w:val="006279B7"/>
    <w:rsid w:val="006323BA"/>
    <w:rsid w:val="006326E5"/>
    <w:rsid w:val="00633D36"/>
    <w:rsid w:val="0063425F"/>
    <w:rsid w:val="00634DA2"/>
    <w:rsid w:val="006367F0"/>
    <w:rsid w:val="00637E6F"/>
    <w:rsid w:val="006400A8"/>
    <w:rsid w:val="006411E0"/>
    <w:rsid w:val="00641B6B"/>
    <w:rsid w:val="006422BE"/>
    <w:rsid w:val="00643058"/>
    <w:rsid w:val="00644116"/>
    <w:rsid w:val="006442C5"/>
    <w:rsid w:val="00645D16"/>
    <w:rsid w:val="00647EE1"/>
    <w:rsid w:val="0065371E"/>
    <w:rsid w:val="006537B0"/>
    <w:rsid w:val="00657F3D"/>
    <w:rsid w:val="00662772"/>
    <w:rsid w:val="006628E1"/>
    <w:rsid w:val="006642C6"/>
    <w:rsid w:val="0066464B"/>
    <w:rsid w:val="006649BF"/>
    <w:rsid w:val="00667FF3"/>
    <w:rsid w:val="0067236D"/>
    <w:rsid w:val="00672BAC"/>
    <w:rsid w:val="00674061"/>
    <w:rsid w:val="00674754"/>
    <w:rsid w:val="00676D0A"/>
    <w:rsid w:val="006869B0"/>
    <w:rsid w:val="006879FC"/>
    <w:rsid w:val="006900B5"/>
    <w:rsid w:val="00690A00"/>
    <w:rsid w:val="006929EE"/>
    <w:rsid w:val="00693936"/>
    <w:rsid w:val="006954B0"/>
    <w:rsid w:val="006966FD"/>
    <w:rsid w:val="006A08E8"/>
    <w:rsid w:val="006A129E"/>
    <w:rsid w:val="006A17EE"/>
    <w:rsid w:val="006A26EC"/>
    <w:rsid w:val="006A3174"/>
    <w:rsid w:val="006B3910"/>
    <w:rsid w:val="006B3F9E"/>
    <w:rsid w:val="006B43A4"/>
    <w:rsid w:val="006B5328"/>
    <w:rsid w:val="006B573E"/>
    <w:rsid w:val="006C0407"/>
    <w:rsid w:val="006C19DA"/>
    <w:rsid w:val="006C23C8"/>
    <w:rsid w:val="006C3644"/>
    <w:rsid w:val="006C4553"/>
    <w:rsid w:val="006C5857"/>
    <w:rsid w:val="006C624F"/>
    <w:rsid w:val="006D0341"/>
    <w:rsid w:val="006D0693"/>
    <w:rsid w:val="006D19CF"/>
    <w:rsid w:val="006D29BB"/>
    <w:rsid w:val="006D4885"/>
    <w:rsid w:val="006D50B6"/>
    <w:rsid w:val="006D5982"/>
    <w:rsid w:val="006D6CE0"/>
    <w:rsid w:val="006E0FAF"/>
    <w:rsid w:val="006E1FCA"/>
    <w:rsid w:val="006E388F"/>
    <w:rsid w:val="006E4E55"/>
    <w:rsid w:val="006F0639"/>
    <w:rsid w:val="006F3035"/>
    <w:rsid w:val="006F317C"/>
    <w:rsid w:val="006F36A7"/>
    <w:rsid w:val="006F413C"/>
    <w:rsid w:val="006F4643"/>
    <w:rsid w:val="006F668D"/>
    <w:rsid w:val="0070063C"/>
    <w:rsid w:val="00701D21"/>
    <w:rsid w:val="0070207C"/>
    <w:rsid w:val="00702BC8"/>
    <w:rsid w:val="007046C2"/>
    <w:rsid w:val="00706524"/>
    <w:rsid w:val="00712573"/>
    <w:rsid w:val="00716D58"/>
    <w:rsid w:val="00717BE4"/>
    <w:rsid w:val="00720ABE"/>
    <w:rsid w:val="00720C7B"/>
    <w:rsid w:val="00720D02"/>
    <w:rsid w:val="0072168D"/>
    <w:rsid w:val="00721A21"/>
    <w:rsid w:val="00721ECC"/>
    <w:rsid w:val="00723696"/>
    <w:rsid w:val="00725621"/>
    <w:rsid w:val="00725DB2"/>
    <w:rsid w:val="00727509"/>
    <w:rsid w:val="00730EDC"/>
    <w:rsid w:val="00731850"/>
    <w:rsid w:val="007330B8"/>
    <w:rsid w:val="00733446"/>
    <w:rsid w:val="00735CC5"/>
    <w:rsid w:val="00735D40"/>
    <w:rsid w:val="00736A06"/>
    <w:rsid w:val="007417A9"/>
    <w:rsid w:val="00742B37"/>
    <w:rsid w:val="00745276"/>
    <w:rsid w:val="00745AC5"/>
    <w:rsid w:val="00746A07"/>
    <w:rsid w:val="0074728B"/>
    <w:rsid w:val="00747733"/>
    <w:rsid w:val="00747937"/>
    <w:rsid w:val="007503B2"/>
    <w:rsid w:val="00750D05"/>
    <w:rsid w:val="00751105"/>
    <w:rsid w:val="007516AA"/>
    <w:rsid w:val="00752911"/>
    <w:rsid w:val="00752AFB"/>
    <w:rsid w:val="00753317"/>
    <w:rsid w:val="00754D6F"/>
    <w:rsid w:val="00756E25"/>
    <w:rsid w:val="007613E2"/>
    <w:rsid w:val="007616DF"/>
    <w:rsid w:val="007644B7"/>
    <w:rsid w:val="00765F10"/>
    <w:rsid w:val="00770483"/>
    <w:rsid w:val="007704BD"/>
    <w:rsid w:val="00771B81"/>
    <w:rsid w:val="00782F11"/>
    <w:rsid w:val="007831F6"/>
    <w:rsid w:val="00783D52"/>
    <w:rsid w:val="00785873"/>
    <w:rsid w:val="00790CE5"/>
    <w:rsid w:val="00791326"/>
    <w:rsid w:val="0079388F"/>
    <w:rsid w:val="00795976"/>
    <w:rsid w:val="007A07C7"/>
    <w:rsid w:val="007A1B45"/>
    <w:rsid w:val="007A3116"/>
    <w:rsid w:val="007B301F"/>
    <w:rsid w:val="007B4BD0"/>
    <w:rsid w:val="007B5DA5"/>
    <w:rsid w:val="007B6AAD"/>
    <w:rsid w:val="007C2598"/>
    <w:rsid w:val="007C4E19"/>
    <w:rsid w:val="007C5C91"/>
    <w:rsid w:val="007C7563"/>
    <w:rsid w:val="007D2B28"/>
    <w:rsid w:val="007D2F62"/>
    <w:rsid w:val="007D2F8B"/>
    <w:rsid w:val="007D5F10"/>
    <w:rsid w:val="007D60B4"/>
    <w:rsid w:val="007E1DF1"/>
    <w:rsid w:val="007E5A07"/>
    <w:rsid w:val="007E6A44"/>
    <w:rsid w:val="007F015C"/>
    <w:rsid w:val="007F3C61"/>
    <w:rsid w:val="007F4697"/>
    <w:rsid w:val="007F69BC"/>
    <w:rsid w:val="00800CDE"/>
    <w:rsid w:val="00801CCF"/>
    <w:rsid w:val="0080206E"/>
    <w:rsid w:val="008041FB"/>
    <w:rsid w:val="00806065"/>
    <w:rsid w:val="00814FBE"/>
    <w:rsid w:val="00825992"/>
    <w:rsid w:val="008264A8"/>
    <w:rsid w:val="00826533"/>
    <w:rsid w:val="0083128A"/>
    <w:rsid w:val="008318B6"/>
    <w:rsid w:val="0083271A"/>
    <w:rsid w:val="00833BB8"/>
    <w:rsid w:val="008356B4"/>
    <w:rsid w:val="00841E0C"/>
    <w:rsid w:val="00842141"/>
    <w:rsid w:val="00842E0D"/>
    <w:rsid w:val="00843712"/>
    <w:rsid w:val="00844D09"/>
    <w:rsid w:val="00844E77"/>
    <w:rsid w:val="00844FCB"/>
    <w:rsid w:val="00845F36"/>
    <w:rsid w:val="00851229"/>
    <w:rsid w:val="00856A4E"/>
    <w:rsid w:val="0086237E"/>
    <w:rsid w:val="008641E7"/>
    <w:rsid w:val="00867F03"/>
    <w:rsid w:val="00874FE1"/>
    <w:rsid w:val="00877949"/>
    <w:rsid w:val="00877E60"/>
    <w:rsid w:val="00881001"/>
    <w:rsid w:val="008839F3"/>
    <w:rsid w:val="00885BBA"/>
    <w:rsid w:val="008870DD"/>
    <w:rsid w:val="00887CE4"/>
    <w:rsid w:val="00890BFC"/>
    <w:rsid w:val="00893379"/>
    <w:rsid w:val="00893BA5"/>
    <w:rsid w:val="00893C8E"/>
    <w:rsid w:val="008945F6"/>
    <w:rsid w:val="008946C5"/>
    <w:rsid w:val="00895047"/>
    <w:rsid w:val="008A161F"/>
    <w:rsid w:val="008A301E"/>
    <w:rsid w:val="008A5941"/>
    <w:rsid w:val="008B3C96"/>
    <w:rsid w:val="008B47A5"/>
    <w:rsid w:val="008B54F3"/>
    <w:rsid w:val="008B6333"/>
    <w:rsid w:val="008B653C"/>
    <w:rsid w:val="008C038D"/>
    <w:rsid w:val="008C406B"/>
    <w:rsid w:val="008C451D"/>
    <w:rsid w:val="008C4AFD"/>
    <w:rsid w:val="008D02C9"/>
    <w:rsid w:val="008D0F46"/>
    <w:rsid w:val="008D1A25"/>
    <w:rsid w:val="008D1C7C"/>
    <w:rsid w:val="008D2A36"/>
    <w:rsid w:val="008D3339"/>
    <w:rsid w:val="008D3D99"/>
    <w:rsid w:val="008D4423"/>
    <w:rsid w:val="008D5844"/>
    <w:rsid w:val="008D68E0"/>
    <w:rsid w:val="008E5833"/>
    <w:rsid w:val="008E6586"/>
    <w:rsid w:val="008F0D5C"/>
    <w:rsid w:val="008F0D79"/>
    <w:rsid w:val="008F2319"/>
    <w:rsid w:val="008F351A"/>
    <w:rsid w:val="008F38B8"/>
    <w:rsid w:val="008F4CA6"/>
    <w:rsid w:val="008F60FE"/>
    <w:rsid w:val="009005A1"/>
    <w:rsid w:val="00900AE4"/>
    <w:rsid w:val="00902518"/>
    <w:rsid w:val="009038EB"/>
    <w:rsid w:val="00903FE6"/>
    <w:rsid w:val="00905A12"/>
    <w:rsid w:val="00906F9C"/>
    <w:rsid w:val="00907C03"/>
    <w:rsid w:val="00907ED3"/>
    <w:rsid w:val="009120AC"/>
    <w:rsid w:val="009120EA"/>
    <w:rsid w:val="00913381"/>
    <w:rsid w:val="00913D1C"/>
    <w:rsid w:val="00915EB1"/>
    <w:rsid w:val="009171D4"/>
    <w:rsid w:val="00917FF6"/>
    <w:rsid w:val="009208A1"/>
    <w:rsid w:val="00920960"/>
    <w:rsid w:val="00923710"/>
    <w:rsid w:val="00923FAA"/>
    <w:rsid w:val="009262B9"/>
    <w:rsid w:val="009301F6"/>
    <w:rsid w:val="0093110A"/>
    <w:rsid w:val="00931CC9"/>
    <w:rsid w:val="009352E1"/>
    <w:rsid w:val="00935E9A"/>
    <w:rsid w:val="009412F8"/>
    <w:rsid w:val="0094269C"/>
    <w:rsid w:val="0094596C"/>
    <w:rsid w:val="00947B45"/>
    <w:rsid w:val="00954234"/>
    <w:rsid w:val="0096081C"/>
    <w:rsid w:val="0096091D"/>
    <w:rsid w:val="00963B0D"/>
    <w:rsid w:val="00964B5A"/>
    <w:rsid w:val="00964DBA"/>
    <w:rsid w:val="00966888"/>
    <w:rsid w:val="00967EA9"/>
    <w:rsid w:val="009707CC"/>
    <w:rsid w:val="00976D7E"/>
    <w:rsid w:val="00980003"/>
    <w:rsid w:val="0098125A"/>
    <w:rsid w:val="00982C2B"/>
    <w:rsid w:val="0098354C"/>
    <w:rsid w:val="00986B9A"/>
    <w:rsid w:val="00990627"/>
    <w:rsid w:val="009918F5"/>
    <w:rsid w:val="009928AC"/>
    <w:rsid w:val="00992A14"/>
    <w:rsid w:val="00994D80"/>
    <w:rsid w:val="00995030"/>
    <w:rsid w:val="0099513B"/>
    <w:rsid w:val="009A029A"/>
    <w:rsid w:val="009A22CA"/>
    <w:rsid w:val="009B0C78"/>
    <w:rsid w:val="009B1EAE"/>
    <w:rsid w:val="009B3928"/>
    <w:rsid w:val="009B50B1"/>
    <w:rsid w:val="009B5264"/>
    <w:rsid w:val="009B5CED"/>
    <w:rsid w:val="009B6093"/>
    <w:rsid w:val="009C0941"/>
    <w:rsid w:val="009C1F05"/>
    <w:rsid w:val="009C2010"/>
    <w:rsid w:val="009C2C1C"/>
    <w:rsid w:val="009C2CBC"/>
    <w:rsid w:val="009C4C3F"/>
    <w:rsid w:val="009C4D5B"/>
    <w:rsid w:val="009C5F18"/>
    <w:rsid w:val="009C5F72"/>
    <w:rsid w:val="009C6CF7"/>
    <w:rsid w:val="009C7F63"/>
    <w:rsid w:val="009D1A3A"/>
    <w:rsid w:val="009D7FDB"/>
    <w:rsid w:val="009E0E72"/>
    <w:rsid w:val="009E2CF0"/>
    <w:rsid w:val="009E316F"/>
    <w:rsid w:val="009E31F1"/>
    <w:rsid w:val="009E3A84"/>
    <w:rsid w:val="009E4C7E"/>
    <w:rsid w:val="009E5C3B"/>
    <w:rsid w:val="009E5ED0"/>
    <w:rsid w:val="009E6B20"/>
    <w:rsid w:val="009F1143"/>
    <w:rsid w:val="009F2E57"/>
    <w:rsid w:val="009F329D"/>
    <w:rsid w:val="009F5A9E"/>
    <w:rsid w:val="00A07ED7"/>
    <w:rsid w:val="00A101DF"/>
    <w:rsid w:val="00A150D0"/>
    <w:rsid w:val="00A160A2"/>
    <w:rsid w:val="00A2086D"/>
    <w:rsid w:val="00A22600"/>
    <w:rsid w:val="00A26D82"/>
    <w:rsid w:val="00A30789"/>
    <w:rsid w:val="00A31038"/>
    <w:rsid w:val="00A31672"/>
    <w:rsid w:val="00A341B9"/>
    <w:rsid w:val="00A35EC2"/>
    <w:rsid w:val="00A459AA"/>
    <w:rsid w:val="00A460CF"/>
    <w:rsid w:val="00A4678C"/>
    <w:rsid w:val="00A47FBC"/>
    <w:rsid w:val="00A5145D"/>
    <w:rsid w:val="00A51B0A"/>
    <w:rsid w:val="00A52F2B"/>
    <w:rsid w:val="00A532DD"/>
    <w:rsid w:val="00A5335E"/>
    <w:rsid w:val="00A548B0"/>
    <w:rsid w:val="00A54903"/>
    <w:rsid w:val="00A54BD8"/>
    <w:rsid w:val="00A57CAA"/>
    <w:rsid w:val="00A61F1F"/>
    <w:rsid w:val="00A62388"/>
    <w:rsid w:val="00A64368"/>
    <w:rsid w:val="00A654FF"/>
    <w:rsid w:val="00A65E68"/>
    <w:rsid w:val="00A661B1"/>
    <w:rsid w:val="00A66E92"/>
    <w:rsid w:val="00A712F8"/>
    <w:rsid w:val="00A731FE"/>
    <w:rsid w:val="00A818F4"/>
    <w:rsid w:val="00A81DF3"/>
    <w:rsid w:val="00A82075"/>
    <w:rsid w:val="00A8224D"/>
    <w:rsid w:val="00A85377"/>
    <w:rsid w:val="00A863CC"/>
    <w:rsid w:val="00A94466"/>
    <w:rsid w:val="00A97AA4"/>
    <w:rsid w:val="00AA0BF7"/>
    <w:rsid w:val="00AA3E56"/>
    <w:rsid w:val="00AA6859"/>
    <w:rsid w:val="00AB08A0"/>
    <w:rsid w:val="00AB1350"/>
    <w:rsid w:val="00AB1612"/>
    <w:rsid w:val="00AB1697"/>
    <w:rsid w:val="00AB2406"/>
    <w:rsid w:val="00AB4F3C"/>
    <w:rsid w:val="00AB51A2"/>
    <w:rsid w:val="00AB7CC9"/>
    <w:rsid w:val="00AC28CD"/>
    <w:rsid w:val="00AC2F78"/>
    <w:rsid w:val="00AC4E5F"/>
    <w:rsid w:val="00AD1EC0"/>
    <w:rsid w:val="00AD4526"/>
    <w:rsid w:val="00AD4B79"/>
    <w:rsid w:val="00AD5196"/>
    <w:rsid w:val="00AE01AB"/>
    <w:rsid w:val="00AE0E22"/>
    <w:rsid w:val="00AE2702"/>
    <w:rsid w:val="00AE539B"/>
    <w:rsid w:val="00AE578D"/>
    <w:rsid w:val="00AE66C7"/>
    <w:rsid w:val="00AE743D"/>
    <w:rsid w:val="00AE798E"/>
    <w:rsid w:val="00AF16FB"/>
    <w:rsid w:val="00AF255A"/>
    <w:rsid w:val="00AF2597"/>
    <w:rsid w:val="00AF2BE6"/>
    <w:rsid w:val="00AF3AB8"/>
    <w:rsid w:val="00AF5042"/>
    <w:rsid w:val="00B02B15"/>
    <w:rsid w:val="00B06A52"/>
    <w:rsid w:val="00B10BEE"/>
    <w:rsid w:val="00B11B19"/>
    <w:rsid w:val="00B214E6"/>
    <w:rsid w:val="00B2261D"/>
    <w:rsid w:val="00B227B6"/>
    <w:rsid w:val="00B22DB9"/>
    <w:rsid w:val="00B24E11"/>
    <w:rsid w:val="00B2501E"/>
    <w:rsid w:val="00B2570B"/>
    <w:rsid w:val="00B26333"/>
    <w:rsid w:val="00B267D6"/>
    <w:rsid w:val="00B32F75"/>
    <w:rsid w:val="00B35345"/>
    <w:rsid w:val="00B35B1E"/>
    <w:rsid w:val="00B407DB"/>
    <w:rsid w:val="00B42452"/>
    <w:rsid w:val="00B42E37"/>
    <w:rsid w:val="00B441A7"/>
    <w:rsid w:val="00B44273"/>
    <w:rsid w:val="00B44DED"/>
    <w:rsid w:val="00B45026"/>
    <w:rsid w:val="00B47CA8"/>
    <w:rsid w:val="00B510EE"/>
    <w:rsid w:val="00B512D3"/>
    <w:rsid w:val="00B5165F"/>
    <w:rsid w:val="00B5308F"/>
    <w:rsid w:val="00B57047"/>
    <w:rsid w:val="00B602CC"/>
    <w:rsid w:val="00B60AFD"/>
    <w:rsid w:val="00B621DD"/>
    <w:rsid w:val="00B6328B"/>
    <w:rsid w:val="00B632EA"/>
    <w:rsid w:val="00B63B9D"/>
    <w:rsid w:val="00B66F41"/>
    <w:rsid w:val="00B67BDC"/>
    <w:rsid w:val="00B72B74"/>
    <w:rsid w:val="00B737FB"/>
    <w:rsid w:val="00B73B9C"/>
    <w:rsid w:val="00B7410A"/>
    <w:rsid w:val="00B745FE"/>
    <w:rsid w:val="00B749FB"/>
    <w:rsid w:val="00B77211"/>
    <w:rsid w:val="00B8020A"/>
    <w:rsid w:val="00B80EC1"/>
    <w:rsid w:val="00B811FB"/>
    <w:rsid w:val="00B84C13"/>
    <w:rsid w:val="00B85073"/>
    <w:rsid w:val="00B917D3"/>
    <w:rsid w:val="00B91A06"/>
    <w:rsid w:val="00B92E04"/>
    <w:rsid w:val="00B965F9"/>
    <w:rsid w:val="00B968B9"/>
    <w:rsid w:val="00BA198F"/>
    <w:rsid w:val="00BA1A35"/>
    <w:rsid w:val="00BA1F84"/>
    <w:rsid w:val="00BA489A"/>
    <w:rsid w:val="00BA4F69"/>
    <w:rsid w:val="00BA5515"/>
    <w:rsid w:val="00BB17D9"/>
    <w:rsid w:val="00BB1C76"/>
    <w:rsid w:val="00BB4D02"/>
    <w:rsid w:val="00BB59BF"/>
    <w:rsid w:val="00BB613E"/>
    <w:rsid w:val="00BB6743"/>
    <w:rsid w:val="00BC5B8D"/>
    <w:rsid w:val="00BC64C7"/>
    <w:rsid w:val="00BC7025"/>
    <w:rsid w:val="00BC7E7F"/>
    <w:rsid w:val="00BD547D"/>
    <w:rsid w:val="00BD582C"/>
    <w:rsid w:val="00BE1663"/>
    <w:rsid w:val="00BE199F"/>
    <w:rsid w:val="00BE2D78"/>
    <w:rsid w:val="00BE53BC"/>
    <w:rsid w:val="00BE5462"/>
    <w:rsid w:val="00BE62F6"/>
    <w:rsid w:val="00BF207B"/>
    <w:rsid w:val="00BF26BA"/>
    <w:rsid w:val="00BF4D61"/>
    <w:rsid w:val="00BF510D"/>
    <w:rsid w:val="00C037C5"/>
    <w:rsid w:val="00C03B7B"/>
    <w:rsid w:val="00C03EFC"/>
    <w:rsid w:val="00C04C0E"/>
    <w:rsid w:val="00C114FC"/>
    <w:rsid w:val="00C11743"/>
    <w:rsid w:val="00C11D52"/>
    <w:rsid w:val="00C1205E"/>
    <w:rsid w:val="00C14285"/>
    <w:rsid w:val="00C14F15"/>
    <w:rsid w:val="00C16273"/>
    <w:rsid w:val="00C167A7"/>
    <w:rsid w:val="00C169EC"/>
    <w:rsid w:val="00C16D6E"/>
    <w:rsid w:val="00C17345"/>
    <w:rsid w:val="00C20249"/>
    <w:rsid w:val="00C2080D"/>
    <w:rsid w:val="00C209B8"/>
    <w:rsid w:val="00C20E43"/>
    <w:rsid w:val="00C22187"/>
    <w:rsid w:val="00C22FE9"/>
    <w:rsid w:val="00C2370C"/>
    <w:rsid w:val="00C23FCB"/>
    <w:rsid w:val="00C2483D"/>
    <w:rsid w:val="00C248C5"/>
    <w:rsid w:val="00C249C1"/>
    <w:rsid w:val="00C310F1"/>
    <w:rsid w:val="00C31E19"/>
    <w:rsid w:val="00C32155"/>
    <w:rsid w:val="00C33723"/>
    <w:rsid w:val="00C3455F"/>
    <w:rsid w:val="00C3502A"/>
    <w:rsid w:val="00C360AC"/>
    <w:rsid w:val="00C40EC6"/>
    <w:rsid w:val="00C41C46"/>
    <w:rsid w:val="00C443E4"/>
    <w:rsid w:val="00C503FA"/>
    <w:rsid w:val="00C508ED"/>
    <w:rsid w:val="00C50E47"/>
    <w:rsid w:val="00C518E2"/>
    <w:rsid w:val="00C51FAD"/>
    <w:rsid w:val="00C55A97"/>
    <w:rsid w:val="00C55B0D"/>
    <w:rsid w:val="00C55D11"/>
    <w:rsid w:val="00C55F35"/>
    <w:rsid w:val="00C5674C"/>
    <w:rsid w:val="00C60D9E"/>
    <w:rsid w:val="00C6402C"/>
    <w:rsid w:val="00C65840"/>
    <w:rsid w:val="00C674C9"/>
    <w:rsid w:val="00C7162D"/>
    <w:rsid w:val="00C7442D"/>
    <w:rsid w:val="00C7755D"/>
    <w:rsid w:val="00C80199"/>
    <w:rsid w:val="00C805F5"/>
    <w:rsid w:val="00C80EA0"/>
    <w:rsid w:val="00C82172"/>
    <w:rsid w:val="00C82A1A"/>
    <w:rsid w:val="00C85C2B"/>
    <w:rsid w:val="00C93B30"/>
    <w:rsid w:val="00C956FF"/>
    <w:rsid w:val="00CA29DA"/>
    <w:rsid w:val="00CA34BB"/>
    <w:rsid w:val="00CA3C6A"/>
    <w:rsid w:val="00CA5561"/>
    <w:rsid w:val="00CA5C78"/>
    <w:rsid w:val="00CA6471"/>
    <w:rsid w:val="00CA652E"/>
    <w:rsid w:val="00CA6E6E"/>
    <w:rsid w:val="00CA7DF9"/>
    <w:rsid w:val="00CB0453"/>
    <w:rsid w:val="00CB200A"/>
    <w:rsid w:val="00CB2CAC"/>
    <w:rsid w:val="00CB2ED3"/>
    <w:rsid w:val="00CB5DAA"/>
    <w:rsid w:val="00CB62D1"/>
    <w:rsid w:val="00CB66FA"/>
    <w:rsid w:val="00CC2873"/>
    <w:rsid w:val="00CC4284"/>
    <w:rsid w:val="00CC4DA6"/>
    <w:rsid w:val="00CC4DCF"/>
    <w:rsid w:val="00CD0DE6"/>
    <w:rsid w:val="00CD4A9C"/>
    <w:rsid w:val="00CD5CF4"/>
    <w:rsid w:val="00CD79EF"/>
    <w:rsid w:val="00CD7B1E"/>
    <w:rsid w:val="00CE0383"/>
    <w:rsid w:val="00CE123F"/>
    <w:rsid w:val="00CE4DDB"/>
    <w:rsid w:val="00CE7796"/>
    <w:rsid w:val="00CF050C"/>
    <w:rsid w:val="00CF2B4B"/>
    <w:rsid w:val="00CF3169"/>
    <w:rsid w:val="00CF4044"/>
    <w:rsid w:val="00CF4198"/>
    <w:rsid w:val="00CF4807"/>
    <w:rsid w:val="00CF4CC2"/>
    <w:rsid w:val="00CF5EFF"/>
    <w:rsid w:val="00CF65B5"/>
    <w:rsid w:val="00CF68A9"/>
    <w:rsid w:val="00D01BE0"/>
    <w:rsid w:val="00D01CA0"/>
    <w:rsid w:val="00D01D4F"/>
    <w:rsid w:val="00D02582"/>
    <w:rsid w:val="00D03085"/>
    <w:rsid w:val="00D0325B"/>
    <w:rsid w:val="00D05928"/>
    <w:rsid w:val="00D05DBA"/>
    <w:rsid w:val="00D06547"/>
    <w:rsid w:val="00D11128"/>
    <w:rsid w:val="00D127BB"/>
    <w:rsid w:val="00D14438"/>
    <w:rsid w:val="00D15342"/>
    <w:rsid w:val="00D155AF"/>
    <w:rsid w:val="00D16BC1"/>
    <w:rsid w:val="00D1741D"/>
    <w:rsid w:val="00D17F64"/>
    <w:rsid w:val="00D20556"/>
    <w:rsid w:val="00D2169A"/>
    <w:rsid w:val="00D2170E"/>
    <w:rsid w:val="00D218A0"/>
    <w:rsid w:val="00D22B97"/>
    <w:rsid w:val="00D24B62"/>
    <w:rsid w:val="00D2606D"/>
    <w:rsid w:val="00D26785"/>
    <w:rsid w:val="00D26B2B"/>
    <w:rsid w:val="00D3240F"/>
    <w:rsid w:val="00D45709"/>
    <w:rsid w:val="00D4710D"/>
    <w:rsid w:val="00D47A41"/>
    <w:rsid w:val="00D5247C"/>
    <w:rsid w:val="00D544CE"/>
    <w:rsid w:val="00D55657"/>
    <w:rsid w:val="00D5585A"/>
    <w:rsid w:val="00D57E71"/>
    <w:rsid w:val="00D611C0"/>
    <w:rsid w:val="00D62ABD"/>
    <w:rsid w:val="00D63E81"/>
    <w:rsid w:val="00D67DE1"/>
    <w:rsid w:val="00D72B99"/>
    <w:rsid w:val="00D7393D"/>
    <w:rsid w:val="00D75AB8"/>
    <w:rsid w:val="00D76745"/>
    <w:rsid w:val="00D80C9A"/>
    <w:rsid w:val="00D8236F"/>
    <w:rsid w:val="00D83472"/>
    <w:rsid w:val="00D84F7B"/>
    <w:rsid w:val="00D856F7"/>
    <w:rsid w:val="00D86B5E"/>
    <w:rsid w:val="00D876A4"/>
    <w:rsid w:val="00D87752"/>
    <w:rsid w:val="00D90651"/>
    <w:rsid w:val="00D9097F"/>
    <w:rsid w:val="00D93EDA"/>
    <w:rsid w:val="00D946D7"/>
    <w:rsid w:val="00D94D43"/>
    <w:rsid w:val="00D94D64"/>
    <w:rsid w:val="00D96707"/>
    <w:rsid w:val="00D971EC"/>
    <w:rsid w:val="00DA0F28"/>
    <w:rsid w:val="00DA194F"/>
    <w:rsid w:val="00DA4AD5"/>
    <w:rsid w:val="00DA5D97"/>
    <w:rsid w:val="00DA7069"/>
    <w:rsid w:val="00DA7BD8"/>
    <w:rsid w:val="00DB0719"/>
    <w:rsid w:val="00DB073A"/>
    <w:rsid w:val="00DB1D54"/>
    <w:rsid w:val="00DB3AC6"/>
    <w:rsid w:val="00DB4998"/>
    <w:rsid w:val="00DB6978"/>
    <w:rsid w:val="00DB6A7D"/>
    <w:rsid w:val="00DC14C9"/>
    <w:rsid w:val="00DC1EAA"/>
    <w:rsid w:val="00DC2106"/>
    <w:rsid w:val="00DC2815"/>
    <w:rsid w:val="00DC37BD"/>
    <w:rsid w:val="00DC451B"/>
    <w:rsid w:val="00DC6975"/>
    <w:rsid w:val="00DC7D49"/>
    <w:rsid w:val="00DD1CE6"/>
    <w:rsid w:val="00DD22A5"/>
    <w:rsid w:val="00DD2F16"/>
    <w:rsid w:val="00DD420E"/>
    <w:rsid w:val="00DD5498"/>
    <w:rsid w:val="00DE34CC"/>
    <w:rsid w:val="00DE3587"/>
    <w:rsid w:val="00DE41D3"/>
    <w:rsid w:val="00DF01E1"/>
    <w:rsid w:val="00DF0201"/>
    <w:rsid w:val="00DF126C"/>
    <w:rsid w:val="00DF1CF0"/>
    <w:rsid w:val="00DF3E56"/>
    <w:rsid w:val="00DF492C"/>
    <w:rsid w:val="00DF5C6D"/>
    <w:rsid w:val="00DF67D7"/>
    <w:rsid w:val="00DF7DB5"/>
    <w:rsid w:val="00E002C8"/>
    <w:rsid w:val="00E010AB"/>
    <w:rsid w:val="00E01767"/>
    <w:rsid w:val="00E02ED2"/>
    <w:rsid w:val="00E039F1"/>
    <w:rsid w:val="00E05E54"/>
    <w:rsid w:val="00E130AD"/>
    <w:rsid w:val="00E134C6"/>
    <w:rsid w:val="00E1374D"/>
    <w:rsid w:val="00E13B1F"/>
    <w:rsid w:val="00E13BD5"/>
    <w:rsid w:val="00E20430"/>
    <w:rsid w:val="00E211A0"/>
    <w:rsid w:val="00E2136F"/>
    <w:rsid w:val="00E217DD"/>
    <w:rsid w:val="00E21F66"/>
    <w:rsid w:val="00E22664"/>
    <w:rsid w:val="00E23924"/>
    <w:rsid w:val="00E23AAD"/>
    <w:rsid w:val="00E23E9D"/>
    <w:rsid w:val="00E26A14"/>
    <w:rsid w:val="00E26DD9"/>
    <w:rsid w:val="00E270C8"/>
    <w:rsid w:val="00E30653"/>
    <w:rsid w:val="00E3142F"/>
    <w:rsid w:val="00E3616C"/>
    <w:rsid w:val="00E36970"/>
    <w:rsid w:val="00E3773D"/>
    <w:rsid w:val="00E37C94"/>
    <w:rsid w:val="00E37FCA"/>
    <w:rsid w:val="00E40B9B"/>
    <w:rsid w:val="00E41393"/>
    <w:rsid w:val="00E41B48"/>
    <w:rsid w:val="00E424B2"/>
    <w:rsid w:val="00E4393F"/>
    <w:rsid w:val="00E44806"/>
    <w:rsid w:val="00E45960"/>
    <w:rsid w:val="00E47ED8"/>
    <w:rsid w:val="00E53119"/>
    <w:rsid w:val="00E54039"/>
    <w:rsid w:val="00E56890"/>
    <w:rsid w:val="00E57161"/>
    <w:rsid w:val="00E640B2"/>
    <w:rsid w:val="00E64CFE"/>
    <w:rsid w:val="00E65B8C"/>
    <w:rsid w:val="00E67B3A"/>
    <w:rsid w:val="00E71363"/>
    <w:rsid w:val="00E746AB"/>
    <w:rsid w:val="00E77871"/>
    <w:rsid w:val="00E80311"/>
    <w:rsid w:val="00E80977"/>
    <w:rsid w:val="00E81147"/>
    <w:rsid w:val="00E822C0"/>
    <w:rsid w:val="00E86773"/>
    <w:rsid w:val="00E87E66"/>
    <w:rsid w:val="00E90C01"/>
    <w:rsid w:val="00E92479"/>
    <w:rsid w:val="00E935CA"/>
    <w:rsid w:val="00E93C60"/>
    <w:rsid w:val="00E95297"/>
    <w:rsid w:val="00E95979"/>
    <w:rsid w:val="00E97EDA"/>
    <w:rsid w:val="00EA2915"/>
    <w:rsid w:val="00EA3258"/>
    <w:rsid w:val="00EA38FA"/>
    <w:rsid w:val="00EA4F29"/>
    <w:rsid w:val="00EA5AC0"/>
    <w:rsid w:val="00EA5F02"/>
    <w:rsid w:val="00EA7DE2"/>
    <w:rsid w:val="00EB38D9"/>
    <w:rsid w:val="00EB6027"/>
    <w:rsid w:val="00EB68B3"/>
    <w:rsid w:val="00EC08D6"/>
    <w:rsid w:val="00EC61F2"/>
    <w:rsid w:val="00EC65C3"/>
    <w:rsid w:val="00EC6750"/>
    <w:rsid w:val="00ED0516"/>
    <w:rsid w:val="00ED13A3"/>
    <w:rsid w:val="00ED3123"/>
    <w:rsid w:val="00ED349F"/>
    <w:rsid w:val="00ED58CB"/>
    <w:rsid w:val="00ED6FA3"/>
    <w:rsid w:val="00ED7F56"/>
    <w:rsid w:val="00EE14E7"/>
    <w:rsid w:val="00EE3EBA"/>
    <w:rsid w:val="00EE639B"/>
    <w:rsid w:val="00EE747A"/>
    <w:rsid w:val="00EF060C"/>
    <w:rsid w:val="00EF6620"/>
    <w:rsid w:val="00F045AF"/>
    <w:rsid w:val="00F0631A"/>
    <w:rsid w:val="00F06F58"/>
    <w:rsid w:val="00F06FCA"/>
    <w:rsid w:val="00F07846"/>
    <w:rsid w:val="00F1054F"/>
    <w:rsid w:val="00F110D0"/>
    <w:rsid w:val="00F11D90"/>
    <w:rsid w:val="00F122F1"/>
    <w:rsid w:val="00F135AD"/>
    <w:rsid w:val="00F145E1"/>
    <w:rsid w:val="00F20D2C"/>
    <w:rsid w:val="00F22C22"/>
    <w:rsid w:val="00F2344A"/>
    <w:rsid w:val="00F23657"/>
    <w:rsid w:val="00F2373D"/>
    <w:rsid w:val="00F239E9"/>
    <w:rsid w:val="00F243CF"/>
    <w:rsid w:val="00F24D7D"/>
    <w:rsid w:val="00F252F2"/>
    <w:rsid w:val="00F277D3"/>
    <w:rsid w:val="00F30060"/>
    <w:rsid w:val="00F30709"/>
    <w:rsid w:val="00F31F0B"/>
    <w:rsid w:val="00F32EA2"/>
    <w:rsid w:val="00F33A0A"/>
    <w:rsid w:val="00F36794"/>
    <w:rsid w:val="00F37767"/>
    <w:rsid w:val="00F37BF7"/>
    <w:rsid w:val="00F40938"/>
    <w:rsid w:val="00F433DB"/>
    <w:rsid w:val="00F43D85"/>
    <w:rsid w:val="00F43E3B"/>
    <w:rsid w:val="00F51680"/>
    <w:rsid w:val="00F54120"/>
    <w:rsid w:val="00F5640A"/>
    <w:rsid w:val="00F56CE6"/>
    <w:rsid w:val="00F56F9A"/>
    <w:rsid w:val="00F57C2E"/>
    <w:rsid w:val="00F57DB6"/>
    <w:rsid w:val="00F62927"/>
    <w:rsid w:val="00F64D0D"/>
    <w:rsid w:val="00F66572"/>
    <w:rsid w:val="00F66A3A"/>
    <w:rsid w:val="00F70049"/>
    <w:rsid w:val="00F7224D"/>
    <w:rsid w:val="00F76AA0"/>
    <w:rsid w:val="00F77973"/>
    <w:rsid w:val="00F82852"/>
    <w:rsid w:val="00F83586"/>
    <w:rsid w:val="00F837BC"/>
    <w:rsid w:val="00F8480A"/>
    <w:rsid w:val="00FA1323"/>
    <w:rsid w:val="00FA170F"/>
    <w:rsid w:val="00FA503B"/>
    <w:rsid w:val="00FB0F6E"/>
    <w:rsid w:val="00FB42FC"/>
    <w:rsid w:val="00FB47EF"/>
    <w:rsid w:val="00FB49A6"/>
    <w:rsid w:val="00FC3C67"/>
    <w:rsid w:val="00FC4689"/>
    <w:rsid w:val="00FC4A2B"/>
    <w:rsid w:val="00FC58AF"/>
    <w:rsid w:val="00FC72E0"/>
    <w:rsid w:val="00FC73FB"/>
    <w:rsid w:val="00FC7B70"/>
    <w:rsid w:val="00FC7F89"/>
    <w:rsid w:val="00FD08E5"/>
    <w:rsid w:val="00FD1598"/>
    <w:rsid w:val="00FD18A2"/>
    <w:rsid w:val="00FD26F9"/>
    <w:rsid w:val="00FD5F9B"/>
    <w:rsid w:val="00FE00CA"/>
    <w:rsid w:val="00FE2D18"/>
    <w:rsid w:val="00FE315B"/>
    <w:rsid w:val="00FE4784"/>
    <w:rsid w:val="00FE4B57"/>
    <w:rsid w:val="00FE58A7"/>
    <w:rsid w:val="00FE78FC"/>
    <w:rsid w:val="00FE7DC8"/>
    <w:rsid w:val="00FF2CA4"/>
    <w:rsid w:val="00FF321D"/>
    <w:rsid w:val="00FF3376"/>
    <w:rsid w:val="00FF3D27"/>
    <w:rsid w:val="00FF48FD"/>
    <w:rsid w:val="00FF4EC3"/>
    <w:rsid w:val="00FF779E"/>
    <w:rsid w:val="00FF79F5"/>
    <w:rsid w:val="017F3E01"/>
    <w:rsid w:val="04512F80"/>
    <w:rsid w:val="053621EC"/>
    <w:rsid w:val="08644325"/>
    <w:rsid w:val="08BA0E0D"/>
    <w:rsid w:val="08DE4082"/>
    <w:rsid w:val="09B763FE"/>
    <w:rsid w:val="0B02215F"/>
    <w:rsid w:val="10FC0463"/>
    <w:rsid w:val="148023E1"/>
    <w:rsid w:val="14A53D90"/>
    <w:rsid w:val="14BE227F"/>
    <w:rsid w:val="181F3C8E"/>
    <w:rsid w:val="19010E0B"/>
    <w:rsid w:val="1B7A20B5"/>
    <w:rsid w:val="1C381D54"/>
    <w:rsid w:val="21781084"/>
    <w:rsid w:val="21C565C2"/>
    <w:rsid w:val="21E464DA"/>
    <w:rsid w:val="23F70B0A"/>
    <w:rsid w:val="25861D82"/>
    <w:rsid w:val="25D14CE5"/>
    <w:rsid w:val="25D93C51"/>
    <w:rsid w:val="26051C9A"/>
    <w:rsid w:val="29B4417B"/>
    <w:rsid w:val="2BA128A4"/>
    <w:rsid w:val="2BEF6113"/>
    <w:rsid w:val="2D542766"/>
    <w:rsid w:val="2E901BF1"/>
    <w:rsid w:val="301A393B"/>
    <w:rsid w:val="343F7563"/>
    <w:rsid w:val="35A34E37"/>
    <w:rsid w:val="35FD4C2E"/>
    <w:rsid w:val="39202096"/>
    <w:rsid w:val="3CAA23A2"/>
    <w:rsid w:val="41A84AC9"/>
    <w:rsid w:val="4348487B"/>
    <w:rsid w:val="4B7D3244"/>
    <w:rsid w:val="4DBA5586"/>
    <w:rsid w:val="4E684030"/>
    <w:rsid w:val="511625F2"/>
    <w:rsid w:val="5417363B"/>
    <w:rsid w:val="54A228A8"/>
    <w:rsid w:val="54BC1A54"/>
    <w:rsid w:val="54FE72D7"/>
    <w:rsid w:val="58335F48"/>
    <w:rsid w:val="5C3E286A"/>
    <w:rsid w:val="5F1A405E"/>
    <w:rsid w:val="5F1A5CD8"/>
    <w:rsid w:val="60DC1734"/>
    <w:rsid w:val="61C73F05"/>
    <w:rsid w:val="63917D91"/>
    <w:rsid w:val="63F74CC6"/>
    <w:rsid w:val="680F10D4"/>
    <w:rsid w:val="688026B1"/>
    <w:rsid w:val="6A430E41"/>
    <w:rsid w:val="6DAA39C2"/>
    <w:rsid w:val="716965A9"/>
    <w:rsid w:val="7553444B"/>
    <w:rsid w:val="78A26ABB"/>
    <w:rsid w:val="7BFD2AE5"/>
    <w:rsid w:val="7E955D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1831</Words>
  <Characters>1928</Characters>
  <Lines>12</Lines>
  <Paragraphs>3</Paragraphs>
  <TotalTime>0</TotalTime>
  <ScaleCrop>false</ScaleCrop>
  <LinksUpToDate>false</LinksUpToDate>
  <CharactersWithSpaces>1975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2024-07-31T08:09:00Z</dcterms:created>
  <dc:creator>黄镝</dc:creator>
  <cp:lastModifiedBy>李其秀</cp:lastModifiedBy>
  <cp:lastPrinted>2024-09-04T06:29:00Z</cp:lastPrinted>
  <dcterms:modified xsi:type="dcterms:W3CDTF">2024-09-10T08:09:07Z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735FA1712E684BB2A4DDFA1475A7733B_13</vt:lpwstr>
  </property>
</Properties>
</file>