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400" w:lineRule="exact"/>
        <w:jc w:val="left"/>
        <w:rPr>
          <w:rFonts w:ascii="宋体" w:hAnsi="宋体"/>
          <w:bCs/>
          <w:iCs/>
          <w:sz w:val="24"/>
        </w:rPr>
      </w:pPr>
      <w:r>
        <w:rPr>
          <w:rFonts w:hint="eastAsia" w:ascii="宋体" w:hAnsi="宋体"/>
          <w:bCs/>
          <w:iCs/>
          <w:sz w:val="24"/>
        </w:rPr>
        <w:t>股票代码：</w:t>
      </w:r>
      <w:r>
        <w:rPr>
          <w:rFonts w:hint="eastAsia" w:ascii="宋体" w:hAnsi="宋体"/>
          <w:bCs/>
          <w:iCs/>
          <w:sz w:val="24"/>
          <w:lang w:val="en-US" w:eastAsia="zh-CN"/>
        </w:rPr>
        <w:t>600716</w:t>
      </w:r>
      <w:r>
        <w:rPr>
          <w:rFonts w:hint="eastAsia" w:ascii="宋体" w:hAnsi="宋体"/>
          <w:bCs/>
          <w:iCs/>
          <w:sz w:val="24"/>
        </w:rPr>
        <w:t xml:space="preserve">              </w:t>
      </w:r>
      <w:r>
        <w:rPr>
          <w:rFonts w:hint="eastAsia" w:ascii="宋体" w:hAnsi="宋体"/>
          <w:bCs/>
          <w:iCs/>
          <w:sz w:val="24"/>
          <w:lang w:val="en-US" w:eastAsia="zh-CN"/>
        </w:rPr>
        <w:tab/>
      </w:r>
      <w:r>
        <w:rPr>
          <w:rFonts w:hint="eastAsia" w:ascii="宋体" w:hAnsi="宋体"/>
          <w:bCs/>
          <w:iCs/>
          <w:sz w:val="24"/>
          <w:lang w:val="en-US" w:eastAsia="zh-CN"/>
        </w:rPr>
        <w:tab/>
      </w:r>
      <w:r>
        <w:rPr>
          <w:rFonts w:hint="eastAsia" w:ascii="宋体" w:hAnsi="宋体"/>
          <w:bCs/>
          <w:iCs/>
          <w:sz w:val="24"/>
          <w:lang w:val="en-US" w:eastAsia="zh-CN"/>
        </w:rPr>
        <w:tab/>
      </w:r>
      <w:r>
        <w:rPr>
          <w:rFonts w:hint="eastAsia" w:ascii="宋体" w:hAnsi="宋体"/>
          <w:bCs/>
          <w:iCs/>
          <w:sz w:val="24"/>
        </w:rPr>
        <w:t>股票简称：</w:t>
      </w:r>
      <w:r>
        <w:rPr>
          <w:rFonts w:hint="eastAsia" w:ascii="宋体" w:hAnsi="宋体"/>
          <w:bCs/>
          <w:iCs/>
          <w:sz w:val="24"/>
          <w:lang w:val="en-US" w:eastAsia="zh-CN"/>
        </w:rPr>
        <w:t>凤凰股份</w:t>
      </w:r>
    </w:p>
    <w:p>
      <w:pPr>
        <w:spacing w:before="156" w:beforeLines="50" w:after="156" w:afterLines="50" w:line="400" w:lineRule="exact"/>
        <w:jc w:val="center"/>
        <w:rPr>
          <w:rFonts w:ascii="宋体" w:hAnsi="宋体"/>
          <w:b/>
          <w:bCs/>
          <w:iCs/>
          <w:sz w:val="28"/>
          <w:szCs w:val="28"/>
        </w:rPr>
      </w:pPr>
      <w:r>
        <w:rPr>
          <w:rFonts w:hint="eastAsia" w:ascii="宋体" w:hAnsi="宋体"/>
          <w:b/>
          <w:bCs/>
          <w:iCs/>
          <w:sz w:val="28"/>
          <w:szCs w:val="28"/>
          <w:lang w:val="en-US" w:eastAsia="zh-CN"/>
        </w:rPr>
        <w:t>江苏凤凰置业投资股份有限公司投资者</w:t>
      </w:r>
      <w:r>
        <w:rPr>
          <w:rFonts w:hint="eastAsia" w:ascii="宋体" w:hAnsi="宋体"/>
          <w:b/>
          <w:bCs/>
          <w:iCs/>
          <w:sz w:val="28"/>
          <w:szCs w:val="28"/>
        </w:rPr>
        <w:t>关系活动记录表</w:t>
      </w:r>
    </w:p>
    <w:p>
      <w:pPr>
        <w:spacing w:line="400" w:lineRule="exact"/>
        <w:rPr>
          <w:rFonts w:ascii="宋体" w:hAnsi="宋体"/>
          <w:bCs/>
          <w:iCs/>
          <w:sz w:val="24"/>
          <w:szCs w:val="24"/>
          <w:highlight w:val="yellow"/>
        </w:rPr>
      </w:pPr>
      <w:r>
        <w:rPr>
          <w:rFonts w:hint="eastAsia" w:ascii="宋体" w:hAnsi="宋体"/>
          <w:bCs/>
          <w:iCs/>
          <w:sz w:val="24"/>
          <w:szCs w:val="24"/>
        </w:rPr>
        <w:t xml:space="preserve">                                                      编号</w:t>
      </w:r>
      <w:r>
        <w:rPr>
          <w:rFonts w:hint="eastAsia" w:ascii="宋体" w:hAnsi="宋体"/>
          <w:bCs/>
          <w:iCs/>
          <w:sz w:val="24"/>
          <w:szCs w:val="24"/>
          <w:highlight w:val="none"/>
        </w:rPr>
        <w:t>：</w:t>
      </w:r>
      <w:r>
        <w:rPr>
          <w:rFonts w:hint="eastAsia" w:ascii="宋体" w:hAnsi="宋体"/>
          <w:bCs/>
          <w:iCs/>
          <w:sz w:val="24"/>
          <w:szCs w:val="24"/>
          <w:highlight w:val="none"/>
          <w:lang w:val="en-US" w:eastAsia="zh-CN"/>
        </w:rPr>
        <w:t>2024</w:t>
      </w:r>
      <w:r>
        <w:rPr>
          <w:rFonts w:hint="eastAsia" w:ascii="宋体" w:hAnsi="宋体"/>
          <w:bCs/>
          <w:iCs/>
          <w:sz w:val="24"/>
          <w:szCs w:val="24"/>
          <w:highlight w:val="none"/>
        </w:rPr>
        <w:t>-00</w:t>
      </w:r>
      <w:r>
        <w:rPr>
          <w:rFonts w:ascii="宋体" w:hAnsi="宋体"/>
          <w:bCs/>
          <w:iCs/>
          <w:sz w:val="24"/>
          <w:szCs w:val="24"/>
          <w:highlight w:val="none"/>
        </w:rPr>
        <w:t>2</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3"/>
        <w:gridCol w:w="59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3" w:type="dxa"/>
            <w:tcBorders>
              <w:top w:val="single" w:color="auto" w:sz="4" w:space="0"/>
              <w:left w:val="single" w:color="auto" w:sz="4" w:space="0"/>
              <w:bottom w:val="single" w:color="auto" w:sz="4" w:space="0"/>
              <w:right w:val="single" w:color="auto" w:sz="4" w:space="0"/>
            </w:tcBorders>
            <w:shd w:val="clear" w:color="auto" w:fill="auto"/>
          </w:tcPr>
          <w:p>
            <w:pPr>
              <w:spacing w:line="480" w:lineRule="atLeast"/>
              <w:rPr>
                <w:rFonts w:ascii="宋体" w:hAnsi="宋体"/>
                <w:b/>
                <w:bCs/>
                <w:iCs/>
                <w:sz w:val="24"/>
                <w:szCs w:val="24"/>
              </w:rPr>
            </w:pPr>
            <w:r>
              <w:rPr>
                <w:rFonts w:ascii="宋体" w:hAnsi="宋体"/>
                <w:b/>
                <w:bCs/>
                <w:iCs/>
                <w:sz w:val="24"/>
                <w:szCs w:val="24"/>
              </w:rPr>
              <w:t>投资者关系活动类别</w:t>
            </w:r>
          </w:p>
        </w:tc>
        <w:tc>
          <w:tcPr>
            <w:tcW w:w="5973" w:type="dxa"/>
            <w:tcBorders>
              <w:top w:val="single" w:color="auto" w:sz="4" w:space="0"/>
              <w:left w:val="single" w:color="auto" w:sz="4" w:space="0"/>
              <w:bottom w:val="single" w:color="auto" w:sz="4" w:space="0"/>
              <w:right w:val="single" w:color="auto" w:sz="4" w:space="0"/>
            </w:tcBorders>
            <w:shd w:val="clear" w:color="auto" w:fill="auto"/>
          </w:tcPr>
          <w:p>
            <w:pPr>
              <w:spacing w:line="480" w:lineRule="atLeast"/>
              <w:rPr>
                <w:rFonts w:ascii="宋体" w:hAnsi="宋体"/>
                <w:sz w:val="24"/>
                <w:szCs w:val="24"/>
              </w:rPr>
            </w:pPr>
            <w:r>
              <w:rPr>
                <w:rFonts w:ascii="宋体" w:hAnsi="宋体"/>
                <w:sz w:val="24"/>
                <w:szCs w:val="24"/>
              </w:rPr>
              <w:t>□特定对象调研        □分析师会议</w:t>
            </w:r>
          </w:p>
          <w:p>
            <w:pPr>
              <w:spacing w:line="480" w:lineRule="atLeast"/>
              <w:rPr>
                <w:rFonts w:ascii="宋体" w:hAnsi="宋体"/>
                <w:sz w:val="24"/>
                <w:szCs w:val="24"/>
              </w:rPr>
            </w:pPr>
            <w:r>
              <w:rPr>
                <w:rFonts w:ascii="宋体" w:hAnsi="宋体"/>
                <w:sz w:val="24"/>
                <w:szCs w:val="24"/>
              </w:rPr>
              <w:t xml:space="preserve">□媒体采访            </w:t>
            </w:r>
            <w:r>
              <w:rPr>
                <w:rFonts w:hint="eastAsia" w:ascii="宋体" w:hAnsi="宋体"/>
                <w:bCs/>
                <w:iCs/>
                <w:sz w:val="24"/>
                <w:szCs w:val="24"/>
              </w:rPr>
              <w:t>√</w:t>
            </w:r>
            <w:r>
              <w:rPr>
                <w:rFonts w:ascii="宋体" w:hAnsi="宋体"/>
                <w:sz w:val="24"/>
                <w:szCs w:val="24"/>
              </w:rPr>
              <w:t>业绩说明会</w:t>
            </w:r>
          </w:p>
          <w:p>
            <w:pPr>
              <w:spacing w:line="480" w:lineRule="atLeast"/>
              <w:rPr>
                <w:rFonts w:ascii="宋体" w:hAnsi="宋体"/>
                <w:sz w:val="24"/>
                <w:szCs w:val="24"/>
              </w:rPr>
            </w:pPr>
            <w:r>
              <w:rPr>
                <w:rFonts w:ascii="宋体" w:hAnsi="宋体"/>
                <w:sz w:val="24"/>
                <w:szCs w:val="24"/>
              </w:rPr>
              <w:t>□新闻发布会          □路演活动</w:t>
            </w:r>
          </w:p>
          <w:p>
            <w:pPr>
              <w:spacing w:line="480" w:lineRule="atLeast"/>
              <w:rPr>
                <w:rFonts w:ascii="宋体" w:hAnsi="宋体"/>
                <w:sz w:val="24"/>
                <w:szCs w:val="24"/>
              </w:rPr>
            </w:pPr>
            <w:r>
              <w:rPr>
                <w:rFonts w:ascii="宋体" w:hAnsi="宋体"/>
                <w:sz w:val="24"/>
                <w:szCs w:val="24"/>
              </w:rPr>
              <w:t>□现场参观</w:t>
            </w:r>
            <w:r>
              <w:rPr>
                <w:rFonts w:ascii="宋体" w:hAnsi="宋体"/>
                <w:sz w:val="24"/>
                <w:szCs w:val="24"/>
              </w:rPr>
              <w:tab/>
            </w:r>
          </w:p>
          <w:p>
            <w:pPr>
              <w:spacing w:line="480" w:lineRule="atLeast"/>
              <w:rPr>
                <w:rFonts w:asciiTheme="minorEastAsia" w:hAnsiTheme="minorEastAsia" w:eastAsiaTheme="minorEastAsia"/>
                <w:bCs/>
                <w:iCs/>
                <w:color w:val="000000"/>
                <w:sz w:val="24"/>
                <w:szCs w:val="24"/>
              </w:rPr>
            </w:pPr>
            <w:r>
              <w:rPr>
                <w:rFonts w:ascii="宋体" w:hAnsi="宋体"/>
                <w:sz w:val="24"/>
                <w:szCs w:val="24"/>
              </w:rPr>
              <w:t>□其他 （请文字说明其他活动内容）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2323" w:type="dxa"/>
            <w:tcBorders>
              <w:top w:val="single" w:color="auto" w:sz="4" w:space="0"/>
              <w:left w:val="single" w:color="auto" w:sz="4" w:space="0"/>
              <w:bottom w:val="single" w:color="auto" w:sz="4" w:space="0"/>
              <w:right w:val="single" w:color="auto" w:sz="4" w:space="0"/>
            </w:tcBorders>
            <w:shd w:val="clear" w:color="auto" w:fill="auto"/>
          </w:tcPr>
          <w:p>
            <w:pPr>
              <w:spacing w:line="480" w:lineRule="atLeast"/>
              <w:rPr>
                <w:rFonts w:ascii="宋体" w:hAnsi="宋体"/>
                <w:b/>
                <w:bCs/>
                <w:iCs/>
                <w:sz w:val="24"/>
                <w:szCs w:val="24"/>
              </w:rPr>
            </w:pPr>
            <w:r>
              <w:rPr>
                <w:rFonts w:ascii="宋体" w:hAnsi="宋体"/>
                <w:b/>
                <w:bCs/>
                <w:iCs/>
                <w:sz w:val="24"/>
                <w:szCs w:val="24"/>
              </w:rPr>
              <w:t>参与单位名称及人员姓名</w:t>
            </w:r>
          </w:p>
        </w:tc>
        <w:tc>
          <w:tcPr>
            <w:tcW w:w="5973" w:type="dxa"/>
            <w:tcBorders>
              <w:top w:val="single" w:color="auto" w:sz="4" w:space="0"/>
              <w:left w:val="single" w:color="auto" w:sz="4" w:space="0"/>
              <w:bottom w:val="single" w:color="auto" w:sz="4" w:space="0"/>
              <w:right w:val="single" w:color="auto" w:sz="4" w:space="0"/>
            </w:tcBorders>
            <w:shd w:val="clear" w:color="auto" w:fill="auto"/>
          </w:tcPr>
          <w:p>
            <w:pPr>
              <w:spacing w:line="480" w:lineRule="atLeast"/>
              <w:rPr>
                <w:rFonts w:asciiTheme="minorEastAsia" w:hAnsiTheme="minorEastAsia" w:eastAsiaTheme="minorEastAsia"/>
                <w:bCs/>
                <w:iCs/>
                <w:color w:val="000000"/>
                <w:sz w:val="24"/>
                <w:szCs w:val="24"/>
              </w:rPr>
            </w:pPr>
            <w:r>
              <w:rPr>
                <w:rFonts w:hint="eastAsia" w:ascii="宋体" w:hAnsi="宋体"/>
                <w:sz w:val="24"/>
                <w:szCs w:val="24"/>
              </w:rPr>
              <w:t>线上参与</w:t>
            </w:r>
            <w:r>
              <w:rPr>
                <w:rFonts w:hint="eastAsia" w:ascii="宋体" w:hAnsi="宋体"/>
                <w:sz w:val="24"/>
                <w:szCs w:val="24"/>
                <w:lang w:val="en-US" w:eastAsia="zh-CN"/>
              </w:rPr>
              <w:t>凤凰股份2024年半年度业绩说明会</w:t>
            </w:r>
            <w:r>
              <w:rPr>
                <w:rFonts w:hint="eastAsia" w:ascii="宋体" w:hAnsi="宋体"/>
                <w:sz w:val="24"/>
                <w:szCs w:val="24"/>
              </w:rPr>
              <w:t>的投资者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3" w:type="dxa"/>
            <w:tcBorders>
              <w:top w:val="single" w:color="auto" w:sz="4" w:space="0"/>
              <w:left w:val="single" w:color="auto" w:sz="4" w:space="0"/>
              <w:bottom w:val="single" w:color="auto" w:sz="4" w:space="0"/>
              <w:right w:val="single" w:color="auto" w:sz="4" w:space="0"/>
            </w:tcBorders>
            <w:shd w:val="clear" w:color="auto" w:fill="auto"/>
          </w:tcPr>
          <w:p>
            <w:pPr>
              <w:spacing w:line="480" w:lineRule="atLeast"/>
              <w:rPr>
                <w:rFonts w:ascii="宋体" w:hAnsi="宋体"/>
                <w:b/>
                <w:bCs/>
                <w:iCs/>
                <w:sz w:val="24"/>
                <w:szCs w:val="24"/>
              </w:rPr>
            </w:pPr>
            <w:r>
              <w:rPr>
                <w:rFonts w:ascii="宋体" w:hAnsi="宋体"/>
                <w:b/>
                <w:bCs/>
                <w:iCs/>
                <w:sz w:val="24"/>
                <w:szCs w:val="24"/>
              </w:rPr>
              <w:t>时间</w:t>
            </w:r>
          </w:p>
        </w:tc>
        <w:tc>
          <w:tcPr>
            <w:tcW w:w="597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rPr>
                <w:rFonts w:asciiTheme="minorEastAsia" w:hAnsiTheme="minorEastAsia" w:eastAsiaTheme="minorEastAsia"/>
                <w:bCs/>
                <w:iCs/>
                <w:color w:val="000000"/>
                <w:sz w:val="24"/>
                <w:szCs w:val="24"/>
              </w:rPr>
            </w:pPr>
            <w:r>
              <w:rPr>
                <w:rFonts w:ascii="宋体" w:hAnsi="宋体"/>
                <w:sz w:val="24"/>
                <w:szCs w:val="24"/>
                <w:lang w:val="zh-CN"/>
              </w:rPr>
              <w:t>2024年09月11日（星期三）下午15:00</w:t>
            </w:r>
            <w:r>
              <w:rPr>
                <w:rFonts w:hint="eastAsia" w:ascii="宋体" w:hAnsi="宋体"/>
                <w:bCs/>
                <w:iCs/>
                <w:color w:val="000000"/>
                <w:kern w:val="0"/>
                <w:sz w:val="24"/>
              </w:rPr>
              <w:t>-</w:t>
            </w:r>
            <w:r>
              <w:rPr>
                <w:rFonts w:ascii="宋体" w:hAnsi="宋体"/>
                <w:sz w:val="24"/>
                <w:szCs w:val="24"/>
                <w:lang w:val="zh-CN"/>
              </w:rPr>
              <w:t>16:00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3" w:type="dxa"/>
            <w:tcBorders>
              <w:top w:val="single" w:color="auto" w:sz="4" w:space="0"/>
              <w:left w:val="single" w:color="auto" w:sz="4" w:space="0"/>
              <w:bottom w:val="single" w:color="auto" w:sz="4" w:space="0"/>
              <w:right w:val="single" w:color="auto" w:sz="4" w:space="0"/>
            </w:tcBorders>
            <w:shd w:val="clear" w:color="auto" w:fill="auto"/>
          </w:tcPr>
          <w:p>
            <w:pPr>
              <w:spacing w:line="480" w:lineRule="atLeast"/>
              <w:rPr>
                <w:rFonts w:ascii="宋体" w:hAnsi="宋体"/>
                <w:b/>
                <w:bCs/>
                <w:iCs/>
                <w:sz w:val="24"/>
                <w:szCs w:val="24"/>
              </w:rPr>
            </w:pPr>
            <w:r>
              <w:rPr>
                <w:rFonts w:ascii="宋体" w:hAnsi="宋体"/>
                <w:b/>
                <w:bCs/>
                <w:iCs/>
                <w:sz w:val="24"/>
                <w:szCs w:val="24"/>
              </w:rPr>
              <w:t>地点</w:t>
            </w:r>
          </w:p>
        </w:tc>
        <w:tc>
          <w:tcPr>
            <w:tcW w:w="5973"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asciiTheme="minorEastAsia" w:hAnsiTheme="minorEastAsia" w:eastAsiaTheme="minorEastAsia"/>
                <w:bCs/>
                <w:iCs/>
                <w:color w:val="000000"/>
                <w:sz w:val="24"/>
                <w:szCs w:val="24"/>
              </w:rPr>
            </w:pPr>
            <w:r>
              <w:rPr>
                <w:rFonts w:hint="eastAsia" w:ascii="宋体" w:hAnsi="宋体" w:cs="宋体"/>
                <w:color w:val="000000"/>
                <w:kern w:val="0"/>
                <w:sz w:val="24"/>
              </w:rPr>
              <w:t>“</w:t>
            </w:r>
            <w:r>
              <w:rPr>
                <w:rFonts w:hint="eastAsia" w:ascii="宋体" w:hAnsi="宋体" w:cs="宋体"/>
                <w:color w:val="000000"/>
                <w:kern w:val="0"/>
                <w:sz w:val="24"/>
                <w:szCs w:val="24"/>
              </w:rPr>
              <w:t>约调研</w:t>
            </w:r>
            <w:r>
              <w:rPr>
                <w:rFonts w:ascii="宋体" w:hAnsi="宋体" w:cs="宋体"/>
                <w:color w:val="000000"/>
                <w:kern w:val="0"/>
                <w:sz w:val="24"/>
              </w:rPr>
              <w:t>”</w:t>
            </w:r>
            <w:r>
              <w:rPr>
                <w:rFonts w:hint="eastAsia" w:ascii="宋体" w:hAnsi="宋体" w:cs="宋体"/>
                <w:color w:val="000000"/>
                <w:kern w:val="0"/>
                <w:sz w:val="24"/>
              </w:rPr>
              <w:t>微信小程序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3" w:type="dxa"/>
            <w:tcBorders>
              <w:top w:val="single" w:color="auto" w:sz="4" w:space="0"/>
              <w:left w:val="single" w:color="auto" w:sz="4" w:space="0"/>
              <w:bottom w:val="single" w:color="auto" w:sz="4" w:space="0"/>
              <w:right w:val="single" w:color="auto" w:sz="4" w:space="0"/>
            </w:tcBorders>
            <w:shd w:val="clear" w:color="auto" w:fill="auto"/>
          </w:tcPr>
          <w:p>
            <w:pPr>
              <w:spacing w:line="480" w:lineRule="atLeast"/>
              <w:rPr>
                <w:rFonts w:ascii="宋体" w:hAnsi="宋体"/>
                <w:b/>
                <w:bCs/>
                <w:iCs/>
                <w:sz w:val="24"/>
                <w:szCs w:val="24"/>
              </w:rPr>
            </w:pPr>
            <w:r>
              <w:rPr>
                <w:rFonts w:ascii="宋体" w:hAnsi="宋体"/>
                <w:b/>
                <w:bCs/>
                <w:iCs/>
                <w:sz w:val="24"/>
                <w:szCs w:val="24"/>
              </w:rPr>
              <w:t>上市公司接待人员姓名</w:t>
            </w:r>
          </w:p>
        </w:tc>
        <w:tc>
          <w:tcPr>
            <w:tcW w:w="5973"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ascii="宋体" w:cs="宋体"/>
                <w:kern w:val="0"/>
                <w:sz w:val="24"/>
              </w:rPr>
            </w:pPr>
            <w:r>
              <w:rPr>
                <w:rFonts w:hint="eastAsia" w:ascii="宋体" w:hAnsi="宋体" w:cs="宋体"/>
                <w:color w:val="000000"/>
                <w:kern w:val="0"/>
                <w:sz w:val="24"/>
                <w:szCs w:val="24"/>
              </w:rPr>
              <w:t>董事、总经理：张淼磊先生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独立董事：刘静女士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副总经理、董事会秘书：毕胜先生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副总经理、财务总监：颜树云先生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（如有特殊情况，参会人员将可能进行调整）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tLeast"/>
              <w:rPr>
                <w:rFonts w:ascii="宋体" w:hAnsi="宋体"/>
                <w:b/>
                <w:bCs/>
                <w:iCs/>
                <w:sz w:val="24"/>
                <w:szCs w:val="24"/>
              </w:rPr>
            </w:pPr>
            <w:r>
              <w:rPr>
                <w:rFonts w:ascii="宋体" w:hAnsi="宋体"/>
                <w:b/>
                <w:bCs/>
                <w:iCs/>
                <w:sz w:val="24"/>
                <w:szCs w:val="24"/>
              </w:rPr>
              <w:t>投资者关系活动主要内容介绍</w:t>
            </w:r>
          </w:p>
        </w:tc>
        <w:tc>
          <w:tcPr>
            <w:tcW w:w="5973"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ascii="宋体" w:hAnsi="宋体"/>
                <w:bCs/>
                <w:iCs/>
                <w:color w:val="000000"/>
                <w:kern w:val="0"/>
                <w:sz w:val="24"/>
              </w:rPr>
            </w:pPr>
            <w:r>
              <w:rPr>
                <w:rFonts w:hint="eastAsia" w:ascii="宋体" w:hAnsi="宋体" w:cs="宋体"/>
                <w:color w:val="000000"/>
                <w:kern w:val="0"/>
                <w:sz w:val="24"/>
                <w:szCs w:val="24"/>
              </w:rPr>
              <w:t>1、问：净利润下降的原因？</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答：投资者您好！公司上半年营业收入大幅下降，确认收入的项目毛利较低，故上半年实现净利润为负。具体情况请关注公司《2024年半年度报告》。感谢您的关注！</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2、问：您好，领导。面对当前房地产市场的挑战与机遇，公司采取了哪些市场策略来保持竞争力并拓展新的业务领域？公司是否有计划进入新的城市或开发新的产品线？</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答：投资者您好！公司目前一方面通过增加营销渠道，加大营销力度，积极去库存；另一方面对于存量的商办物业，加大出租力度，并已取得积极进展。对于正在租赁的物业，也和租赁方洽谈整租业务。对于进入新城市开发，公司持审慎态度。感谢您的关注！</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3、问：有关监管部门拟定房企</w:t>
            </w:r>
            <w:bookmarkStart w:id="0" w:name="_GoBack"/>
            <w:bookmarkEnd w:id="0"/>
            <w:r>
              <w:rPr>
                <w:rFonts w:hint="eastAsia" w:ascii="宋体" w:hAnsi="宋体" w:cs="宋体"/>
                <w:color w:val="000000"/>
                <w:kern w:val="0"/>
                <w:sz w:val="24"/>
                <w:szCs w:val="24"/>
              </w:rPr>
              <w:t>白名单，请问贵公司知情吗？是否包含贵公司？</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答：投资者您好！公司下属江苏凤凰和昇地产有限公司已入选房企白名单。感谢您的关注！</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4、问：房地产前景也不好，公司考虑转型吗？</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答：投资者您好。公司正结合自身实际加紧新业态研究，确保公司发展稳健、可持续。感谢您的关注！</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5、问：江苏银行的股权注入事宜已披露好几年，一直未有新进展。请问公司领导层怎么考虑的?</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答：投资者您好！公司持续关注该事项的推进工作。控股股东一直在审慎寻找标的资产，并进行比选，以适合公司未来健康长远的发展。所以，该项工作需要审慎进行。公司将会与控股股东保持密切沟通，并按照有关规定及时披露该事项的进展情况。感谢您的关注！</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6、问：贵公司是否有考虑采取相关措施提升esg评级与相关治理能力？未来贵司是否考虑披露esg报告？</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答：投资者您好！公司始终将可持续发展理念贯彻到企业的日常经营与项目开发中，积极履行环境责任、社会责任与治理责任。公司坚持尽最大努力提升上市公司透明度并增加利益相关者信任，2024年度ESG报告的信息收集与编制工作已在积极推进中。请投资者持续关注公司后续信息披露文件！感谢您的关注！</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7、问：公司2024年上半年营业收入同比下降59.48%，公司有何措施销售，怎么做到全年营收超过3亿元？</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答：投资者您好！因2024年上半年公司无楼盘集中交付，所以2024年上半年营业收入确认较上年同期减少。公司将积极推进在建项目建设进度，保质保量如期交房，提高营业收入。感谢您的关注！</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8、问：南京凤凰紫金和旭府目前销售情况如何？</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答：投资者您好！2024年上半年，紫金和旭府项目签约26,214.41万元；截至2024年上半年末，紫金和旭府可售住宅面积63,531.89平方米。具体数值请关注公司《2024年半年度报告》相关内容。感谢您的关注！</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9、问：公司下半年还会拍地吗？</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答：投资者您好！鉴于当前房地产市场行情，公司对于拍地保持谨慎态度。如公司在资金允许，经充分论证、确保能够盈利的情况下会择机继续增加土地储备，以保证土地储备的良性滚动。感谢您的关注！</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10、问：公司在售楼盘能按期交付吗？</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答：投资者您好！目前公司各项目建设按计划逐步推进中，能够按期交付。感谢您的关注！</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11、问：南京证券还有多少股？下半年会减持吗？</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答：投资者您好！公司目前持有南京证券174,272,700股。关于是否进一步减持，公司将考虑市场行情等多种因素后决定。感谢您的关注！</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12、问：公司与控股股东下属的财务公司结算标准是什么？能保证现金自主使用吗？</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答：投资者您好！公司与财务公司的存贷款业务均按照双方签订的《金融服务协议》执行，存贷款交易价格公允，交易发生额及余额均符合公司经营发展需要，本公司在财务公司的存款安全性和流动性良好，未发生财务公司因现金头寸不足而延迟付款的情况。感谢您的关注！</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13、问：公司股价持续低于净资产，大股东考虑增持或者回购吗？公司不做市值管理？</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答：投资者您好！公司大股东暂无增持和回购计划，如有，会及时公告。公司在市值管理上持谨慎态度，公司一直努力通过加强业务拓展、提高盈利能力等提升公司价值。感谢您的关注！</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14、问：公司是否存在财务造假情况，是否会因经营不善而退市</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答：投资者您好！公司不存在财务造假情况。感谢您的关注！</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15、问：上半年有哪些新的开发项目启动？</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答：投资者您好！公司上半年暂无新项目开工。感谢您的关注！</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16、问：公司股价持续下跌，已经跌破净资产的二分之一，请问公司是否有维稳股价的举措？</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答：投资者您好！目前公司在二级市场股价的下跌受大盘及行业不景气的影响。目前，公司积极通过去库存以及加大商办楼租赁等措施增加业务收入和利润，稳定业绩。感谢您的关注！</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17、问：请问贵公司2024年下半年是否有拿地计划</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答：投资者您好！鉴于当前房地产市场行情，公司对于拍地保持谨慎态度。如公司在资金允许，经充分论证、确保能够盈利的情况下会择机继续增加土地储备，以保证土地储备的良性滚动。感谢您的关注！</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18、问：公司是否有在考虑转型其他行业</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答：投资者您好。公司正结合自身的发展需要进行相关业务的研究和拓展。公司转型也是基于公司的核心能力进行，避免盲目跟风进入陌生领域，确保公司发展稳健、可持续。感谢您的关注！</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19、问：请问公司23年南京证券年度分红能分得多少钱</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答：投资者您好！公司于2024年8月收到南京证券2023年度分红1394.18万元。感谢您的关注！</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20、问：在新的房地产政策下，对于土地储备和新项目开发有何计划？</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答：投资者您好！鉴于当前房地产市场行情，公司对于新增土地储备保持谨慎态度。在充分论证、确保能够盈利的情况下会择机继续增加土地储备，以保证土地储备的良性滚动。感谢您的关注！</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21、问：请问公司目前资产负债率大概多少？财务状况安全吗？</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答：投资者您好！截至2024年上半年末，公司总资产为79.33亿元，总负债为28.51亿元，资产负债率约为35.94%，公司资产负债率较低，保持稳健经营。感谢您的关注！</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22、问：是否有参与任何保障性住房建设项目？</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答：投资者您好！公司目前没有参与保障性住房建设项目。感谢您的关注！</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23、问：目前公司股价已经严重破净了，大股东和公司管理层为什么不做股份增持或回购，没有市值管理计划吗？</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答：投资者您好！公司大股东暂无增持和回购计划，如有，会及时公告。公司在市值管理上持谨慎态度，公司一直努力通过加强业务拓展、提高盈利能力等提升公司价值。感谢您的关注！</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24、问：公司上半年为什么亏损？下半年还会继续亏吗？</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答：投资者您好！公司上半年没有楼盘集中交付，营业收入大幅下降，确认收入的项目毛利较低，故上半年实现净利润为负。2024年经营状况请持续关注公司披露的公告。感谢您的关注！</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25、问：公司已经连续三年不分红了，有何措施避免证监会规定上市公司连续三年不分红实施退市处理的情形。</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答：投资者您好！公司将严格按照《上市公司监管指引第3号——上市公司现金分红》和《公司章程》的有关规定，结合公司生产经营的实际情况，在确保公司稳健经营与未来发展可持续的基础上，通过多种方式对投资者进行回报。感谢您的关注！</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26、问：您好，贵公司在养老产业目前的盈利效果如何，以后的计划和目标是什么，预计到2025年，我国养老院市场规模有望突破1000亿元，表明具有巨大的发展潜力，贵司有没有做国内第一支养老龙头的决心，抢占市场，时间不等人</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答：投资者您好！公司目前的宜兴养老项目正在寻找合适的产业合作对象，正按计划积极推进中。感谢您的关注！</w:t>
            </w:r>
            <w:r>
              <w:rPr>
                <w:rFonts w:hint="eastAsia" w:ascii="宋体" w:hAnsi="宋体" w:cs="宋体"/>
                <w:color w:val="000000"/>
                <w:kern w:val="0"/>
                <w:sz w:val="24"/>
                <w:szCs w:val="24"/>
              </w:rPr>
              <w:br w:type="textWrapp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tLeast"/>
              <w:rPr>
                <w:rFonts w:ascii="宋体" w:hAnsi="宋体"/>
                <w:b/>
                <w:bCs/>
                <w:iCs/>
                <w:sz w:val="24"/>
                <w:szCs w:val="24"/>
              </w:rPr>
            </w:pPr>
            <w:r>
              <w:rPr>
                <w:rFonts w:ascii="宋体" w:hAnsi="宋体"/>
                <w:b/>
                <w:bCs/>
                <w:iCs/>
                <w:sz w:val="24"/>
                <w:szCs w:val="24"/>
              </w:rPr>
              <w:t>附件清单（如有）</w:t>
            </w:r>
          </w:p>
        </w:tc>
        <w:tc>
          <w:tcPr>
            <w:tcW w:w="5973"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asciiTheme="minorEastAsia" w:hAnsiTheme="minorEastAsia" w:eastAsiaTheme="minorEastAsia"/>
                <w:bCs/>
                <w:i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tLeast"/>
              <w:rPr>
                <w:rFonts w:ascii="宋体" w:hAnsi="宋体"/>
                <w:b/>
                <w:bCs/>
                <w:iCs/>
                <w:sz w:val="24"/>
                <w:szCs w:val="24"/>
              </w:rPr>
            </w:pPr>
            <w:r>
              <w:rPr>
                <w:rFonts w:ascii="宋体" w:hAnsi="宋体"/>
                <w:b/>
                <w:bCs/>
                <w:iCs/>
                <w:sz w:val="24"/>
                <w:szCs w:val="24"/>
              </w:rPr>
              <w:t>日期</w:t>
            </w:r>
          </w:p>
        </w:tc>
        <w:tc>
          <w:tcPr>
            <w:tcW w:w="5973"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asciiTheme="minorEastAsia" w:hAnsiTheme="minorEastAsia" w:eastAsiaTheme="minorEastAsia"/>
                <w:bCs/>
                <w:iCs/>
                <w:color w:val="000000"/>
                <w:sz w:val="24"/>
                <w:szCs w:val="24"/>
              </w:rPr>
            </w:pPr>
            <w:r>
              <w:rPr>
                <w:rFonts w:hint="eastAsia" w:ascii="宋体" w:hAnsi="宋体" w:cs="宋体"/>
                <w:color w:val="000000"/>
                <w:kern w:val="0"/>
                <w:sz w:val="24"/>
                <w:szCs w:val="24"/>
                <w:highlight w:val="none"/>
              </w:rPr>
              <w:t>2024年09月11日</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ZiYTExMWQ5ZTRkMmM1ODkwMGU1ZDMwMzNiZDliZWYifQ=="/>
  </w:docVars>
  <w:rsids>
    <w:rsidRoot w:val="00000D3A"/>
    <w:rsid w:val="00000D3A"/>
    <w:rsid w:val="000F10FD"/>
    <w:rsid w:val="001A3559"/>
    <w:rsid w:val="001B46F3"/>
    <w:rsid w:val="001E7E25"/>
    <w:rsid w:val="002137C4"/>
    <w:rsid w:val="00276D30"/>
    <w:rsid w:val="002D2F34"/>
    <w:rsid w:val="0032038B"/>
    <w:rsid w:val="00346C15"/>
    <w:rsid w:val="003571B2"/>
    <w:rsid w:val="003D4542"/>
    <w:rsid w:val="00445995"/>
    <w:rsid w:val="005E3EE2"/>
    <w:rsid w:val="0062475E"/>
    <w:rsid w:val="00696ED0"/>
    <w:rsid w:val="007C5948"/>
    <w:rsid w:val="007F16D6"/>
    <w:rsid w:val="00835EE1"/>
    <w:rsid w:val="00881C53"/>
    <w:rsid w:val="008F5347"/>
    <w:rsid w:val="00921591"/>
    <w:rsid w:val="00992A79"/>
    <w:rsid w:val="009B4C8A"/>
    <w:rsid w:val="00A43F6C"/>
    <w:rsid w:val="00B013B8"/>
    <w:rsid w:val="00B6013C"/>
    <w:rsid w:val="00C0698E"/>
    <w:rsid w:val="00CC2661"/>
    <w:rsid w:val="00D254A0"/>
    <w:rsid w:val="00D31B9C"/>
    <w:rsid w:val="00D35117"/>
    <w:rsid w:val="00D74802"/>
    <w:rsid w:val="00DD073F"/>
    <w:rsid w:val="00E55844"/>
    <w:rsid w:val="00F95A5A"/>
    <w:rsid w:val="00FC55A2"/>
    <w:rsid w:val="00FD6735"/>
    <w:rsid w:val="03A54A28"/>
    <w:rsid w:val="044C50BA"/>
    <w:rsid w:val="04B769D7"/>
    <w:rsid w:val="053C5185"/>
    <w:rsid w:val="09D300DC"/>
    <w:rsid w:val="0ACA5ED1"/>
    <w:rsid w:val="0B3D575C"/>
    <w:rsid w:val="0B640F3B"/>
    <w:rsid w:val="0B644EAF"/>
    <w:rsid w:val="0CFF716D"/>
    <w:rsid w:val="0D847672"/>
    <w:rsid w:val="0F6E5462"/>
    <w:rsid w:val="0F711E78"/>
    <w:rsid w:val="0F885383"/>
    <w:rsid w:val="10437371"/>
    <w:rsid w:val="11ED4BC1"/>
    <w:rsid w:val="1593461C"/>
    <w:rsid w:val="161D2412"/>
    <w:rsid w:val="164369A6"/>
    <w:rsid w:val="19AF3CC9"/>
    <w:rsid w:val="1B886580"/>
    <w:rsid w:val="1CE123EB"/>
    <w:rsid w:val="1E0D7210"/>
    <w:rsid w:val="2177331E"/>
    <w:rsid w:val="21BA320B"/>
    <w:rsid w:val="23705807"/>
    <w:rsid w:val="268128EF"/>
    <w:rsid w:val="2B487ADA"/>
    <w:rsid w:val="2CAE4BF5"/>
    <w:rsid w:val="2D263F00"/>
    <w:rsid w:val="2D9A5735"/>
    <w:rsid w:val="2DE27D71"/>
    <w:rsid w:val="2F1228D8"/>
    <w:rsid w:val="335F00B6"/>
    <w:rsid w:val="378B2BA5"/>
    <w:rsid w:val="385E093C"/>
    <w:rsid w:val="38832151"/>
    <w:rsid w:val="393778F4"/>
    <w:rsid w:val="39B32F0A"/>
    <w:rsid w:val="39BA6046"/>
    <w:rsid w:val="404C1ED7"/>
    <w:rsid w:val="41EE270A"/>
    <w:rsid w:val="45E76415"/>
    <w:rsid w:val="46603AD2"/>
    <w:rsid w:val="49687B95"/>
    <w:rsid w:val="49A44BED"/>
    <w:rsid w:val="4BCB7C3F"/>
    <w:rsid w:val="4E1F7FBC"/>
    <w:rsid w:val="4E974655"/>
    <w:rsid w:val="4FC275AB"/>
    <w:rsid w:val="50083210"/>
    <w:rsid w:val="51024103"/>
    <w:rsid w:val="51FC1024"/>
    <w:rsid w:val="522A084B"/>
    <w:rsid w:val="55144405"/>
    <w:rsid w:val="593B28A8"/>
    <w:rsid w:val="596F2552"/>
    <w:rsid w:val="5A897643"/>
    <w:rsid w:val="5B836EDA"/>
    <w:rsid w:val="6247504A"/>
    <w:rsid w:val="628E5F27"/>
    <w:rsid w:val="63FC70D8"/>
    <w:rsid w:val="64882719"/>
    <w:rsid w:val="6B97548F"/>
    <w:rsid w:val="6BFF7765"/>
    <w:rsid w:val="6EB07C61"/>
    <w:rsid w:val="6FB219DE"/>
    <w:rsid w:val="714A5429"/>
    <w:rsid w:val="7483192D"/>
    <w:rsid w:val="75E63744"/>
    <w:rsid w:val="7A6D61E2"/>
    <w:rsid w:val="7B1E74DC"/>
    <w:rsid w:val="7BD148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 w:type="paragraph" w:styleId="8">
    <w:name w:val="List Paragraph"/>
    <w:basedOn w:val="1"/>
    <w:qFormat/>
    <w:uiPriority w:val="34"/>
    <w:pPr>
      <w:ind w:firstLine="420" w:firstLineChars="200"/>
    </w:pPr>
  </w:style>
  <w:style w:type="character" w:customStyle="1" w:styleId="9">
    <w:name w:val="main-color1"/>
    <w:basedOn w:val="5"/>
    <w:qFormat/>
    <w:uiPriority w:val="0"/>
    <w:rPr>
      <w:color w:val="A4A4A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3113</Words>
  <Characters>3273</Characters>
  <Lines>31</Lines>
  <Paragraphs>8</Paragraphs>
  <TotalTime>3</TotalTime>
  <ScaleCrop>false</ScaleCrop>
  <LinksUpToDate>false</LinksUpToDate>
  <CharactersWithSpaces>3398</CharactersWithSpaces>
  <Application>WPS Office_12.1.0.16894_F1E327BC-269C-435d-A152-05C5408002CA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2021-04-27T08:48:00Z</dcterms:created>
  <dc:creator>陈 宏艳</dc:creator>
  <cp:lastModifiedBy>凤凰置业证券法务部</cp:lastModifiedBy>
  <dcterms:modified xsi:type="dcterms:W3CDTF">2024-09-11T08:04:45Z</dcterms:modified>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2052-12.1.0.16894</vt:lpwstr>
  </property>
  <property fmtid="{D5CDD505-2E9C-101B-9397-08002B2CF9AE}" pid="3" name="ICV">
    <vt:lpwstr>F3E088E950F4476FA70CDF6F5CE64161</vt:lpwstr>
  </property>
</Properties>
</file>