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A1F45">
      <w:pPr>
        <w:pStyle w:val="2"/>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证券代码：600261                                    证券简称：阳光照明</w:t>
      </w:r>
    </w:p>
    <w:p w14:paraId="10CBE02E"/>
    <w:p w14:paraId="31CF8CBC">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浙江阳光照明电器集团股份有限公司</w:t>
      </w:r>
    </w:p>
    <w:p w14:paraId="285C5C04">
      <w:pPr>
        <w:spacing w:line="360" w:lineRule="auto"/>
        <w:jc w:val="center"/>
        <w:rPr>
          <w:rFonts w:ascii="宋体" w:hAnsi="宋体" w:eastAsia="宋体" w:cs="宋体"/>
          <w:sz w:val="28"/>
          <w:szCs w:val="28"/>
        </w:rPr>
      </w:pPr>
      <w:r>
        <w:rPr>
          <w:rFonts w:hint="eastAsia" w:ascii="宋体" w:hAnsi="宋体" w:eastAsia="宋体" w:cs="宋体"/>
          <w:b/>
          <w:bCs/>
          <w:sz w:val="28"/>
          <w:szCs w:val="28"/>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41"/>
        <w:gridCol w:w="6084"/>
      </w:tblGrid>
      <w:tr w14:paraId="1E8B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41" w:type="dxa"/>
            <w:vAlign w:val="center"/>
          </w:tcPr>
          <w:p w14:paraId="151894F5">
            <w:pPr>
              <w:pStyle w:val="12"/>
              <w:spacing w:before="1"/>
              <w:jc w:val="left"/>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6084" w:type="dxa"/>
            <w:vAlign w:val="center"/>
          </w:tcPr>
          <w:p w14:paraId="4A215745">
            <w:pPr>
              <w:pStyle w:val="12"/>
              <w:spacing w:before="7"/>
              <w:jc w:val="left"/>
              <w:rPr>
                <w:rFonts w:hint="eastAsia" w:ascii="宋体" w:hAnsi="宋体" w:eastAsia="宋体" w:cs="宋体"/>
                <w:sz w:val="24"/>
                <w:szCs w:val="24"/>
              </w:rPr>
            </w:pPr>
          </w:p>
          <w:p w14:paraId="1B212070">
            <w:pPr>
              <w:pStyle w:val="12"/>
              <w:tabs>
                <w:tab w:val="left" w:pos="2418"/>
              </w:tabs>
              <w:spacing w:before="1"/>
              <w:ind w:left="107"/>
              <w:jc w:val="left"/>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zh-CN" w:eastAsia="zh-CN" w:bidi="zh-CN"/>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6F631FF9">
            <w:pPr>
              <w:pStyle w:val="12"/>
              <w:spacing w:before="11"/>
              <w:jc w:val="left"/>
              <w:rPr>
                <w:rFonts w:hint="eastAsia" w:ascii="宋体" w:hAnsi="宋体" w:eastAsia="宋体" w:cs="宋体"/>
                <w:sz w:val="24"/>
                <w:szCs w:val="24"/>
              </w:rPr>
            </w:pPr>
          </w:p>
          <w:p w14:paraId="6CBF72DF">
            <w:pPr>
              <w:pStyle w:val="12"/>
              <w:tabs>
                <w:tab w:val="left" w:pos="2418"/>
              </w:tabs>
              <w:ind w:left="107"/>
              <w:jc w:val="left"/>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294E89DD">
            <w:pPr>
              <w:pStyle w:val="12"/>
              <w:spacing w:before="8"/>
              <w:jc w:val="left"/>
              <w:rPr>
                <w:rFonts w:hint="eastAsia" w:ascii="宋体" w:hAnsi="宋体" w:eastAsia="宋体" w:cs="宋体"/>
                <w:sz w:val="24"/>
                <w:szCs w:val="24"/>
              </w:rPr>
            </w:pPr>
          </w:p>
          <w:p w14:paraId="7598E565">
            <w:pPr>
              <w:pStyle w:val="12"/>
              <w:tabs>
                <w:tab w:val="left" w:pos="2418"/>
              </w:tabs>
              <w:ind w:left="107"/>
              <w:jc w:val="left"/>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7CA0783D">
            <w:pPr>
              <w:pStyle w:val="12"/>
              <w:spacing w:before="8"/>
              <w:jc w:val="left"/>
              <w:rPr>
                <w:rFonts w:hint="eastAsia" w:ascii="宋体" w:hAnsi="宋体" w:eastAsia="宋体" w:cs="宋体"/>
                <w:sz w:val="24"/>
                <w:szCs w:val="24"/>
              </w:rPr>
            </w:pPr>
          </w:p>
          <w:p w14:paraId="48324DA6">
            <w:pPr>
              <w:pStyle w:val="12"/>
              <w:ind w:left="107"/>
              <w:jc w:val="left"/>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3200F9D3">
            <w:pPr>
              <w:pStyle w:val="12"/>
              <w:spacing w:before="11"/>
              <w:jc w:val="left"/>
              <w:rPr>
                <w:rFonts w:hint="eastAsia" w:ascii="宋体" w:hAnsi="宋体" w:eastAsia="宋体" w:cs="宋体"/>
                <w:sz w:val="24"/>
                <w:szCs w:val="24"/>
              </w:rPr>
            </w:pPr>
          </w:p>
          <w:p w14:paraId="10155EB4">
            <w:pPr>
              <w:pStyle w:val="12"/>
              <w:ind w:left="107"/>
              <w:jc w:val="left"/>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w:t>
            </w:r>
          </w:p>
        </w:tc>
      </w:tr>
      <w:tr w14:paraId="4299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441" w:type="dxa"/>
            <w:vAlign w:val="center"/>
          </w:tcPr>
          <w:p w14:paraId="3D5885C4">
            <w:pPr>
              <w:pStyle w:val="12"/>
              <w:spacing w:line="560" w:lineRule="exact"/>
              <w:ind w:left="107" w:right="96"/>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6084" w:type="dxa"/>
            <w:vAlign w:val="center"/>
          </w:tcPr>
          <w:p w14:paraId="24F20A8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线上参与公司</w:t>
            </w:r>
            <w:r>
              <w:rPr>
                <w:rFonts w:hint="eastAsia" w:ascii="宋体" w:hAnsi="宋体" w:eastAsia="宋体" w:cs="宋体"/>
                <w:i w:val="0"/>
                <w:iCs w:val="0"/>
                <w:caps w:val="0"/>
                <w:color w:val="333333"/>
                <w:spacing w:val="0"/>
                <w:sz w:val="24"/>
                <w:szCs w:val="24"/>
                <w:shd w:val="clear" w:fill="FFFFFF"/>
              </w:rPr>
              <w:t>2024年半年度业绩说明会</w:t>
            </w:r>
            <w:r>
              <w:rPr>
                <w:rFonts w:hint="eastAsia" w:ascii="宋体" w:hAnsi="宋体" w:eastAsia="宋体" w:cs="宋体"/>
                <w:i w:val="0"/>
                <w:iCs w:val="0"/>
                <w:caps w:val="0"/>
                <w:color w:val="333333"/>
                <w:spacing w:val="0"/>
                <w:sz w:val="24"/>
                <w:szCs w:val="24"/>
                <w:shd w:val="clear" w:fill="FFFFFF"/>
                <w:lang w:val="en-US" w:eastAsia="zh-CN"/>
              </w:rPr>
              <w:t>的投资者</w:t>
            </w:r>
          </w:p>
        </w:tc>
      </w:tr>
      <w:tr w14:paraId="72439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1" w:type="dxa"/>
            <w:vAlign w:val="center"/>
          </w:tcPr>
          <w:p w14:paraId="439CDB96">
            <w:pPr>
              <w:pStyle w:val="12"/>
              <w:ind w:left="107"/>
              <w:rPr>
                <w:rFonts w:hint="eastAsia" w:ascii="宋体" w:hAnsi="宋体" w:eastAsia="宋体" w:cs="宋体"/>
                <w:b/>
                <w:bCs/>
                <w:sz w:val="24"/>
                <w:szCs w:val="24"/>
              </w:rPr>
            </w:pPr>
            <w:r>
              <w:rPr>
                <w:rFonts w:hint="eastAsia" w:ascii="宋体" w:hAnsi="宋体" w:eastAsia="宋体" w:cs="宋体"/>
                <w:b/>
                <w:bCs/>
                <w:sz w:val="24"/>
                <w:szCs w:val="24"/>
              </w:rPr>
              <w:t>时间</w:t>
            </w:r>
          </w:p>
        </w:tc>
        <w:tc>
          <w:tcPr>
            <w:tcW w:w="6084" w:type="dxa"/>
            <w:vAlign w:val="center"/>
          </w:tcPr>
          <w:p w14:paraId="670A4B53">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2024年09月13日 10:00-11:30</w:t>
            </w:r>
          </w:p>
        </w:tc>
      </w:tr>
      <w:tr w14:paraId="73AA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41" w:type="dxa"/>
            <w:vAlign w:val="center"/>
          </w:tcPr>
          <w:p w14:paraId="5774A715">
            <w:pPr>
              <w:pStyle w:val="12"/>
              <w:ind w:left="107"/>
              <w:rPr>
                <w:rFonts w:hint="eastAsia" w:ascii="宋体" w:hAnsi="宋体" w:eastAsia="宋体" w:cs="宋体"/>
                <w:b/>
                <w:bCs/>
                <w:sz w:val="24"/>
                <w:szCs w:val="24"/>
              </w:rPr>
            </w:pPr>
            <w:r>
              <w:rPr>
                <w:rFonts w:hint="eastAsia" w:ascii="宋体" w:hAnsi="宋体" w:eastAsia="宋体" w:cs="宋体"/>
                <w:b/>
                <w:bCs/>
                <w:sz w:val="24"/>
                <w:szCs w:val="24"/>
              </w:rPr>
              <w:t>地点</w:t>
            </w:r>
          </w:p>
        </w:tc>
        <w:tc>
          <w:tcPr>
            <w:tcW w:w="6084" w:type="dxa"/>
            <w:vAlign w:val="center"/>
          </w:tcPr>
          <w:p w14:paraId="680EF60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价值在线（https://www.ir-online.cn/）网络互动</w:t>
            </w:r>
          </w:p>
        </w:tc>
      </w:tr>
      <w:tr w14:paraId="1968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1" w:type="dxa"/>
            <w:vAlign w:val="center"/>
          </w:tcPr>
          <w:p w14:paraId="05B411A4">
            <w:pPr>
              <w:pStyle w:val="12"/>
              <w:spacing w:before="1"/>
              <w:ind w:left="107"/>
              <w:rPr>
                <w:rFonts w:hint="eastAsia" w:ascii="宋体" w:hAnsi="宋体" w:eastAsia="宋体" w:cs="宋体"/>
                <w:b/>
                <w:bCs/>
                <w:sz w:val="24"/>
                <w:szCs w:val="24"/>
              </w:rPr>
            </w:pPr>
            <w:r>
              <w:rPr>
                <w:rFonts w:hint="eastAsia" w:ascii="宋体" w:hAnsi="宋体" w:eastAsia="宋体" w:cs="宋体"/>
                <w:b/>
                <w:bCs/>
                <w:sz w:val="24"/>
                <w:szCs w:val="24"/>
              </w:rPr>
              <w:t>上市公司接待人员姓名</w:t>
            </w:r>
          </w:p>
        </w:tc>
        <w:tc>
          <w:tcPr>
            <w:tcW w:w="6084" w:type="dxa"/>
            <w:vAlign w:val="center"/>
          </w:tcPr>
          <w:p w14:paraId="5DFDEC5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董事、总经理</w:t>
            </w:r>
            <w:r>
              <w:rPr>
                <w:rFonts w:hint="eastAsia" w:ascii="宋体" w:hAnsi="宋体" w:eastAsia="宋体" w:cs="宋体"/>
                <w:sz w:val="24"/>
                <w:szCs w:val="24"/>
                <w:lang w:eastAsia="zh-CN"/>
              </w:rPr>
              <w:t>：</w:t>
            </w:r>
            <w:r>
              <w:rPr>
                <w:rFonts w:hint="eastAsia" w:ascii="宋体" w:hAnsi="宋体" w:eastAsia="宋体" w:cs="宋体"/>
                <w:sz w:val="24"/>
                <w:szCs w:val="24"/>
              </w:rPr>
              <w:t>吴国明</w:t>
            </w:r>
            <w:r>
              <w:rPr>
                <w:rFonts w:hint="eastAsia" w:ascii="宋体" w:hAnsi="宋体" w:eastAsia="宋体" w:cs="宋体"/>
                <w:sz w:val="24"/>
                <w:szCs w:val="24"/>
              </w:rPr>
              <w:br w:type="textWrapping"/>
            </w:r>
            <w:r>
              <w:rPr>
                <w:rFonts w:hint="eastAsia" w:ascii="宋体" w:hAnsi="宋体" w:eastAsia="宋体" w:cs="宋体"/>
                <w:sz w:val="24"/>
                <w:szCs w:val="24"/>
              </w:rPr>
              <w:t>董事会秘书</w:t>
            </w:r>
            <w:r>
              <w:rPr>
                <w:rFonts w:hint="eastAsia" w:ascii="宋体" w:hAnsi="宋体" w:eastAsia="宋体" w:cs="宋体"/>
                <w:sz w:val="24"/>
                <w:szCs w:val="24"/>
                <w:lang w:eastAsia="zh-CN"/>
              </w:rPr>
              <w:t>：</w:t>
            </w:r>
            <w:r>
              <w:rPr>
                <w:rFonts w:hint="eastAsia" w:ascii="宋体" w:hAnsi="宋体" w:eastAsia="宋体" w:cs="宋体"/>
                <w:sz w:val="24"/>
                <w:szCs w:val="24"/>
              </w:rPr>
              <w:t>张龙</w:t>
            </w:r>
            <w:r>
              <w:rPr>
                <w:rFonts w:hint="eastAsia" w:ascii="宋体" w:hAnsi="宋体" w:eastAsia="宋体" w:cs="宋体"/>
                <w:sz w:val="24"/>
                <w:szCs w:val="24"/>
              </w:rPr>
              <w:br w:type="textWrapping"/>
            </w:r>
            <w:r>
              <w:rPr>
                <w:rFonts w:hint="eastAsia" w:ascii="宋体" w:hAnsi="宋体" w:eastAsia="宋体" w:cs="宋体"/>
                <w:sz w:val="24"/>
                <w:szCs w:val="24"/>
              </w:rPr>
              <w:t>财务总监</w:t>
            </w:r>
            <w:r>
              <w:rPr>
                <w:rFonts w:hint="eastAsia" w:ascii="宋体" w:hAnsi="宋体" w:eastAsia="宋体" w:cs="宋体"/>
                <w:sz w:val="24"/>
                <w:szCs w:val="24"/>
                <w:lang w:eastAsia="zh-CN"/>
              </w:rPr>
              <w:t>：</w:t>
            </w:r>
            <w:r>
              <w:rPr>
                <w:rFonts w:hint="eastAsia" w:ascii="宋体" w:hAnsi="宋体" w:eastAsia="宋体" w:cs="宋体"/>
                <w:sz w:val="24"/>
                <w:szCs w:val="24"/>
              </w:rPr>
              <w:t>陈圣华</w:t>
            </w:r>
          </w:p>
        </w:tc>
      </w:tr>
      <w:tr w14:paraId="3EC5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441" w:type="dxa"/>
          </w:tcPr>
          <w:p w14:paraId="69681178">
            <w:pPr>
              <w:pStyle w:val="12"/>
              <w:spacing w:before="1" w:line="499" w:lineRule="auto"/>
              <w:ind w:right="96"/>
              <w:rPr>
                <w:rFonts w:hint="eastAsia" w:ascii="宋体" w:hAnsi="宋体" w:eastAsia="宋体" w:cs="宋体"/>
                <w:b/>
                <w:bCs/>
                <w:sz w:val="24"/>
                <w:szCs w:val="24"/>
              </w:rPr>
            </w:pPr>
          </w:p>
          <w:p w14:paraId="0B448D7B">
            <w:pPr>
              <w:pStyle w:val="12"/>
              <w:spacing w:before="1" w:line="499" w:lineRule="auto"/>
              <w:ind w:right="96"/>
              <w:rPr>
                <w:rFonts w:hint="eastAsia" w:ascii="宋体" w:hAnsi="宋体" w:eastAsia="宋体" w:cs="宋体"/>
                <w:b/>
                <w:bCs/>
                <w:sz w:val="24"/>
                <w:szCs w:val="24"/>
              </w:rPr>
            </w:pPr>
          </w:p>
          <w:p w14:paraId="16C3E8CB">
            <w:pPr>
              <w:pStyle w:val="12"/>
              <w:spacing w:before="1" w:line="499" w:lineRule="auto"/>
              <w:ind w:right="96"/>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084" w:type="dxa"/>
          </w:tcPr>
          <w:p w14:paraId="3A6F794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rPr>
              <w:t xml:space="preserve">    1.公司经营下滑，投资亏损，股价低迷，请问管理层有何反思？</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答:2024年上半年，公司</w:t>
            </w:r>
            <w:r>
              <w:rPr>
                <w:rFonts w:hint="eastAsia" w:ascii="宋体" w:hAnsi="宋体" w:eastAsia="宋体" w:cs="宋体"/>
                <w:b w:val="0"/>
                <w:sz w:val="24"/>
                <w:szCs w:val="24"/>
                <w:lang w:val="en-US" w:eastAsia="zh-CN"/>
              </w:rPr>
              <w:t>实现</w:t>
            </w:r>
            <w:r>
              <w:rPr>
                <w:rFonts w:hint="eastAsia" w:ascii="宋体" w:hAnsi="宋体" w:eastAsia="宋体" w:cs="宋体"/>
                <w:b w:val="0"/>
                <w:sz w:val="24"/>
                <w:szCs w:val="24"/>
              </w:rPr>
              <w:t>营业收入166,094.64万元，相较于去年同期增长了8.29%；归属于上市公司股东的净利润达到7,310.85万元，同比降低48.18%，由于</w:t>
            </w:r>
            <w:r>
              <w:rPr>
                <w:rFonts w:hint="eastAsia" w:ascii="宋体" w:hAnsi="宋体" w:eastAsia="宋体" w:cs="宋体"/>
                <w:b w:val="0"/>
                <w:sz w:val="24"/>
                <w:szCs w:val="24"/>
                <w:lang w:val="en-US" w:eastAsia="zh-CN"/>
              </w:rPr>
              <w:t>二级资本</w:t>
            </w:r>
            <w:r>
              <w:rPr>
                <w:rFonts w:hint="eastAsia" w:ascii="宋体" w:hAnsi="宋体" w:eastAsia="宋体" w:cs="宋体"/>
                <w:b w:val="0"/>
                <w:sz w:val="24"/>
                <w:szCs w:val="24"/>
              </w:rPr>
              <w:t>市场出现波动，公司所持有的交易性金融资产的公允价值变动对当期的利润产生了影响。</w:t>
            </w:r>
            <w:r>
              <w:rPr>
                <w:rFonts w:hint="eastAsia" w:ascii="宋体" w:hAnsi="宋体" w:eastAsia="宋体" w:cs="宋体"/>
                <w:b w:val="0"/>
                <w:sz w:val="24"/>
                <w:szCs w:val="24"/>
                <w:lang w:val="en-US" w:eastAsia="zh-CN"/>
              </w:rPr>
              <w:t>但是</w:t>
            </w:r>
            <w:r>
              <w:rPr>
                <w:rFonts w:hint="eastAsia" w:ascii="宋体" w:hAnsi="宋体" w:eastAsia="宋体" w:cs="宋体"/>
                <w:b w:val="0"/>
                <w:sz w:val="24"/>
                <w:szCs w:val="24"/>
              </w:rPr>
              <w:t>归属于上市公司股东的扣除非经常性损益后的净利润为12,186.82万元，同比增长16.71%，公司主营业务保持稳定增长。</w:t>
            </w:r>
            <w:r>
              <w:rPr>
                <w:rFonts w:hint="eastAsia" w:ascii="宋体" w:hAnsi="宋体" w:eastAsia="宋体" w:cs="宋体"/>
                <w:b w:val="0"/>
                <w:sz w:val="24"/>
                <w:szCs w:val="24"/>
                <w:lang w:val="en-US" w:eastAsia="zh-CN"/>
              </w:rPr>
              <w:t>管理层</w:t>
            </w:r>
            <w:r>
              <w:rPr>
                <w:rFonts w:hint="eastAsia" w:ascii="宋体" w:hAnsi="宋体" w:eastAsia="宋体" w:cs="宋体"/>
                <w:b w:val="0"/>
                <w:sz w:val="24"/>
                <w:szCs w:val="24"/>
              </w:rPr>
              <w:t>将全方位审视并调整战略规划，加大研发投入力度，增强产品的创新性与竞争力，同时强化市场</w:t>
            </w:r>
            <w:r>
              <w:rPr>
                <w:rFonts w:hint="eastAsia" w:ascii="宋体" w:hAnsi="宋体" w:eastAsia="宋体" w:cs="宋体"/>
                <w:b w:val="0"/>
                <w:sz w:val="24"/>
                <w:szCs w:val="24"/>
                <w:lang w:eastAsia="zh-CN"/>
              </w:rPr>
              <w:t>，</w:t>
            </w:r>
            <w:r>
              <w:rPr>
                <w:rFonts w:hint="eastAsia" w:ascii="宋体" w:hAnsi="宋体" w:eastAsia="宋体" w:cs="宋体"/>
                <w:b w:val="0"/>
                <w:sz w:val="24"/>
                <w:szCs w:val="24"/>
              </w:rPr>
              <w:t>拓展营销渠道，来改善公司的经营情况。</w:t>
            </w:r>
          </w:p>
          <w:p w14:paraId="339F347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rPr>
              <w:t>为提升</w:t>
            </w:r>
            <w:r>
              <w:rPr>
                <w:rFonts w:hint="eastAsia" w:ascii="宋体" w:hAnsi="宋体" w:eastAsia="宋体" w:cs="宋体"/>
                <w:b w:val="0"/>
                <w:sz w:val="24"/>
                <w:szCs w:val="24"/>
                <w:lang w:val="en-US" w:eastAsia="zh-CN"/>
              </w:rPr>
              <w:t>闲置</w:t>
            </w:r>
            <w:r>
              <w:rPr>
                <w:rFonts w:hint="eastAsia" w:ascii="宋体" w:hAnsi="宋体" w:eastAsia="宋体" w:cs="宋体"/>
                <w:b w:val="0"/>
                <w:sz w:val="24"/>
                <w:szCs w:val="24"/>
              </w:rPr>
              <w:t>资金的投资收益，管理层选择了前几年收益颇为可观的基金，并委托专业</w:t>
            </w:r>
            <w:r>
              <w:rPr>
                <w:rFonts w:hint="eastAsia" w:ascii="宋体" w:hAnsi="宋体" w:eastAsia="宋体" w:cs="宋体"/>
                <w:b w:val="0"/>
                <w:sz w:val="24"/>
                <w:szCs w:val="24"/>
                <w:lang w:val="en-US" w:eastAsia="zh-CN"/>
              </w:rPr>
              <w:t>投资公司</w:t>
            </w:r>
            <w:r>
              <w:rPr>
                <w:rFonts w:hint="eastAsia" w:ascii="宋体" w:hAnsi="宋体" w:eastAsia="宋体" w:cs="宋体"/>
                <w:b w:val="0"/>
                <w:sz w:val="24"/>
                <w:szCs w:val="24"/>
              </w:rPr>
              <w:t>进行操盘，旨在获取一定的投资回报，进而提高公司的盈利能力。然而，资本市场今年的整体形势发生了巨大变化，</w:t>
            </w:r>
            <w:r>
              <w:rPr>
                <w:rFonts w:hint="eastAsia" w:ascii="宋体" w:hAnsi="宋体" w:eastAsia="宋体" w:cs="宋体"/>
                <w:b w:val="0"/>
                <w:sz w:val="24"/>
                <w:szCs w:val="24"/>
                <w:lang w:val="en-US" w:eastAsia="zh-CN"/>
              </w:rPr>
              <w:t>公司</w:t>
            </w:r>
            <w:r>
              <w:rPr>
                <w:rFonts w:hint="eastAsia" w:ascii="宋体" w:hAnsi="宋体" w:eastAsia="宋体" w:cs="宋体"/>
                <w:b w:val="0"/>
                <w:sz w:val="24"/>
                <w:szCs w:val="24"/>
              </w:rPr>
              <w:t>所持有的投资产品出现了亏损。基于此，公司已决定不再增加这方面</w:t>
            </w:r>
            <w:r>
              <w:rPr>
                <w:rFonts w:hint="eastAsia" w:ascii="宋体" w:hAnsi="宋体" w:eastAsia="宋体" w:cs="宋体"/>
                <w:b w:val="0"/>
                <w:sz w:val="24"/>
                <w:szCs w:val="24"/>
                <w:lang w:val="en-US" w:eastAsia="zh-CN"/>
              </w:rPr>
              <w:t>新</w:t>
            </w:r>
            <w:r>
              <w:rPr>
                <w:rFonts w:hint="eastAsia" w:ascii="宋体" w:hAnsi="宋体" w:eastAsia="宋体" w:cs="宋体"/>
                <w:b w:val="0"/>
                <w:sz w:val="24"/>
                <w:szCs w:val="24"/>
              </w:rPr>
              <w:t>的投入。另外，当股票市场回暖之际，</w:t>
            </w:r>
            <w:r>
              <w:rPr>
                <w:rFonts w:hint="eastAsia" w:ascii="宋体" w:hAnsi="宋体" w:eastAsia="宋体" w:cs="宋体"/>
                <w:b w:val="0"/>
                <w:sz w:val="24"/>
                <w:szCs w:val="24"/>
                <w:lang w:val="en-US" w:eastAsia="zh-CN"/>
              </w:rPr>
              <w:t>管理层</w:t>
            </w:r>
            <w:r>
              <w:rPr>
                <w:rFonts w:hint="eastAsia" w:ascii="宋体" w:hAnsi="宋体" w:eastAsia="宋体" w:cs="宋体"/>
                <w:b w:val="0"/>
                <w:sz w:val="24"/>
                <w:szCs w:val="24"/>
              </w:rPr>
              <w:t>将逐步减少</w:t>
            </w:r>
            <w:r>
              <w:rPr>
                <w:rFonts w:hint="eastAsia" w:ascii="宋体" w:hAnsi="宋体" w:eastAsia="宋体" w:cs="宋体"/>
                <w:b w:val="0"/>
                <w:sz w:val="24"/>
                <w:szCs w:val="24"/>
                <w:lang w:val="en-US" w:eastAsia="zh-CN"/>
              </w:rPr>
              <w:t>基金</w:t>
            </w:r>
            <w:r>
              <w:rPr>
                <w:rFonts w:hint="eastAsia" w:ascii="宋体" w:hAnsi="宋体" w:eastAsia="宋体" w:cs="宋体"/>
                <w:b w:val="0"/>
                <w:sz w:val="24"/>
                <w:szCs w:val="24"/>
              </w:rPr>
              <w:t>仓位，以保障广大股民以及公司的盈利等相关权益。</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2.大股东不减持也无质押，缺乏市值管理的动力。大股东不缺钱不等于投资者不要回报，更不能成为管理层不作为的借口。</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答:市值管理需要多方面努力，我们在这方面确实需要加强宣传，让投资人更多地知晓公司</w:t>
            </w:r>
            <w:r>
              <w:rPr>
                <w:rFonts w:hint="eastAsia" w:ascii="宋体" w:hAnsi="宋体" w:eastAsia="宋体" w:cs="宋体"/>
                <w:b w:val="0"/>
                <w:sz w:val="24"/>
                <w:szCs w:val="24"/>
                <w:lang w:val="en-US" w:eastAsia="zh-CN"/>
              </w:rPr>
              <w:t>战略</w:t>
            </w:r>
            <w:r>
              <w:rPr>
                <w:rFonts w:hint="eastAsia" w:ascii="宋体" w:hAnsi="宋体" w:eastAsia="宋体" w:cs="宋体"/>
                <w:b w:val="0"/>
                <w:sz w:val="24"/>
                <w:szCs w:val="24"/>
              </w:rPr>
              <w:t>布局</w:t>
            </w:r>
            <w:r>
              <w:rPr>
                <w:rFonts w:hint="eastAsia" w:ascii="宋体" w:hAnsi="宋体" w:eastAsia="宋体" w:cs="宋体"/>
                <w:b w:val="0"/>
                <w:sz w:val="24"/>
                <w:szCs w:val="24"/>
                <w:lang w:val="en-US" w:eastAsia="zh-CN"/>
              </w:rPr>
              <w:t>和经营情况。</w:t>
            </w:r>
            <w:r>
              <w:rPr>
                <w:rFonts w:hint="eastAsia" w:ascii="宋体" w:hAnsi="宋体" w:eastAsia="宋体" w:cs="宋体"/>
                <w:b w:val="0"/>
                <w:sz w:val="24"/>
                <w:szCs w:val="24"/>
              </w:rPr>
              <w:t>我们不能仅依靠大股东进行市值管理，</w:t>
            </w:r>
            <w:r>
              <w:rPr>
                <w:rFonts w:hint="eastAsia" w:ascii="宋体" w:hAnsi="宋体" w:eastAsia="宋体" w:cs="宋体"/>
                <w:b w:val="0"/>
                <w:sz w:val="24"/>
                <w:szCs w:val="24"/>
                <w:lang w:val="en-US" w:eastAsia="zh-CN"/>
              </w:rPr>
              <w:t>同时也要</w:t>
            </w:r>
            <w:r>
              <w:rPr>
                <w:rFonts w:hint="eastAsia" w:ascii="宋体" w:hAnsi="宋体" w:eastAsia="宋体" w:cs="宋体"/>
                <w:b w:val="0"/>
                <w:sz w:val="24"/>
                <w:szCs w:val="24"/>
              </w:rPr>
              <w:t>认识到市值管理对公司整体形象和投资者信心的重要性，并且将构建更完善的体系，从</w:t>
            </w:r>
            <w:r>
              <w:rPr>
                <w:rFonts w:hint="eastAsia" w:ascii="宋体" w:hAnsi="宋体" w:eastAsia="宋体" w:cs="宋体"/>
                <w:b w:val="0"/>
                <w:sz w:val="24"/>
                <w:szCs w:val="24"/>
                <w:lang w:val="en-US" w:eastAsia="zh-CN"/>
              </w:rPr>
              <w:t>而</w:t>
            </w:r>
            <w:r>
              <w:rPr>
                <w:rFonts w:hint="eastAsia" w:ascii="宋体" w:hAnsi="宋体" w:eastAsia="宋体" w:cs="宋体"/>
                <w:b w:val="0"/>
                <w:sz w:val="24"/>
                <w:szCs w:val="24"/>
              </w:rPr>
              <w:t>提升业绩、加强投资者关系管理</w:t>
            </w:r>
            <w:r>
              <w:rPr>
                <w:rFonts w:hint="eastAsia" w:ascii="宋体" w:hAnsi="宋体" w:eastAsia="宋体" w:cs="宋体"/>
                <w:b w:val="0"/>
                <w:sz w:val="24"/>
                <w:szCs w:val="24"/>
                <w:lang w:eastAsia="zh-CN"/>
              </w:rPr>
              <w:t>。</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p>
          <w:p w14:paraId="2987D545">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firstLine="482" w:firstLineChars="200"/>
              <w:textAlignment w:val="auto"/>
              <w:rPr>
                <w:rFonts w:hint="eastAsia" w:ascii="宋体" w:hAnsi="宋体" w:eastAsia="宋体" w:cs="宋体"/>
                <w:b w:val="0"/>
                <w:sz w:val="24"/>
                <w:szCs w:val="24"/>
              </w:rPr>
            </w:pPr>
            <w:r>
              <w:rPr>
                <w:rFonts w:hint="eastAsia" w:ascii="宋体" w:hAnsi="宋体" w:eastAsia="宋体" w:cs="宋体"/>
                <w:b/>
                <w:sz w:val="24"/>
                <w:szCs w:val="24"/>
              </w:rPr>
              <w:t>据我所知，董事会对董秘应该有市值管理的考核吧，面对低迷的股价、破净的现实、缩水的市值，董秘怎么看？有什么措施？</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我们将采取一系列措施来改善市值管理，首先加强与投资者的沟通，定期举办投资者交流会，让投资者更好地了解公司的价值。其次，积极推动公司的战略调整和业务转型，提升公司的核心竞争力，从根本上改善公司的经营状况，提高公司的市场价值。此外，我们还将积极与证券监管部门、证券交易所等相关机构沟通，学习借鉴其他优秀上市公司的市值管理经验，不断完善我们的市值管理工作。</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4.</w:t>
            </w:r>
            <w:r>
              <w:rPr>
                <w:rFonts w:hint="eastAsia" w:ascii="宋体" w:hAnsi="宋体" w:eastAsia="宋体" w:cs="宋体"/>
                <w:b/>
                <w:sz w:val="24"/>
                <w:szCs w:val="24"/>
              </w:rPr>
              <w:t>短期内房地产行业还无法企稳的大环境下，公司如何保证在营收、利润上的稳健增长？另外，面对股价的长期低迷，公司短期内是否有进一步的回购注销计划？</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在房地产领域，公司已与多个头部品牌达成长期战略合作关系。凭借长期的业务拓展，公司在产品与服务专业性、客户基础和品牌影响力方面具备了相对优势。公司还积极开拓其他业务，像工业照明、商业照明以及户外照明等。2024年国内户外照明业务增长迅猛，增幅超过40%，与欧美主要超市的战略合作也促使业务大幅增长。为保障营收和利润的持续增长，公司采取了诸多措施。营销方面，设立大客户对接部门以强化主要市场的营销工作；同时，加大市场营销终端网络建设投入，尤其侧重于自主品牌终端网络建设，并积极与国外大型商超开展战略合作。</w:t>
            </w:r>
            <w:r>
              <w:rPr>
                <w:rFonts w:hint="eastAsia" w:ascii="宋体" w:hAnsi="宋体" w:eastAsia="宋体" w:cs="宋体"/>
                <w:b w:val="0"/>
                <w:sz w:val="24"/>
                <w:szCs w:val="24"/>
                <w:lang w:val="en-US" w:eastAsia="zh-CN"/>
              </w:rPr>
              <w:t>面对股价的长期低迷，公司</w:t>
            </w:r>
            <w:r>
              <w:rPr>
                <w:rFonts w:hint="eastAsia" w:ascii="宋体" w:hAnsi="宋体" w:eastAsia="宋体" w:cs="宋体"/>
                <w:b w:val="0"/>
                <w:sz w:val="24"/>
                <w:szCs w:val="24"/>
              </w:rPr>
              <w:t>会综合考量公司的资金状况、市场环境等因素后</w:t>
            </w:r>
            <w:r>
              <w:rPr>
                <w:rFonts w:hint="eastAsia" w:ascii="宋体" w:hAnsi="宋体" w:eastAsia="宋体" w:cs="宋体"/>
                <w:b w:val="0"/>
                <w:sz w:val="24"/>
                <w:szCs w:val="24"/>
                <w:lang w:val="en-US" w:eastAsia="zh-CN"/>
              </w:rPr>
              <w:t>适时</w:t>
            </w:r>
            <w:r>
              <w:rPr>
                <w:rFonts w:hint="eastAsia" w:ascii="宋体" w:hAnsi="宋体" w:eastAsia="宋体" w:cs="宋体"/>
                <w:b w:val="0"/>
                <w:sz w:val="24"/>
                <w:szCs w:val="24"/>
              </w:rPr>
              <w:t>做出回购注销</w:t>
            </w:r>
            <w:r>
              <w:rPr>
                <w:rFonts w:hint="eastAsia" w:ascii="宋体" w:hAnsi="宋体" w:eastAsia="宋体" w:cs="宋体"/>
                <w:b w:val="0"/>
                <w:sz w:val="24"/>
                <w:szCs w:val="24"/>
                <w:lang w:val="en-US" w:eastAsia="zh-CN"/>
              </w:rPr>
              <w:t>计划</w:t>
            </w:r>
            <w:r>
              <w:rPr>
                <w:rFonts w:hint="eastAsia" w:ascii="宋体" w:hAnsi="宋体" w:eastAsia="宋体" w:cs="宋体"/>
                <w:b w:val="0"/>
                <w:sz w:val="24"/>
                <w:szCs w:val="24"/>
              </w:rPr>
              <w:t>。</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5</w:t>
            </w:r>
            <w:r>
              <w:rPr>
                <w:rFonts w:hint="eastAsia" w:ascii="宋体" w:hAnsi="宋体" w:eastAsia="宋体" w:cs="宋体"/>
                <w:b/>
                <w:sz w:val="24"/>
                <w:szCs w:val="24"/>
              </w:rPr>
              <w:t>.考虑到国家对绿色转型的政策支持，请问贵司是否已开始布局或考虑进入氢能源装备行业？</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答:2024年8月，中央发布《全面绿色转型意见》，设定至2030年绿色发展目标。为响应政策，公司加快清洁能源发展，特别是</w:t>
            </w:r>
            <w:r>
              <w:rPr>
                <w:rFonts w:hint="eastAsia" w:ascii="宋体" w:hAnsi="宋体" w:eastAsia="宋体" w:cs="宋体"/>
                <w:b w:val="0"/>
                <w:sz w:val="24"/>
                <w:szCs w:val="24"/>
                <w:lang w:val="en-US" w:eastAsia="zh-CN"/>
              </w:rPr>
              <w:t>绿色氢能源</w:t>
            </w:r>
            <w:r>
              <w:rPr>
                <w:rFonts w:hint="eastAsia" w:ascii="宋体" w:hAnsi="宋体" w:eastAsia="宋体" w:cs="宋体"/>
                <w:b w:val="0"/>
                <w:sz w:val="24"/>
                <w:szCs w:val="24"/>
              </w:rPr>
              <w:t>装备行业</w:t>
            </w:r>
            <w:r>
              <w:rPr>
                <w:rFonts w:hint="eastAsia" w:ascii="宋体" w:hAnsi="宋体" w:eastAsia="宋体" w:cs="宋体"/>
                <w:b w:val="0"/>
                <w:sz w:val="24"/>
                <w:szCs w:val="24"/>
                <w:lang w:eastAsia="zh-CN"/>
              </w:rPr>
              <w:t>。</w:t>
            </w:r>
            <w:r>
              <w:rPr>
                <w:rFonts w:hint="eastAsia" w:ascii="宋体" w:hAnsi="宋体" w:eastAsia="宋体" w:cs="宋体"/>
                <w:b w:val="0"/>
                <w:sz w:val="24"/>
                <w:szCs w:val="24"/>
              </w:rPr>
              <w:t>随全球清洁能源需求增长，将迎来更多机遇。公司自成立以来，专注节能照明，贯彻绿色理念。</w:t>
            </w:r>
            <w:r>
              <w:rPr>
                <w:rFonts w:hint="eastAsia" w:ascii="宋体" w:hAnsi="宋体" w:eastAsia="宋体" w:cs="宋体"/>
                <w:b w:val="0"/>
                <w:sz w:val="24"/>
                <w:szCs w:val="24"/>
                <w:lang w:val="en-US" w:eastAsia="zh-CN"/>
              </w:rPr>
              <w:t>已</w:t>
            </w:r>
            <w:r>
              <w:rPr>
                <w:rFonts w:hint="eastAsia" w:ascii="宋体" w:hAnsi="宋体" w:eastAsia="宋体" w:cs="宋体"/>
                <w:b w:val="0"/>
                <w:sz w:val="24"/>
                <w:szCs w:val="24"/>
              </w:rPr>
              <w:t>出资成立浙江阳光绿色氢能公司，开拓氢能源装备制造业务，</w:t>
            </w:r>
            <w:r>
              <w:rPr>
                <w:rFonts w:hint="eastAsia" w:ascii="宋体" w:hAnsi="宋体" w:eastAsia="宋体" w:cs="宋体"/>
                <w:b w:val="0"/>
                <w:sz w:val="24"/>
                <w:szCs w:val="24"/>
                <w:lang w:val="en-US" w:eastAsia="zh-CN"/>
              </w:rPr>
              <w:t>同时</w:t>
            </w:r>
            <w:r>
              <w:rPr>
                <w:rFonts w:hint="eastAsia" w:ascii="宋体" w:hAnsi="宋体" w:eastAsia="宋体" w:cs="宋体"/>
                <w:b w:val="0"/>
                <w:sz w:val="24"/>
                <w:szCs w:val="24"/>
              </w:rPr>
              <w:t>吸引精英加盟，设立研发实验室，并战略投资上游企业，打造产投研一体化平台。</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6</w:t>
            </w:r>
            <w:r>
              <w:rPr>
                <w:rFonts w:hint="eastAsia" w:ascii="宋体" w:hAnsi="宋体" w:eastAsia="宋体" w:cs="宋体"/>
                <w:b/>
                <w:sz w:val="24"/>
                <w:szCs w:val="24"/>
              </w:rPr>
              <w:t>.请问管理层，贵司营收及毛利率的提升主要得益于哪些因素？未来如何保持或进一步提高？</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公司上半年营业收入和毛利率较去年同期有所提升，主要得益于公司自主品牌策略进一步落实，公司自主品牌销售提高，组织架构简化及流程优化，促进公司运营效率提升及成本下降。未来将通过持续产品研发创新、深化市场渗透、拓展新市场、优化供应链管理、将强客户关系管理、提高品牌建设，确保公司在激烈的市场竞争中具备优势。</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7</w:t>
            </w:r>
            <w:r>
              <w:rPr>
                <w:rFonts w:hint="eastAsia" w:ascii="宋体" w:hAnsi="宋体" w:eastAsia="宋体" w:cs="宋体"/>
                <w:b/>
                <w:sz w:val="24"/>
                <w:szCs w:val="24"/>
              </w:rPr>
              <w:t>.公司投资幻方500指数增强欣享18号私募证券投资基金等，相比投资本金，这些基金的投资表现如何？是否达到了公司的预期收益？</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公司</w:t>
            </w:r>
            <w:r>
              <w:rPr>
                <w:rFonts w:hint="eastAsia" w:ascii="宋体" w:hAnsi="宋体" w:eastAsia="宋体" w:cs="宋体"/>
                <w:b w:val="0"/>
                <w:sz w:val="24"/>
                <w:szCs w:val="24"/>
              </w:rPr>
              <w:t>投资的基金今年半年度浮亏。基于此，公司已决定不再增加这方面的投入，并且在适当的</w:t>
            </w:r>
            <w:bookmarkStart w:id="0" w:name="_GoBack"/>
            <w:bookmarkEnd w:id="0"/>
            <w:r>
              <w:rPr>
                <w:rFonts w:hint="eastAsia" w:ascii="宋体" w:hAnsi="宋体" w:eastAsia="宋体" w:cs="宋体"/>
                <w:b w:val="0"/>
                <w:sz w:val="24"/>
                <w:szCs w:val="24"/>
              </w:rPr>
              <w:t>时候，将停止这方面的投资行为。另外，当股票市场回暖之际，</w:t>
            </w:r>
            <w:r>
              <w:rPr>
                <w:rFonts w:hint="eastAsia" w:ascii="宋体" w:hAnsi="宋体" w:eastAsia="宋体" w:cs="宋体"/>
                <w:b w:val="0"/>
                <w:sz w:val="24"/>
                <w:szCs w:val="24"/>
                <w:lang w:val="en-US" w:eastAsia="zh-CN"/>
              </w:rPr>
              <w:t>公司</w:t>
            </w:r>
            <w:r>
              <w:rPr>
                <w:rFonts w:hint="eastAsia" w:ascii="宋体" w:hAnsi="宋体" w:eastAsia="宋体" w:cs="宋体"/>
                <w:b w:val="0"/>
                <w:sz w:val="24"/>
                <w:szCs w:val="24"/>
              </w:rPr>
              <w:t>将逐步减少仓位，以保障广大股民以及公司的盈利等相关权益。</w:t>
            </w:r>
          </w:p>
          <w:p w14:paraId="45FDDB3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100" w:beforeAutospacing="1" w:line="360" w:lineRule="auto"/>
              <w:ind w:firstLine="482" w:firstLineChars="200"/>
              <w:textAlignment w:val="auto"/>
              <w:rPr>
                <w:rFonts w:hint="eastAsia" w:ascii="宋体" w:hAnsi="宋体" w:eastAsia="宋体" w:cs="宋体"/>
                <w:b w:val="0"/>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.贵司在国内外市场的拓展情况如何？品牌建设的策略和成效如何，谢谢</w:t>
            </w:r>
            <w:r>
              <w:rPr>
                <w:rFonts w:hint="eastAsia" w:ascii="宋体" w:hAnsi="宋体" w:eastAsia="宋体" w:cs="宋体"/>
                <w:b/>
                <w:sz w:val="24"/>
                <w:szCs w:val="24"/>
              </w:rPr>
              <w:br w:type="textWrapping"/>
            </w:r>
            <w:r>
              <w:rPr>
                <w:rFonts w:hint="eastAsia" w:ascii="宋体" w:hAnsi="宋体" w:eastAsia="宋体" w:cs="宋体"/>
                <w:b/>
                <w:sz w:val="24"/>
                <w:szCs w:val="24"/>
                <w:lang w:val="en-US" w:eastAsia="zh-CN"/>
              </w:rPr>
              <w:t xml:space="preserve">    </w:t>
            </w:r>
            <w:r>
              <w:rPr>
                <w:rFonts w:hint="eastAsia" w:ascii="宋体" w:hAnsi="宋体" w:eastAsia="宋体" w:cs="宋体"/>
                <w:b w:val="0"/>
                <w:sz w:val="24"/>
                <w:szCs w:val="24"/>
              </w:rPr>
              <w:t>答:公司旗下拥有“阳光”“Energetic”“MEGAMAN”“Nordlux”等多个自有品牌。公司通过本地经销商以及亚马逊等知名海外电商平台进行引流，达成自主品牌产品的销售目标。同时，还与国际著名照明企业、境外照明批发商、境外连锁型终端超市等建立了战略合作关系。</w:t>
            </w:r>
          </w:p>
          <w:p w14:paraId="4A239FA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100" w:beforeAutospacing="1" w:line="360" w:lineRule="auto"/>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b w:val="0"/>
                <w:sz w:val="24"/>
                <w:szCs w:val="24"/>
              </w:rPr>
              <w:t>自主品牌和自主市场已初见成效。澳大利亚市场设立办事处三年间，自主品牌销售额从0.5亿提升到了1.2亿；韩国</w:t>
            </w:r>
            <w:r>
              <w:rPr>
                <w:rFonts w:hint="eastAsia" w:ascii="宋体" w:hAnsi="宋体" w:eastAsia="宋体" w:cs="宋体"/>
                <w:b w:val="0"/>
                <w:sz w:val="24"/>
                <w:szCs w:val="24"/>
                <w:lang w:val="en-US" w:eastAsia="zh-CN"/>
              </w:rPr>
              <w:t>市场</w:t>
            </w:r>
            <w:r>
              <w:rPr>
                <w:rFonts w:hint="eastAsia" w:ascii="宋体" w:hAnsi="宋体" w:eastAsia="宋体" w:cs="宋体"/>
                <w:b w:val="0"/>
                <w:sz w:val="24"/>
                <w:szCs w:val="24"/>
              </w:rPr>
              <w:t>，销售额从0.3亿增长至0.8亿；加拿大</w:t>
            </w:r>
            <w:r>
              <w:rPr>
                <w:rFonts w:hint="eastAsia" w:ascii="宋体" w:hAnsi="宋体" w:eastAsia="宋体" w:cs="宋体"/>
                <w:b w:val="0"/>
                <w:sz w:val="24"/>
                <w:szCs w:val="24"/>
                <w:lang w:val="en-US" w:eastAsia="zh-CN"/>
              </w:rPr>
              <w:t>市场</w:t>
            </w:r>
            <w:r>
              <w:rPr>
                <w:rFonts w:hint="eastAsia" w:ascii="宋体" w:hAnsi="宋体" w:eastAsia="宋体" w:cs="宋体"/>
                <w:b w:val="0"/>
                <w:sz w:val="24"/>
                <w:szCs w:val="24"/>
              </w:rPr>
              <w:t>，从0.4亿增长到1亿；美国</w:t>
            </w:r>
            <w:r>
              <w:rPr>
                <w:rFonts w:hint="eastAsia" w:ascii="宋体" w:hAnsi="宋体" w:eastAsia="宋体" w:cs="宋体"/>
                <w:b w:val="0"/>
                <w:sz w:val="24"/>
                <w:szCs w:val="24"/>
                <w:lang w:val="en-US" w:eastAsia="zh-CN"/>
              </w:rPr>
              <w:t>市场</w:t>
            </w:r>
            <w:r>
              <w:rPr>
                <w:rFonts w:hint="eastAsia" w:ascii="宋体" w:hAnsi="宋体" w:eastAsia="宋体" w:cs="宋体"/>
                <w:b w:val="0"/>
                <w:sz w:val="24"/>
                <w:szCs w:val="24"/>
              </w:rPr>
              <w:t>，从1亿攀升至3亿，其中亚马逊业务更是从0.2亿增长到1.5亿；在欧洲主要国家（如</w:t>
            </w:r>
            <w:r>
              <w:rPr>
                <w:rFonts w:hint="eastAsia" w:ascii="宋体" w:hAnsi="宋体" w:eastAsia="宋体" w:cs="宋体"/>
                <w:b w:val="0"/>
                <w:sz w:val="24"/>
                <w:szCs w:val="24"/>
                <w:lang w:val="en-US" w:eastAsia="zh-CN"/>
              </w:rPr>
              <w:t>比利时、</w:t>
            </w:r>
            <w:r>
              <w:rPr>
                <w:rFonts w:hint="eastAsia" w:ascii="宋体" w:hAnsi="宋体" w:eastAsia="宋体" w:cs="宋体"/>
                <w:b w:val="0"/>
                <w:sz w:val="24"/>
                <w:szCs w:val="24"/>
              </w:rPr>
              <w:t>丹麦等）销售额总计从0.6亿增长到1.8亿。这些海外业务发展态势良好，不仅能够稳固公司业绩，而且还有进一步增长的潜力</w:t>
            </w:r>
            <w:r>
              <w:rPr>
                <w:rFonts w:hint="eastAsia" w:ascii="宋体" w:hAnsi="宋体" w:eastAsia="宋体" w:cs="宋体"/>
                <w:b w:val="0"/>
                <w:sz w:val="24"/>
                <w:szCs w:val="24"/>
                <w:lang w:eastAsia="zh-CN"/>
              </w:rPr>
              <w:t>。</w:t>
            </w:r>
          </w:p>
          <w:p w14:paraId="2DFD20E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100" w:beforeAutospacing="1"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.研发投入较上年有所增加。公司在技术创新和产品研发方面有哪些重点投入？未来有哪些新产品或技术可以期待？</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公司在欧洲、香港等地建立产品研发中心，在智能照明方面加大研发投入，氢能项目研发投入陆续推进，整体研发投入有所增加。对于未来，公司将继续坚持核心研发路线，将在照明智能化、数字化、提升光质量和用户体验等方面加大研发投入，并在氢能设备研发方面加大投入，将该项目作为公司未来收入新的增长点。</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0</w:t>
            </w:r>
            <w:r>
              <w:rPr>
                <w:rFonts w:hint="eastAsia" w:ascii="宋体" w:hAnsi="宋体" w:eastAsia="宋体" w:cs="宋体"/>
                <w:b/>
                <w:sz w:val="24"/>
                <w:szCs w:val="24"/>
              </w:rPr>
              <w:t>.请问，我们公司上半年业绩下滑是什么因素引起的呢？</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答:公司</w:t>
            </w:r>
            <w:r>
              <w:rPr>
                <w:rFonts w:hint="eastAsia" w:ascii="宋体" w:hAnsi="宋体" w:eastAsia="宋体" w:cs="宋体"/>
                <w:b w:val="0"/>
                <w:sz w:val="24"/>
                <w:szCs w:val="24"/>
                <w:lang w:val="en-US" w:eastAsia="zh-CN"/>
              </w:rPr>
              <w:t>实现</w:t>
            </w:r>
            <w:r>
              <w:rPr>
                <w:rFonts w:hint="eastAsia" w:ascii="宋体" w:hAnsi="宋体" w:eastAsia="宋体" w:cs="宋体"/>
                <w:b w:val="0"/>
                <w:sz w:val="24"/>
                <w:szCs w:val="24"/>
              </w:rPr>
              <w:t>营业收入166,094.64万元，相较于去年同期增长了8.29%；归属于上市公司股东的净利润达到7,310.85万元，同比降低48.18%，主要由于股票二级市场出现波动，公司所持有的交易性金融资产的公允价值变动对当期的利润产生了影响。归属于上市公司股东的扣除非经常性损益后的净利润为12,186.82万元，同比增长16.71%，公司主营业务仍保持稳定增长。</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1</w:t>
            </w:r>
            <w:r>
              <w:rPr>
                <w:rFonts w:hint="eastAsia" w:ascii="宋体" w:hAnsi="宋体" w:eastAsia="宋体" w:cs="宋体"/>
                <w:b/>
                <w:sz w:val="24"/>
                <w:szCs w:val="24"/>
              </w:rPr>
              <w:t>.公司现金流状况如何？是否存在潜在的现金流压力？</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答:公司上半年经营活动现金净流入1.72亿元，货币资金余额15.69亿元，经营资金安全稳定。</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2</w:t>
            </w:r>
            <w:r>
              <w:rPr>
                <w:rFonts w:hint="eastAsia" w:ascii="宋体" w:hAnsi="宋体" w:eastAsia="宋体" w:cs="宋体"/>
                <w:b/>
                <w:sz w:val="24"/>
                <w:szCs w:val="24"/>
              </w:rPr>
              <w:t>.请问公司在节能减排、绿色生产方面有哪些具体措施和成效？是否符合国家绿色转型的政策要求？</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公司主要产品为LED照明它在替代传统的白炽灯、节能灯过程中起到节约电能的作用。公司涉足阴离子交换电解槽制氢技术设备的研发将打通“绿氢”发展的堵点，进一步降低“绿氢”生产成本，提高氢能产业竞争力，推动绿色能源经济发展助力，早日实现碳中和目标。</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3</w:t>
            </w:r>
            <w:r>
              <w:rPr>
                <w:rFonts w:hint="eastAsia" w:ascii="宋体" w:hAnsi="宋体" w:eastAsia="宋体" w:cs="宋体"/>
                <w:b/>
                <w:sz w:val="24"/>
                <w:szCs w:val="24"/>
              </w:rPr>
              <w:t>.公司今年在出口业务业绩如何？接下来又有何布局？</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答:今年我们出口业务增长9.65%,美洲市场增长22%，欧洲市场与去年持平。接下来公司继续建立海外各细分渠道，提升海外市场占有率。</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4</w:t>
            </w:r>
            <w:r>
              <w:rPr>
                <w:rFonts w:hint="eastAsia" w:ascii="宋体" w:hAnsi="宋体" w:eastAsia="宋体" w:cs="宋体"/>
                <w:b/>
                <w:sz w:val="24"/>
                <w:szCs w:val="24"/>
              </w:rPr>
              <w:t>.今年年初公司设立了氢能子公司，如今是否有展开相关布局？如何看待新能源行业对照明企业的赋能？</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我们也认识到氢能源产业的巨大潜力和发展前景。虽然这一领域目前还面临诸多挑战，如行业标准制定、产业链完善、成本控制等，但我们相信，在政府的支持和市场需求的推动下，氢能源产业将迎来快速成长。因此，本公司将采取多元化战略，平衡发展LED照明和氢能源两大业务板块。一方面，我们将继续巩固和扩大在LED照明领域的业务，确保公司的稳定增长；另一方面，我们将积极探索氢能源领域的投资与研发机会，以实现长远发展和风险分散。我们深知，氢能源产业的技术创新和市场拓展是实现商业化的关键。随着《氢能产业发展中长期规划（2021-2035年）》的发布，我们对氢能源产业的未来充满信心，并期待通过不断的技术进步和市场开拓，为公司的可持续发展注入新动力。我们期待与您共同见证公司的成长与进步，并感谢您一如既往的支持。</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5</w:t>
            </w:r>
            <w:r>
              <w:rPr>
                <w:rFonts w:hint="eastAsia" w:ascii="宋体" w:hAnsi="宋体" w:eastAsia="宋体" w:cs="宋体"/>
                <w:b/>
                <w:sz w:val="24"/>
                <w:szCs w:val="24"/>
              </w:rPr>
              <w:t>.吴总如何看待照明行业未来的发展呢？时下火热细分赛道是您看好的呢？</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目前，全球通用照明市场约6000亿元，照明行业正在缓慢增长。公司市场占有率不高，有较大提升空间。公司正在建立照明领域各个细分渠道，包括工程照明、商业照明、户外照明、家居照明、办公照明等，提升各细分领域的优势和领导力，2024年海外市场在各细分领域表现较好。</w:t>
            </w:r>
            <w:r>
              <w:rPr>
                <w:rFonts w:hint="eastAsia" w:ascii="宋体" w:hAnsi="宋体" w:eastAsia="宋体" w:cs="宋体"/>
                <w:b w:val="0"/>
                <w:sz w:val="24"/>
                <w:szCs w:val="24"/>
              </w:rPr>
              <w:br w:type="textWrapping"/>
            </w:r>
            <w:r>
              <w:rPr>
                <w:rFonts w:hint="eastAsia" w:ascii="宋体" w:hAnsi="宋体" w:eastAsia="宋体" w:cs="宋体"/>
                <w:b/>
                <w:sz w:val="24"/>
                <w:szCs w:val="24"/>
              </w:rPr>
              <w:t xml:space="preserve">    1</w:t>
            </w:r>
            <w:r>
              <w:rPr>
                <w:rFonts w:hint="eastAsia" w:ascii="宋体" w:hAnsi="宋体" w:eastAsia="宋体" w:cs="宋体"/>
                <w:b/>
                <w:sz w:val="24"/>
                <w:szCs w:val="24"/>
                <w:lang w:val="en-US" w:eastAsia="zh-CN"/>
              </w:rPr>
              <w:t>6</w:t>
            </w:r>
            <w:r>
              <w:rPr>
                <w:rFonts w:hint="eastAsia" w:ascii="宋体" w:hAnsi="宋体" w:eastAsia="宋体" w:cs="宋体"/>
                <w:b/>
                <w:sz w:val="24"/>
                <w:szCs w:val="24"/>
              </w:rPr>
              <w:t>.汇率波动对公司有何影响？原材料价格波动，公司是否有采取对冲策略来管理成本风险？</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汇率方面，今年上半年汇率相对稳定，实现汇兑收益1011万元。公司跨境人民币结算不断提高，海外关联公司与国内公司通过不同币种与客户结算进一步分散单一币种汇率波动风险。原材料方面，公司通过不断的技术设计创新，选择更加稳定的新材料，减少价格波动影响。</w:t>
            </w:r>
          </w:p>
        </w:tc>
      </w:tr>
      <w:tr w14:paraId="0A7E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441" w:type="dxa"/>
            <w:vAlign w:val="center"/>
          </w:tcPr>
          <w:p w14:paraId="4B0E3798">
            <w:pPr>
              <w:pStyle w:val="12"/>
              <w:spacing w:before="1"/>
              <w:ind w:left="107"/>
              <w:rPr>
                <w:rFonts w:hint="eastAsia" w:ascii="宋体" w:hAnsi="宋体" w:eastAsia="宋体" w:cs="宋体"/>
                <w:b/>
                <w:bCs/>
                <w:sz w:val="24"/>
                <w:szCs w:val="24"/>
              </w:rPr>
            </w:pPr>
            <w:r>
              <w:rPr>
                <w:rFonts w:hint="eastAsia" w:ascii="宋体" w:hAnsi="宋体" w:eastAsia="宋体" w:cs="宋体"/>
                <w:b/>
                <w:bCs/>
                <w:sz w:val="24"/>
                <w:szCs w:val="24"/>
              </w:rPr>
              <w:t>关于本次活动是否涉及应披露重大信息的说明</w:t>
            </w:r>
          </w:p>
        </w:tc>
        <w:tc>
          <w:tcPr>
            <w:tcW w:w="6084" w:type="dxa"/>
            <w:vAlign w:val="center"/>
          </w:tcPr>
          <w:p w14:paraId="368E471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本次活动不涉及未公开披露的重大信息。</w:t>
            </w:r>
          </w:p>
        </w:tc>
      </w:tr>
      <w:tr w14:paraId="4440F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1" w:type="dxa"/>
            <w:vAlign w:val="center"/>
          </w:tcPr>
          <w:p w14:paraId="621A5995">
            <w:pPr>
              <w:pStyle w:val="12"/>
              <w:spacing w:before="1"/>
              <w:ind w:left="107" w:leftChars="0"/>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附件清单（如有）</w:t>
            </w:r>
          </w:p>
        </w:tc>
        <w:tc>
          <w:tcPr>
            <w:tcW w:w="6084" w:type="dxa"/>
            <w:vAlign w:val="center"/>
          </w:tcPr>
          <w:p w14:paraId="2FD687C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zh-CN" w:eastAsia="zh-CN" w:bidi="zh-CN"/>
              </w:rPr>
            </w:pPr>
          </w:p>
        </w:tc>
      </w:tr>
      <w:tr w14:paraId="4DCF6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1" w:type="dxa"/>
            <w:vAlign w:val="center"/>
          </w:tcPr>
          <w:p w14:paraId="24AFBE24">
            <w:pPr>
              <w:pStyle w:val="12"/>
              <w:spacing w:before="1"/>
              <w:ind w:left="107" w:leftChars="0"/>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日期</w:t>
            </w:r>
          </w:p>
        </w:tc>
        <w:tc>
          <w:tcPr>
            <w:tcW w:w="6084" w:type="dxa"/>
            <w:vAlign w:val="center"/>
          </w:tcPr>
          <w:p w14:paraId="19D8D891">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2024年09月13日</w:t>
            </w:r>
          </w:p>
        </w:tc>
      </w:tr>
    </w:tbl>
    <w:p w14:paraId="73A76C8B">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9235D"/>
    <w:multiLevelType w:val="singleLevel"/>
    <w:tmpl w:val="E059235D"/>
    <w:lvl w:ilvl="0" w:tentative="0">
      <w:start w:val="3"/>
      <w:numFmt w:val="decimal"/>
      <w:lvlText w:val="%1."/>
      <w:lvlJc w:val="left"/>
      <w:pPr>
        <w:tabs>
          <w:tab w:val="left" w:pos="312"/>
        </w:tabs>
      </w:pPr>
      <w:rPr>
        <w:rFonts w:hint="default"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Yzc4ZjYxNjI3NmYxZmI4YTVkMWMzOGE1NDgyM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5F5B18"/>
    <w:rsid w:val="01B32D1A"/>
    <w:rsid w:val="01CA3CC3"/>
    <w:rsid w:val="02797A4A"/>
    <w:rsid w:val="04B072D4"/>
    <w:rsid w:val="04DA26C6"/>
    <w:rsid w:val="05DE2E7F"/>
    <w:rsid w:val="05F575D4"/>
    <w:rsid w:val="064249C6"/>
    <w:rsid w:val="0757624F"/>
    <w:rsid w:val="08641132"/>
    <w:rsid w:val="087538A2"/>
    <w:rsid w:val="09186774"/>
    <w:rsid w:val="0945438F"/>
    <w:rsid w:val="0A71587A"/>
    <w:rsid w:val="0B792C38"/>
    <w:rsid w:val="0C28640C"/>
    <w:rsid w:val="0E5533EE"/>
    <w:rsid w:val="0E90599A"/>
    <w:rsid w:val="0ED720CD"/>
    <w:rsid w:val="0F955B67"/>
    <w:rsid w:val="100625C1"/>
    <w:rsid w:val="10B86C84"/>
    <w:rsid w:val="12070CAE"/>
    <w:rsid w:val="140B289C"/>
    <w:rsid w:val="142117E1"/>
    <w:rsid w:val="14500BB7"/>
    <w:rsid w:val="145F688C"/>
    <w:rsid w:val="14D47131"/>
    <w:rsid w:val="1521120D"/>
    <w:rsid w:val="15680001"/>
    <w:rsid w:val="15DD2205"/>
    <w:rsid w:val="17072842"/>
    <w:rsid w:val="17A67110"/>
    <w:rsid w:val="180550B5"/>
    <w:rsid w:val="1864189B"/>
    <w:rsid w:val="18D73A7D"/>
    <w:rsid w:val="19557370"/>
    <w:rsid w:val="19C92FDD"/>
    <w:rsid w:val="1A592C12"/>
    <w:rsid w:val="1BD06B6A"/>
    <w:rsid w:val="1C646FED"/>
    <w:rsid w:val="1F782BDE"/>
    <w:rsid w:val="1F9D3DF1"/>
    <w:rsid w:val="204A6A53"/>
    <w:rsid w:val="212D38AA"/>
    <w:rsid w:val="21676C37"/>
    <w:rsid w:val="22271C1D"/>
    <w:rsid w:val="226E180A"/>
    <w:rsid w:val="228F28EA"/>
    <w:rsid w:val="23317869"/>
    <w:rsid w:val="25650CAE"/>
    <w:rsid w:val="261674B7"/>
    <w:rsid w:val="26207C03"/>
    <w:rsid w:val="26406598"/>
    <w:rsid w:val="265A6D6B"/>
    <w:rsid w:val="26B7356B"/>
    <w:rsid w:val="26D32EC9"/>
    <w:rsid w:val="28080056"/>
    <w:rsid w:val="28734C1A"/>
    <w:rsid w:val="28C72DDD"/>
    <w:rsid w:val="29EE0E64"/>
    <w:rsid w:val="2A85494F"/>
    <w:rsid w:val="2BC4020A"/>
    <w:rsid w:val="2BF31469"/>
    <w:rsid w:val="2C385D6B"/>
    <w:rsid w:val="2C583C14"/>
    <w:rsid w:val="2EC11944"/>
    <w:rsid w:val="2EF90F16"/>
    <w:rsid w:val="2F125C63"/>
    <w:rsid w:val="302C3D0A"/>
    <w:rsid w:val="30745830"/>
    <w:rsid w:val="30D15875"/>
    <w:rsid w:val="3104598F"/>
    <w:rsid w:val="324F79A0"/>
    <w:rsid w:val="33437504"/>
    <w:rsid w:val="33DE31BB"/>
    <w:rsid w:val="340D18C0"/>
    <w:rsid w:val="3539386C"/>
    <w:rsid w:val="389C49C0"/>
    <w:rsid w:val="39BC78F4"/>
    <w:rsid w:val="3A647F2E"/>
    <w:rsid w:val="3AD53053"/>
    <w:rsid w:val="3B35486F"/>
    <w:rsid w:val="3B7364AD"/>
    <w:rsid w:val="3C7358B0"/>
    <w:rsid w:val="3D18555E"/>
    <w:rsid w:val="3D32698E"/>
    <w:rsid w:val="3EF1250A"/>
    <w:rsid w:val="3F397A0D"/>
    <w:rsid w:val="40567DB0"/>
    <w:rsid w:val="40FF5CD2"/>
    <w:rsid w:val="42C6222B"/>
    <w:rsid w:val="42DB40B0"/>
    <w:rsid w:val="43B71B0A"/>
    <w:rsid w:val="44FA0589"/>
    <w:rsid w:val="45125F42"/>
    <w:rsid w:val="45A663E3"/>
    <w:rsid w:val="45CC5137"/>
    <w:rsid w:val="45E30CC2"/>
    <w:rsid w:val="469F09AF"/>
    <w:rsid w:val="47B05A7D"/>
    <w:rsid w:val="4A44093B"/>
    <w:rsid w:val="4B756271"/>
    <w:rsid w:val="4C8E1CA8"/>
    <w:rsid w:val="4D6D36A4"/>
    <w:rsid w:val="4E0062C6"/>
    <w:rsid w:val="510903EF"/>
    <w:rsid w:val="5257222D"/>
    <w:rsid w:val="525A5877"/>
    <w:rsid w:val="5286273D"/>
    <w:rsid w:val="53F137F4"/>
    <w:rsid w:val="543A6906"/>
    <w:rsid w:val="56307C08"/>
    <w:rsid w:val="56850CBB"/>
    <w:rsid w:val="57363021"/>
    <w:rsid w:val="58466FCB"/>
    <w:rsid w:val="59CB760E"/>
    <w:rsid w:val="59D8738A"/>
    <w:rsid w:val="5A4D13D3"/>
    <w:rsid w:val="5A666D76"/>
    <w:rsid w:val="5B2253C2"/>
    <w:rsid w:val="5B582608"/>
    <w:rsid w:val="5CE31D7E"/>
    <w:rsid w:val="5CF02E0F"/>
    <w:rsid w:val="5D9C768D"/>
    <w:rsid w:val="5E0C4813"/>
    <w:rsid w:val="5E2356B9"/>
    <w:rsid w:val="5FA9201B"/>
    <w:rsid w:val="60165B20"/>
    <w:rsid w:val="603269D2"/>
    <w:rsid w:val="61A52BCA"/>
    <w:rsid w:val="64267CB1"/>
    <w:rsid w:val="642D6873"/>
    <w:rsid w:val="65BB7A65"/>
    <w:rsid w:val="65BD4645"/>
    <w:rsid w:val="67095496"/>
    <w:rsid w:val="67ED7463"/>
    <w:rsid w:val="681A546A"/>
    <w:rsid w:val="68507D37"/>
    <w:rsid w:val="69C70F9F"/>
    <w:rsid w:val="69CB37D4"/>
    <w:rsid w:val="69D501AF"/>
    <w:rsid w:val="6A0D5B9B"/>
    <w:rsid w:val="6A3B23B1"/>
    <w:rsid w:val="6AEA32DC"/>
    <w:rsid w:val="6C0E79A8"/>
    <w:rsid w:val="6C956225"/>
    <w:rsid w:val="6CC24AB5"/>
    <w:rsid w:val="6CFA7F2C"/>
    <w:rsid w:val="6D9271B2"/>
    <w:rsid w:val="6DB60BC0"/>
    <w:rsid w:val="6DCA5B51"/>
    <w:rsid w:val="6E3C34C7"/>
    <w:rsid w:val="6F134790"/>
    <w:rsid w:val="6F651DBB"/>
    <w:rsid w:val="6FAC19B2"/>
    <w:rsid w:val="6FE81F5F"/>
    <w:rsid w:val="70CD6084"/>
    <w:rsid w:val="72446028"/>
    <w:rsid w:val="73076EC0"/>
    <w:rsid w:val="74210CA6"/>
    <w:rsid w:val="7457538A"/>
    <w:rsid w:val="745F5B7E"/>
    <w:rsid w:val="746F4E76"/>
    <w:rsid w:val="75612DB2"/>
    <w:rsid w:val="761107C1"/>
    <w:rsid w:val="76430096"/>
    <w:rsid w:val="767C0162"/>
    <w:rsid w:val="76E22E37"/>
    <w:rsid w:val="76E6649A"/>
    <w:rsid w:val="78207581"/>
    <w:rsid w:val="788C25F5"/>
    <w:rsid w:val="79F72AA9"/>
    <w:rsid w:val="7A144529"/>
    <w:rsid w:val="7ADD5115"/>
    <w:rsid w:val="7B1B79EC"/>
    <w:rsid w:val="7BDA78A7"/>
    <w:rsid w:val="7DD37FAE"/>
    <w:rsid w:val="7E321EBB"/>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3700</Words>
  <Characters>3947</Characters>
  <Lines>2</Lines>
  <Paragraphs>1</Paragraphs>
  <TotalTime>9</TotalTime>
  <ScaleCrop>false</ScaleCrop>
  <LinksUpToDate>false</LinksUpToDate>
  <CharactersWithSpaces>4117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戴毅清-阳光</cp:lastModifiedBy>
  <dcterms:modified xsi:type="dcterms:W3CDTF">2024-09-13T09:22:43Z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57D148DF2F764966BF4E1C38A6255FA2</vt:lpwstr>
  </property>
</Properties>
</file>