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2879"/>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64" w:type="dxa"/>
            <w:tcBorders>
              <w:right w:val="single" w:color="auto" w:sz="4" w:space="0"/>
            </w:tcBorders>
          </w:tcPr>
          <w:p>
            <w:pPr>
              <w:jc w:val="center"/>
              <w:rPr>
                <w:b/>
                <w:bCs/>
                <w:sz w:val="24"/>
                <w:szCs w:val="32"/>
              </w:rPr>
            </w:pPr>
          </w:p>
          <w:p>
            <w:pPr>
              <w:jc w:val="center"/>
              <w:rPr>
                <w:b/>
                <w:bCs/>
                <w:sz w:val="24"/>
                <w:szCs w:val="32"/>
              </w:rPr>
            </w:pPr>
          </w:p>
          <w:p>
            <w:pPr>
              <w:jc w:val="center"/>
              <w:rPr>
                <w:b/>
                <w:bCs/>
                <w:sz w:val="24"/>
                <w:szCs w:val="32"/>
              </w:rPr>
            </w:pPr>
          </w:p>
          <w:p>
            <w:pPr>
              <w:jc w:val="center"/>
              <w:rPr>
                <w:b/>
                <w:bCs/>
                <w:sz w:val="24"/>
                <w:szCs w:val="32"/>
              </w:rPr>
            </w:pPr>
          </w:p>
          <w:p>
            <w:pPr>
              <w:jc w:val="center"/>
              <w:rPr>
                <w:b/>
                <w:bCs/>
                <w:sz w:val="24"/>
                <w:szCs w:val="32"/>
              </w:rPr>
            </w:pPr>
          </w:p>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投资者关系</w:t>
            </w:r>
          </w:p>
          <w:p>
            <w:pPr>
              <w:jc w:val="center"/>
              <w:rPr>
                <w:b/>
                <w:bCs/>
                <w:sz w:val="24"/>
                <w:szCs w:val="32"/>
              </w:rPr>
            </w:pPr>
            <w:r>
              <w:rPr>
                <w:rFonts w:hint="eastAsia" w:ascii="仿宋" w:hAnsi="仿宋" w:eastAsia="仿宋" w:cs="仿宋"/>
                <w:b/>
                <w:bCs/>
                <w:spacing w:val="-2"/>
                <w:sz w:val="28"/>
                <w:szCs w:val="28"/>
              </w:rPr>
              <w:t>活动类别</w:t>
            </w:r>
          </w:p>
        </w:tc>
        <w:tc>
          <w:tcPr>
            <w:tcW w:w="2879" w:type="dxa"/>
            <w:tcBorders>
              <w:top w:val="single" w:color="auto" w:sz="4" w:space="0"/>
              <w:left w:val="single" w:color="auto" w:sz="4" w:space="0"/>
              <w:bottom w:val="single" w:color="auto" w:sz="4" w:space="0"/>
              <w:right w:val="nil"/>
            </w:tcBorders>
          </w:tcPr>
          <w:p>
            <w:pPr>
              <w:spacing w:before="57"/>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6"/>
                <w:position w:val="7"/>
                <w:sz w:val="28"/>
                <w:szCs w:val="28"/>
              </w:rPr>
              <w:t>特定对象调</w:t>
            </w:r>
            <w:r>
              <w:rPr>
                <w:rFonts w:hint="eastAsia" w:ascii="仿宋" w:hAnsi="仿宋" w:eastAsia="仿宋" w:cs="仿宋"/>
                <w:spacing w:val="5"/>
                <w:position w:val="7"/>
                <w:sz w:val="28"/>
                <w:szCs w:val="28"/>
              </w:rPr>
              <w:t>研</w:t>
            </w:r>
          </w:p>
          <w:p>
            <w:pPr>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媒体采访</w:t>
            </w:r>
          </w:p>
          <w:p>
            <w:pPr>
              <w:spacing w:before="66"/>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新闻发布会</w:t>
            </w:r>
          </w:p>
          <w:p>
            <w:pPr>
              <w:spacing w:before="69"/>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现场参观</w:t>
            </w:r>
          </w:p>
          <w:p>
            <w:pPr>
              <w:spacing w:before="69"/>
              <w:jc w:val="left"/>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其他</w:t>
            </w:r>
          </w:p>
        </w:tc>
        <w:tc>
          <w:tcPr>
            <w:tcW w:w="3307" w:type="dxa"/>
            <w:tcBorders>
              <w:top w:val="single" w:color="auto" w:sz="4" w:space="0"/>
              <w:left w:val="nil"/>
              <w:bottom w:val="single" w:color="auto" w:sz="4" w:space="0"/>
              <w:right w:val="single" w:color="auto" w:sz="4" w:space="0"/>
            </w:tcBorders>
          </w:tcPr>
          <w:p>
            <w:pPr>
              <w:spacing w:before="57"/>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position w:val="7"/>
                <w:sz w:val="28"/>
                <w:szCs w:val="28"/>
              </w:rPr>
              <w:t>分析师会议</w:t>
            </w:r>
          </w:p>
          <w:p>
            <w:pPr>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5"/>
                <w:sz w:val="28"/>
                <w:szCs w:val="28"/>
              </w:rPr>
              <w:t>业绩说明会</w:t>
            </w:r>
          </w:p>
          <w:p>
            <w:pPr>
              <w:spacing w:before="69"/>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路演活动</w:t>
            </w:r>
          </w:p>
          <w:p>
            <w:pPr>
              <w:jc w:val="left"/>
            </w:pPr>
            <w:r>
              <w:rPr>
                <w:rFonts w:hint="eastAsia" w:ascii="仿宋" w:hAnsi="仿宋" w:eastAsia="仿宋" w:cs="仿宋"/>
                <w:spacing w:val="5"/>
                <w:sz w:val="28"/>
                <w:szCs w:val="28"/>
              </w:rPr>
              <w:sym w:font="Wingdings 2" w:char="0052"/>
            </w:r>
            <w:r>
              <w:rPr>
                <w:rFonts w:hint="eastAsia" w:ascii="仿宋" w:hAnsi="仿宋" w:eastAsia="仿宋" w:cs="仿宋"/>
                <w:spacing w:val="5"/>
                <w:sz w:val="28"/>
                <w:szCs w:val="28"/>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64" w:type="dxa"/>
          </w:tcPr>
          <w:p>
            <w:pPr>
              <w:jc w:val="center"/>
              <w:rPr>
                <w:rFonts w:ascii="仿宋" w:hAnsi="仿宋" w:eastAsia="仿宋" w:cs="仿宋"/>
                <w:sz w:val="28"/>
                <w:szCs w:val="28"/>
              </w:rPr>
            </w:pPr>
            <w:r>
              <w:rPr>
                <w:rFonts w:hint="eastAsia" w:ascii="仿宋" w:hAnsi="仿宋" w:eastAsia="仿宋" w:cs="仿宋"/>
                <w:b/>
                <w:bCs/>
                <w:sz w:val="28"/>
                <w:szCs w:val="28"/>
              </w:rPr>
              <w:t>调研人员（单位）</w:t>
            </w:r>
          </w:p>
        </w:tc>
        <w:tc>
          <w:tcPr>
            <w:tcW w:w="6186" w:type="dxa"/>
            <w:gridSpan w:val="2"/>
            <w:tcBorders>
              <w:top w:val="single" w:color="auto" w:sz="4" w:space="0"/>
            </w:tcBorders>
            <w:vAlign w:val="center"/>
          </w:tcPr>
          <w:p>
            <w:pPr>
              <w:widowControl/>
              <w:jc w:val="left"/>
              <w:textAlignment w:val="center"/>
              <w:rPr>
                <w:rFonts w:ascii="仿宋" w:hAnsi="仿宋" w:eastAsia="仿宋" w:cs="仿宋"/>
                <w:sz w:val="28"/>
                <w:szCs w:val="28"/>
              </w:rPr>
            </w:pPr>
            <w:r>
              <w:rPr>
                <w:rFonts w:hint="eastAsia" w:ascii="仿宋" w:hAnsi="仿宋" w:eastAsia="仿宋" w:cs="仿宋"/>
                <w:sz w:val="28"/>
                <w:szCs w:val="28"/>
              </w:rPr>
              <w:t>西南证券 兴业证券 财通证券 长江证券 中金公司  东吴证券 国联证券梁丰铄  招商基金文雨 广东正圆私募 深圳前海华杉投资 太平洋资产管理 富实（上海）私募 上海纯达资管 博裕资产 红杉资本股权投资 天风证券 中国民生银行 杭州乾璐投资管理 明亚基金  复星保德信人寿保险 昊泽致远（北京）投资管理  银华基金 上海涌乐私募  上海东恺投资管理 方正富邦基金 中银国际证券 东吴人寿保险  北京真科私募 博时基金 上海明河投资管理 上海途灵资管 深圳尚诚资管 重庆德睿恒丰资管  中国人保资管</w:t>
            </w:r>
            <w:r>
              <w:rPr>
                <w:rFonts w:hint="eastAsia" w:ascii="仿宋" w:hAnsi="仿宋" w:eastAsia="仿宋" w:cs="仿宋"/>
                <w:sz w:val="28"/>
                <w:szCs w:val="28"/>
                <w:lang w:val="en-US" w:eastAsia="zh-CN"/>
              </w:rPr>
              <w:t xml:space="preserve"> Millennium 成都希尔私募  浙江国信投资管理 华泰保兴  彤源投资 鹏扬基金  国寿安保  鹏华基金 煜德投资 工银安盛 中邮基金 宝盈基金 万家基金  银华基金 西部利得 太平养老 国寿安保 国寿养老 睿远投资 南方基金 新华资产 富国基金 华夏基金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64" w:type="dxa"/>
          </w:tcPr>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调研时间</w:t>
            </w:r>
          </w:p>
        </w:tc>
        <w:tc>
          <w:tcPr>
            <w:tcW w:w="6186" w:type="dxa"/>
            <w:gridSpan w:val="2"/>
          </w:tcPr>
          <w:p>
            <w:pPr>
              <w:rPr>
                <w:rFonts w:ascii="仿宋" w:hAnsi="仿宋" w:eastAsia="仿宋" w:cs="仿宋"/>
                <w:spacing w:val="-2"/>
                <w:sz w:val="28"/>
                <w:szCs w:val="28"/>
              </w:rPr>
            </w:pPr>
            <w:r>
              <w:rPr>
                <w:rFonts w:hint="eastAsia" w:ascii="仿宋" w:hAnsi="仿宋" w:eastAsia="仿宋" w:cs="仿宋"/>
                <w:spacing w:val="-2"/>
                <w:sz w:val="28"/>
                <w:szCs w:val="28"/>
              </w:rPr>
              <w:t>2024年</w:t>
            </w: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rPr>
              <w:t>月</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日—2024年</w:t>
            </w: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rPr>
              <w:t>月</w:t>
            </w:r>
            <w:r>
              <w:rPr>
                <w:rFonts w:hint="default" w:ascii="仿宋" w:hAnsi="仿宋" w:eastAsia="仿宋" w:cs="仿宋"/>
                <w:spacing w:val="-2"/>
                <w:sz w:val="28"/>
                <w:szCs w:val="28"/>
                <w:lang w:val="en-US"/>
              </w:rPr>
              <w:t>1</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64" w:type="dxa"/>
          </w:tcPr>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调研地点</w:t>
            </w:r>
          </w:p>
        </w:tc>
        <w:tc>
          <w:tcPr>
            <w:tcW w:w="6186" w:type="dxa"/>
            <w:gridSpan w:val="2"/>
          </w:tcPr>
          <w:p>
            <w:pPr>
              <w:rPr>
                <w:rFonts w:ascii="仿宋" w:hAnsi="仿宋" w:eastAsia="仿宋" w:cs="仿宋"/>
                <w:spacing w:val="-2"/>
                <w:sz w:val="28"/>
                <w:szCs w:val="28"/>
              </w:rPr>
            </w:pPr>
            <w:r>
              <w:rPr>
                <w:rFonts w:hint="eastAsia" w:ascii="仿宋" w:hAnsi="仿宋" w:eastAsia="仿宋" w:cs="仿宋"/>
                <w:spacing w:val="-2"/>
                <w:sz w:val="28"/>
                <w:szCs w:val="28"/>
              </w:rPr>
              <w:t>江北嘴、线上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64" w:type="dxa"/>
          </w:tcPr>
          <w:p>
            <w:pPr>
              <w:rPr>
                <w:b/>
                <w:bCs/>
                <w:sz w:val="24"/>
                <w:szCs w:val="32"/>
              </w:rPr>
            </w:pPr>
            <w:r>
              <w:rPr>
                <w:rFonts w:hint="eastAsia" w:ascii="仿宋" w:hAnsi="仿宋" w:eastAsia="仿宋" w:cs="仿宋"/>
                <w:b/>
                <w:bCs/>
                <w:spacing w:val="-2"/>
                <w:sz w:val="28"/>
                <w:szCs w:val="28"/>
              </w:rPr>
              <w:t>上市公司接待人员</w:t>
            </w:r>
          </w:p>
        </w:tc>
        <w:tc>
          <w:tcPr>
            <w:tcW w:w="6186" w:type="dxa"/>
            <w:gridSpan w:val="2"/>
          </w:tcPr>
          <w:p>
            <w:pPr>
              <w:jc w:val="left"/>
              <w:rPr>
                <w:rFonts w:ascii="仿宋" w:hAnsi="仿宋" w:eastAsia="仿宋" w:cs="仿宋"/>
                <w:spacing w:val="-2"/>
                <w:sz w:val="28"/>
                <w:szCs w:val="28"/>
              </w:rPr>
            </w:pPr>
            <w:r>
              <w:rPr>
                <w:rFonts w:hint="eastAsia" w:ascii="仿宋" w:hAnsi="仿宋" w:eastAsia="仿宋" w:cs="仿宋"/>
                <w:spacing w:val="-2"/>
                <w:sz w:val="28"/>
                <w:szCs w:val="28"/>
              </w:rPr>
              <w:t>董秘 李代萍、证券部相关人员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64" w:type="dxa"/>
          </w:tcPr>
          <w:p>
            <w:pPr>
              <w:jc w:val="center"/>
              <w:rPr>
                <w:rFonts w:eastAsia="仿宋"/>
                <w:b/>
                <w:bCs/>
                <w:sz w:val="24"/>
                <w:szCs w:val="32"/>
              </w:rPr>
            </w:pPr>
            <w:r>
              <w:rPr>
                <w:rFonts w:hint="eastAsia" w:ascii="仿宋" w:hAnsi="仿宋" w:eastAsia="仿宋" w:cs="仿宋"/>
                <w:b/>
                <w:bCs/>
                <w:spacing w:val="-2"/>
                <w:sz w:val="28"/>
                <w:szCs w:val="28"/>
              </w:rPr>
              <w:t>投资者关系活动主要内容</w:t>
            </w:r>
          </w:p>
        </w:tc>
        <w:tc>
          <w:tcPr>
            <w:tcW w:w="6186" w:type="dxa"/>
            <w:gridSpan w:val="2"/>
          </w:tcPr>
          <w:p>
            <w:pPr>
              <w:pStyle w:val="3"/>
              <w:outlineLvl w:val="3"/>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公司</w:t>
            </w:r>
            <w:r>
              <w:rPr>
                <w:rFonts w:hint="eastAsia" w:ascii="仿宋" w:hAnsi="仿宋" w:eastAsia="仿宋" w:cs="仿宋"/>
                <w:b/>
                <w:bCs/>
                <w:color w:val="auto"/>
                <w:sz w:val="28"/>
                <w:szCs w:val="28"/>
              </w:rPr>
              <w:t>2024年上半年的主要经营业绩如何？</w:t>
            </w:r>
          </w:p>
          <w:p>
            <w:pPr>
              <w:spacing w:line="360" w:lineRule="auto"/>
              <w:rPr>
                <w:rFonts w:hint="eastAsia" w:ascii="仿宋" w:hAnsi="仿宋" w:eastAsia="仿宋" w:cs="仿宋"/>
                <w:i w:val="0"/>
                <w:iCs w:val="0"/>
                <w:caps w:val="0"/>
                <w:color w:val="auto"/>
                <w:spacing w:val="0"/>
                <w:sz w:val="28"/>
                <w:szCs w:val="28"/>
                <w:shd w:val="clear" w:fill="auto"/>
                <w:lang w:eastAsia="zh-CN"/>
              </w:rPr>
            </w:pPr>
            <w:r>
              <w:rPr>
                <w:rFonts w:hint="eastAsia" w:ascii="仿宋" w:hAnsi="仿宋" w:eastAsia="仿宋" w:cs="仿宋"/>
                <w:sz w:val="28"/>
                <w:szCs w:val="28"/>
              </w:rPr>
              <w:t>答：</w:t>
            </w:r>
            <w:r>
              <w:rPr>
                <w:rFonts w:hint="eastAsia" w:ascii="仿宋" w:hAnsi="仿宋" w:eastAsia="仿宋" w:cs="仿宋"/>
                <w:sz w:val="28"/>
                <w:szCs w:val="28"/>
                <w:lang w:val="en-US" w:eastAsia="zh-CN"/>
              </w:rPr>
              <w:t>公司</w:t>
            </w:r>
            <w:r>
              <w:rPr>
                <w:rFonts w:hint="eastAsia" w:ascii="仿宋" w:hAnsi="仿宋" w:eastAsia="仿宋" w:cs="仿宋"/>
                <w:sz w:val="28"/>
                <w:szCs w:val="28"/>
              </w:rPr>
              <w:t>在2024年上半年</w:t>
            </w:r>
            <w:r>
              <w:rPr>
                <w:rFonts w:hint="eastAsia" w:ascii="仿宋" w:hAnsi="仿宋" w:eastAsia="仿宋" w:cs="仿宋"/>
                <w:i w:val="0"/>
                <w:iCs w:val="0"/>
                <w:caps w:val="0"/>
                <w:color w:val="auto"/>
                <w:spacing w:val="0"/>
                <w:sz w:val="28"/>
                <w:szCs w:val="28"/>
                <w:shd w:val="clear" w:fill="auto"/>
              </w:rPr>
              <w:t>在市场竞争加剧的环境下，</w:t>
            </w:r>
            <w:r>
              <w:rPr>
                <w:rFonts w:hint="eastAsia" w:ascii="仿宋" w:hAnsi="仿宋" w:eastAsia="仿宋" w:cs="仿宋"/>
                <w:i w:val="0"/>
                <w:iCs w:val="0"/>
                <w:caps w:val="0"/>
                <w:color w:val="auto"/>
                <w:spacing w:val="0"/>
                <w:sz w:val="28"/>
                <w:szCs w:val="28"/>
                <w:shd w:val="clear" w:fill="auto"/>
                <w:lang w:val="en-US" w:eastAsia="zh-CN"/>
              </w:rPr>
              <w:t>直面各种困</w:t>
            </w:r>
            <w:bookmarkStart w:id="0" w:name="_GoBack"/>
            <w:bookmarkEnd w:id="0"/>
            <w:r>
              <w:rPr>
                <w:rFonts w:hint="eastAsia" w:ascii="仿宋" w:hAnsi="仿宋" w:eastAsia="仿宋" w:cs="仿宋"/>
                <w:i w:val="0"/>
                <w:iCs w:val="0"/>
                <w:caps w:val="0"/>
                <w:color w:val="auto"/>
                <w:spacing w:val="0"/>
                <w:sz w:val="28"/>
                <w:szCs w:val="28"/>
                <w:shd w:val="clear" w:fill="auto"/>
                <w:lang w:val="en-US" w:eastAsia="zh-CN"/>
              </w:rPr>
              <w:t>难，</w:t>
            </w:r>
            <w:r>
              <w:rPr>
                <w:rFonts w:hint="eastAsia" w:ascii="仿宋" w:hAnsi="仿宋" w:eastAsia="仿宋" w:cs="仿宋"/>
                <w:i w:val="0"/>
                <w:iCs w:val="0"/>
                <w:caps w:val="0"/>
                <w:color w:val="auto"/>
                <w:spacing w:val="0"/>
                <w:sz w:val="28"/>
                <w:szCs w:val="28"/>
                <w:shd w:val="clear" w:fill="auto"/>
              </w:rPr>
              <w:t>公司还同时面临多个募投项目及自有资金投建项目进入投产、调试阶段等综合挑战。公司全力以赴完成现有生产装置安全稳定运行，确保各项产品保质保量按时交付的双重目标，</w:t>
            </w:r>
            <w:r>
              <w:rPr>
                <w:rFonts w:hint="eastAsia" w:ascii="仿宋" w:hAnsi="仿宋" w:eastAsia="仿宋" w:cs="仿宋"/>
                <w:i w:val="0"/>
                <w:iCs w:val="0"/>
                <w:caps w:val="0"/>
                <w:color w:val="auto"/>
                <w:spacing w:val="0"/>
                <w:sz w:val="28"/>
                <w:szCs w:val="28"/>
                <w:shd w:val="clear" w:fill="auto"/>
                <w:lang w:val="en-US" w:eastAsia="zh-CN"/>
              </w:rPr>
              <w:t>除净利润指标外，</w:t>
            </w:r>
            <w:r>
              <w:rPr>
                <w:rFonts w:hint="eastAsia" w:ascii="仿宋" w:hAnsi="仿宋" w:eastAsia="仿宋" w:cs="仿宋"/>
                <w:i w:val="0"/>
                <w:iCs w:val="0"/>
                <w:caps w:val="0"/>
                <w:color w:val="auto"/>
                <w:spacing w:val="0"/>
                <w:sz w:val="28"/>
                <w:szCs w:val="28"/>
                <w:shd w:val="clear" w:fill="auto"/>
              </w:rPr>
              <w:t>基本建设、项目投运、生产达产等各项生产经营指标圆满完成</w:t>
            </w:r>
            <w:r>
              <w:rPr>
                <w:rFonts w:hint="eastAsia" w:ascii="仿宋" w:hAnsi="仿宋" w:eastAsia="仿宋" w:cs="仿宋"/>
                <w:i w:val="0"/>
                <w:iCs w:val="0"/>
                <w:caps w:val="0"/>
                <w:color w:val="auto"/>
                <w:spacing w:val="0"/>
                <w:sz w:val="28"/>
                <w:szCs w:val="28"/>
                <w:shd w:val="clear" w:fill="auto"/>
                <w:lang w:eastAsia="zh-CN"/>
              </w:rPr>
              <w:t>。</w:t>
            </w:r>
          </w:p>
          <w:p>
            <w:pPr>
              <w:spacing w:line="360" w:lineRule="auto"/>
              <w:rPr>
                <w:rFonts w:hint="eastAsia" w:ascii="仿宋" w:hAnsi="仿宋" w:eastAsia="仿宋" w:cs="仿宋"/>
                <w:sz w:val="28"/>
                <w:szCs w:val="28"/>
                <w:lang w:eastAsia="zh-CN"/>
              </w:rPr>
            </w:pPr>
            <w:r>
              <w:rPr>
                <w:rFonts w:hint="eastAsia" w:ascii="仿宋" w:hAnsi="仿宋" w:eastAsia="仿宋" w:cs="仿宋"/>
                <w:i w:val="0"/>
                <w:iCs w:val="0"/>
                <w:caps w:val="0"/>
                <w:color w:val="auto"/>
                <w:spacing w:val="0"/>
                <w:sz w:val="28"/>
                <w:szCs w:val="28"/>
                <w:shd w:val="clear" w:fill="auto"/>
                <w:lang w:val="en-US" w:eastAsia="zh-CN"/>
              </w:rPr>
              <w:t xml:space="preserve">   </w:t>
            </w:r>
            <w:r>
              <w:rPr>
                <w:rFonts w:hint="eastAsia" w:ascii="仿宋" w:hAnsi="仿宋" w:eastAsia="仿宋" w:cs="仿宋"/>
                <w:sz w:val="28"/>
                <w:szCs w:val="28"/>
              </w:rPr>
              <w:t>整体</w:t>
            </w:r>
            <w:r>
              <w:rPr>
                <w:rFonts w:hint="eastAsia" w:ascii="仿宋" w:hAnsi="仿宋" w:eastAsia="仿宋" w:cs="仿宋"/>
                <w:sz w:val="28"/>
                <w:szCs w:val="28"/>
                <w:lang w:val="en-US" w:eastAsia="zh-CN"/>
              </w:rPr>
              <w:t>业绩</w:t>
            </w:r>
            <w:r>
              <w:rPr>
                <w:rFonts w:hint="eastAsia" w:ascii="仿宋" w:hAnsi="仿宋" w:eastAsia="仿宋" w:cs="仿宋"/>
                <w:sz w:val="28"/>
                <w:szCs w:val="28"/>
              </w:rPr>
              <w:t>表现受到了市场竞争加剧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大宗原材料价格上涨同时取向硅钢</w:t>
            </w:r>
            <w:r>
              <w:rPr>
                <w:rFonts w:hint="eastAsia" w:ascii="仿宋" w:hAnsi="仿宋" w:eastAsia="仿宋" w:cs="仿宋"/>
                <w:sz w:val="28"/>
                <w:szCs w:val="28"/>
              </w:rPr>
              <w:t>销售价格大幅下降的影响，</w:t>
            </w:r>
            <w:r>
              <w:rPr>
                <w:rFonts w:hint="eastAsia" w:ascii="仿宋" w:hAnsi="仿宋" w:eastAsia="仿宋" w:cs="仿宋"/>
                <w:sz w:val="28"/>
                <w:szCs w:val="28"/>
                <w:lang w:val="en-US" w:eastAsia="zh-CN"/>
              </w:rPr>
              <w:t>上半年</w:t>
            </w:r>
            <w:r>
              <w:rPr>
                <w:rFonts w:hint="eastAsia" w:ascii="仿宋" w:hAnsi="仿宋" w:eastAsia="仿宋" w:cs="仿宋"/>
                <w:sz w:val="28"/>
                <w:szCs w:val="28"/>
              </w:rPr>
              <w:t>营业收入</w:t>
            </w:r>
            <w:r>
              <w:rPr>
                <w:rFonts w:hint="eastAsia" w:ascii="仿宋" w:hAnsi="仿宋" w:eastAsia="仿宋" w:cs="仿宋"/>
                <w:sz w:val="28"/>
                <w:szCs w:val="28"/>
                <w:lang w:val="en-US" w:eastAsia="zh-CN"/>
              </w:rPr>
              <w:t>较去年</w:t>
            </w:r>
            <w:r>
              <w:rPr>
                <w:rFonts w:hint="eastAsia" w:ascii="仿宋" w:hAnsi="仿宋" w:eastAsia="仿宋" w:cs="仿宋"/>
                <w:sz w:val="28"/>
                <w:szCs w:val="28"/>
              </w:rPr>
              <w:t>同期</w:t>
            </w:r>
            <w:r>
              <w:rPr>
                <w:rFonts w:hint="eastAsia" w:ascii="仿宋" w:hAnsi="仿宋" w:eastAsia="仿宋" w:cs="仿宋"/>
                <w:sz w:val="28"/>
                <w:szCs w:val="28"/>
                <w:lang w:val="en-US" w:eastAsia="zh-CN"/>
              </w:rPr>
              <w:t>增长15%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w:t>
            </w:r>
            <w:r>
              <w:rPr>
                <w:rFonts w:hint="eastAsia" w:ascii="仿宋" w:hAnsi="仿宋" w:eastAsia="仿宋" w:cs="仿宋"/>
                <w:sz w:val="28"/>
                <w:szCs w:val="28"/>
              </w:rPr>
              <w:t>毛利率受到较大冲击，导致净利润同比</w:t>
            </w:r>
            <w:r>
              <w:rPr>
                <w:rFonts w:hint="eastAsia" w:ascii="仿宋" w:hAnsi="仿宋" w:eastAsia="仿宋" w:cs="仿宋"/>
                <w:sz w:val="28"/>
                <w:szCs w:val="28"/>
                <w:lang w:val="en-US" w:eastAsia="zh-CN"/>
              </w:rPr>
              <w:t>下降77%</w:t>
            </w:r>
            <w:r>
              <w:rPr>
                <w:rFonts w:hint="eastAsia" w:ascii="仿宋" w:hAnsi="仿宋" w:eastAsia="仿宋" w:cs="仿宋"/>
                <w:sz w:val="28"/>
                <w:szCs w:val="28"/>
              </w:rPr>
              <w:t>。</w:t>
            </w:r>
          </w:p>
          <w:p>
            <w:pPr>
              <w:spacing w:line="360" w:lineRule="auto"/>
              <w:rPr>
                <w:rFonts w:hint="default" w:ascii="宋体" w:hAnsi="宋体" w:eastAsia="仿宋"/>
                <w:b/>
                <w:bCs/>
                <w:szCs w:val="21"/>
                <w:lang w:val="en-US" w:eastAsia="zh-CN"/>
              </w:rPr>
            </w:pPr>
            <w:r>
              <w:rPr>
                <w:rFonts w:hint="eastAsia" w:ascii="仿宋" w:hAnsi="仿宋" w:eastAsia="仿宋" w:cs="仿宋"/>
                <w:sz w:val="28"/>
                <w:szCs w:val="28"/>
                <w:lang w:val="en-US" w:eastAsia="zh-CN"/>
              </w:rPr>
              <w:t>2、</w:t>
            </w:r>
            <w:r>
              <w:rPr>
                <w:rFonts w:hint="eastAsia" w:ascii="仿宋" w:hAnsi="仿宋" w:eastAsia="仿宋" w:cs="仿宋"/>
                <w:b/>
                <w:bCs/>
                <w:color w:val="auto"/>
                <w:sz w:val="28"/>
                <w:szCs w:val="28"/>
                <w:lang w:val="en-US" w:eastAsia="zh-CN"/>
              </w:rPr>
              <w:t>公司</w:t>
            </w:r>
            <w:r>
              <w:rPr>
                <w:rFonts w:hint="eastAsia" w:ascii="仿宋" w:hAnsi="仿宋" w:eastAsia="仿宋" w:cs="仿宋"/>
                <w:b/>
                <w:bCs/>
                <w:color w:val="auto"/>
                <w:sz w:val="28"/>
                <w:szCs w:val="28"/>
              </w:rPr>
              <w:t>并购对经营业绩有何影响</w:t>
            </w:r>
            <w:r>
              <w:rPr>
                <w:rFonts w:hint="eastAsia" w:ascii="仿宋" w:hAnsi="仿宋" w:eastAsia="仿宋" w:cs="仿宋"/>
                <w:b/>
                <w:bCs/>
                <w:color w:val="auto"/>
                <w:sz w:val="28"/>
                <w:szCs w:val="28"/>
                <w:lang w:val="en-US" w:eastAsia="zh-CN"/>
              </w:rPr>
              <w:t>以及后期管理规划？</w:t>
            </w:r>
          </w:p>
          <w:p>
            <w:pPr>
              <w:spacing w:line="24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答：在2024年</w:t>
            </w:r>
            <w:r>
              <w:rPr>
                <w:rFonts w:hint="eastAsia" w:ascii="仿宋" w:hAnsi="仿宋" w:eastAsia="仿宋" w:cs="仿宋"/>
                <w:color w:val="auto"/>
                <w:sz w:val="28"/>
                <w:szCs w:val="28"/>
                <w:lang w:val="en-US" w:eastAsia="zh-CN"/>
              </w:rPr>
              <w:t>4月，公司</w:t>
            </w:r>
            <w:r>
              <w:rPr>
                <w:rFonts w:hint="eastAsia" w:ascii="仿宋" w:hAnsi="仿宋" w:eastAsia="仿宋" w:cs="仿宋"/>
                <w:color w:val="auto"/>
                <w:sz w:val="28"/>
                <w:szCs w:val="28"/>
              </w:rPr>
              <w:t>成功</w:t>
            </w:r>
            <w:r>
              <w:rPr>
                <w:rFonts w:hint="eastAsia" w:ascii="仿宋" w:hAnsi="仿宋" w:eastAsia="仿宋" w:cs="仿宋"/>
                <w:color w:val="auto"/>
                <w:sz w:val="28"/>
                <w:szCs w:val="28"/>
                <w:lang w:val="en-US" w:eastAsia="zh-CN"/>
              </w:rPr>
              <w:t>收购</w:t>
            </w:r>
            <w:r>
              <w:rPr>
                <w:rFonts w:hint="eastAsia" w:ascii="仿宋" w:hAnsi="仿宋" w:eastAsia="仿宋" w:cs="仿宋"/>
                <w:color w:val="auto"/>
                <w:sz w:val="28"/>
                <w:szCs w:val="28"/>
              </w:rPr>
              <w:t>了</w:t>
            </w:r>
            <w:r>
              <w:rPr>
                <w:rFonts w:hint="eastAsia" w:ascii="仿宋" w:hAnsi="仿宋" w:eastAsia="仿宋" w:cs="仿宋"/>
                <w:color w:val="auto"/>
                <w:sz w:val="28"/>
                <w:szCs w:val="28"/>
                <w:lang w:val="en-US" w:eastAsia="zh-CN"/>
              </w:rPr>
              <w:t>云变</w:t>
            </w:r>
            <w:r>
              <w:rPr>
                <w:rFonts w:hint="eastAsia" w:ascii="仿宋" w:hAnsi="仿宋" w:eastAsia="仿宋" w:cs="仿宋"/>
                <w:color w:val="auto"/>
                <w:sz w:val="28"/>
                <w:szCs w:val="28"/>
                <w:lang w:eastAsia="zh-CN"/>
              </w:rPr>
              <w:t>电气</w:t>
            </w:r>
            <w:r>
              <w:rPr>
                <w:rFonts w:hint="eastAsia" w:ascii="仿宋" w:hAnsi="仿宋" w:eastAsia="仿宋" w:cs="仿宋"/>
                <w:color w:val="auto"/>
                <w:sz w:val="28"/>
                <w:szCs w:val="28"/>
                <w:lang w:val="en-US" w:eastAsia="zh-CN"/>
              </w:rPr>
              <w:t>79.97%股权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截止2024年6月</w:t>
            </w:r>
            <w:r>
              <w:rPr>
                <w:rFonts w:hint="eastAsia" w:ascii="仿宋" w:hAnsi="仿宋" w:eastAsia="仿宋" w:cs="仿宋"/>
                <w:color w:val="auto"/>
                <w:sz w:val="28"/>
                <w:szCs w:val="28"/>
              </w:rPr>
              <w:t>带来了近2亿多元的营业收入增长。同时，并入后</w:t>
            </w:r>
            <w:r>
              <w:rPr>
                <w:rFonts w:hint="eastAsia" w:ascii="仿宋" w:hAnsi="仿宋" w:eastAsia="仿宋" w:cs="仿宋"/>
                <w:color w:val="auto"/>
                <w:sz w:val="28"/>
                <w:szCs w:val="28"/>
                <w:lang w:val="en-US" w:eastAsia="zh-CN"/>
              </w:rPr>
              <w:t>云</w:t>
            </w:r>
            <w:r>
              <w:rPr>
                <w:rFonts w:hint="eastAsia" w:ascii="仿宋" w:hAnsi="仿宋" w:eastAsia="仿宋" w:cs="仿宋"/>
                <w:color w:val="auto"/>
                <w:sz w:val="28"/>
                <w:szCs w:val="28"/>
                <w:lang w:eastAsia="zh-CN"/>
              </w:rPr>
              <w:t>变电气的</w:t>
            </w:r>
            <w:r>
              <w:rPr>
                <w:rFonts w:hint="eastAsia" w:ascii="仿宋" w:hAnsi="仿宋" w:eastAsia="仿宋" w:cs="仿宋"/>
                <w:color w:val="auto"/>
                <w:sz w:val="28"/>
                <w:szCs w:val="28"/>
                <w:lang w:val="en-US" w:eastAsia="zh-CN"/>
              </w:rPr>
              <w:t>毛利有一定修复</w:t>
            </w:r>
            <w:r>
              <w:rPr>
                <w:rFonts w:hint="eastAsia" w:ascii="仿宋" w:hAnsi="仿宋" w:eastAsia="仿宋" w:cs="仿宋"/>
                <w:color w:val="auto"/>
                <w:sz w:val="28"/>
                <w:szCs w:val="28"/>
              </w:rPr>
              <w:t>，但由于核算方式和原则存在差异，难以进行直接的同比分析。</w:t>
            </w:r>
          </w:p>
          <w:p>
            <w:pPr>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截至目前，公司全面接手云变管理约5个月，原管理团队基本没变，集团已派驻副董事长、财务负责人和采购负责人团队进入日常管理。 现目前处于磨合期，云变的品牌和质量在牵引变压器行业属于龙头，相信在和集团的协同发展下，我们有信心会有更好的表现。</w:t>
            </w:r>
          </w:p>
          <w:p>
            <w:pPr>
              <w:rPr>
                <w:rFonts w:hint="default" w:ascii="仿宋" w:hAnsi="仿宋" w:eastAsia="仿宋" w:cs="仿宋"/>
                <w:sz w:val="32"/>
                <w:szCs w:val="32"/>
                <w:highlight w:val="yellow"/>
                <w:lang w:val="en-US" w:eastAsia="zh-CN"/>
              </w:rPr>
            </w:pPr>
            <w:r>
              <w:rPr>
                <w:rFonts w:hint="eastAsia" w:ascii="仿宋" w:hAnsi="仿宋" w:eastAsia="仿宋" w:cs="仿宋"/>
                <w:b/>
                <w:bCs/>
                <w:color w:val="auto"/>
                <w:sz w:val="28"/>
                <w:szCs w:val="28"/>
                <w:lang w:val="en-US" w:eastAsia="zh-CN"/>
              </w:rPr>
              <w:t>3</w:t>
            </w:r>
            <w:r>
              <w:rPr>
                <w:rFonts w:hint="eastAsia" w:ascii="仿宋" w:hAnsi="仿宋" w:eastAsia="仿宋" w:cs="仿宋"/>
                <w:b/>
                <w:bCs/>
                <w:sz w:val="28"/>
                <w:szCs w:val="28"/>
                <w:lang w:val="en-US" w:eastAsia="zh-CN"/>
              </w:rPr>
              <w:t>、云变毛利率在第三季度预计恢复到多少？是否会亏损？预期全年利润贡献能达到多少？</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答：三季度相关数据届时以三季报为准， 预期今年云变电气产品毛利率在2023年基础上会提升4-5个点，全年产值预计10-12亿元，利润届时以公告财务数据为准。</w:t>
            </w:r>
          </w:p>
          <w:p>
            <w:pPr>
              <w:rPr>
                <w:rFonts w:hint="eastAsia" w:ascii="仿宋" w:hAnsi="仿宋" w:eastAsia="仿宋" w:cs="仿宋"/>
                <w:b/>
                <w:bCs/>
                <w:sz w:val="28"/>
                <w:szCs w:val="28"/>
                <w:lang w:eastAsia="zh-CN"/>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bCs/>
                <w:sz w:val="28"/>
                <w:szCs w:val="28"/>
              </w:rPr>
              <w:t>、根据</w:t>
            </w:r>
            <w:r>
              <w:rPr>
                <w:rFonts w:hint="eastAsia" w:ascii="仿宋" w:hAnsi="仿宋" w:eastAsia="仿宋" w:cs="仿宋"/>
                <w:b/>
                <w:bCs/>
                <w:sz w:val="28"/>
                <w:szCs w:val="28"/>
                <w:lang w:val="en-US" w:eastAsia="zh-CN"/>
              </w:rPr>
              <w:t>之前</w:t>
            </w:r>
            <w:r>
              <w:rPr>
                <w:rFonts w:hint="eastAsia" w:ascii="仿宋" w:hAnsi="仿宋" w:eastAsia="仿宋" w:cs="仿宋"/>
                <w:b/>
                <w:bCs/>
                <w:sz w:val="28"/>
                <w:szCs w:val="28"/>
              </w:rPr>
              <w:t>公告显示云变电气2022和2023年经营亏损，原因是什么？</w:t>
            </w:r>
          </w:p>
          <w:p>
            <w:pPr>
              <w:rPr>
                <w:rFonts w:ascii="仿宋" w:hAnsi="仿宋" w:eastAsia="仿宋" w:cs="仿宋"/>
                <w:sz w:val="28"/>
                <w:szCs w:val="28"/>
              </w:rPr>
            </w:pPr>
            <w:r>
              <w:rPr>
                <w:rFonts w:hint="eastAsia" w:ascii="仿宋" w:hAnsi="仿宋" w:eastAsia="仿宋" w:cs="仿宋"/>
                <w:sz w:val="28"/>
                <w:szCs w:val="28"/>
              </w:rPr>
              <w:t>答：云变电气之前搬迁工厂对产能和产量有一定影响，导致摊销的固定性费用较多；2022年和2023年硅钢都处于高价格，导致产品成本增加；</w:t>
            </w:r>
            <w:r>
              <w:rPr>
                <w:rFonts w:hint="eastAsia" w:ascii="仿宋" w:hAnsi="仿宋" w:eastAsia="仿宋" w:cs="仿宋"/>
                <w:sz w:val="28"/>
                <w:szCs w:val="28"/>
                <w:lang w:val="en-US" w:eastAsia="zh-CN"/>
              </w:rPr>
              <w:t>同时</w:t>
            </w:r>
            <w:r>
              <w:rPr>
                <w:rFonts w:hint="eastAsia" w:ascii="仿宋" w:hAnsi="仿宋" w:eastAsia="仿宋" w:cs="仿宋"/>
                <w:sz w:val="28"/>
                <w:szCs w:val="28"/>
              </w:rPr>
              <w:t>企业相关人工成本和管理成本比较高</w:t>
            </w:r>
            <w:r>
              <w:rPr>
                <w:rFonts w:hint="eastAsia" w:ascii="仿宋" w:hAnsi="仿宋" w:eastAsia="仿宋" w:cs="仿宋"/>
                <w:sz w:val="28"/>
                <w:szCs w:val="28"/>
                <w:lang w:val="en-US" w:eastAsia="zh-CN"/>
              </w:rPr>
              <w:t>导致的。</w:t>
            </w:r>
          </w:p>
          <w:p>
            <w:pPr>
              <w:pStyle w:val="5"/>
              <w:numPr>
                <w:ilvl w:val="255"/>
                <w:numId w:val="0"/>
              </w:numP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、公司2023年取向硅钢出口情况及2024年出口预期情况？</w:t>
            </w:r>
          </w:p>
          <w:p>
            <w:pPr>
              <w:pStyle w:val="5"/>
              <w:numPr>
                <w:ilvl w:val="255"/>
                <w:numId w:val="0"/>
              </w:numPr>
              <w:rPr>
                <w:rFonts w:ascii="仿宋" w:hAnsi="仿宋" w:eastAsia="仿宋" w:cs="仿宋"/>
                <w:sz w:val="28"/>
                <w:szCs w:val="28"/>
              </w:rPr>
            </w:pPr>
            <w:r>
              <w:rPr>
                <w:rFonts w:hint="eastAsia" w:ascii="仿宋" w:hAnsi="仿宋" w:eastAsia="仿宋" w:cs="仿宋"/>
                <w:sz w:val="28"/>
                <w:szCs w:val="28"/>
              </w:rPr>
              <w:t>答：公司2023年取向硅钢系海外市场价格优势减弱，</w:t>
            </w:r>
            <w:r>
              <w:rPr>
                <w:rFonts w:hint="eastAsia" w:ascii="仿宋" w:hAnsi="仿宋" w:eastAsia="仿宋" w:cs="仿宋"/>
                <w:sz w:val="28"/>
                <w:szCs w:val="28"/>
                <w:lang w:val="en-US" w:eastAsia="zh-CN"/>
              </w:rPr>
              <w:t>公司的</w:t>
            </w:r>
            <w:r>
              <w:rPr>
                <w:rFonts w:hint="eastAsia" w:ascii="仿宋" w:hAnsi="仿宋" w:eastAsia="仿宋" w:cs="仿宋"/>
                <w:sz w:val="28"/>
                <w:szCs w:val="28"/>
              </w:rPr>
              <w:t>出口占比</w:t>
            </w:r>
            <w:r>
              <w:rPr>
                <w:rFonts w:hint="eastAsia" w:ascii="仿宋" w:hAnsi="仿宋" w:eastAsia="仿宋" w:cs="仿宋"/>
                <w:sz w:val="28"/>
                <w:szCs w:val="28"/>
                <w:lang w:val="en-US" w:eastAsia="zh-CN"/>
              </w:rPr>
              <w:t>主动</w:t>
            </w:r>
            <w:r>
              <w:rPr>
                <w:rFonts w:hint="eastAsia" w:ascii="仿宋" w:hAnsi="仿宋" w:eastAsia="仿宋" w:cs="仿宋"/>
                <w:sz w:val="28"/>
                <w:szCs w:val="28"/>
              </w:rPr>
              <w:t>缩小</w:t>
            </w:r>
            <w:r>
              <w:rPr>
                <w:rFonts w:hint="eastAsia" w:ascii="仿宋" w:hAnsi="仿宋" w:eastAsia="仿宋" w:cs="仿宋"/>
                <w:sz w:val="28"/>
                <w:szCs w:val="28"/>
                <w:lang w:eastAsia="zh-CN"/>
              </w:rPr>
              <w:t>；</w:t>
            </w:r>
            <w:r>
              <w:rPr>
                <w:rFonts w:hint="eastAsia" w:ascii="仿宋" w:hAnsi="仿宋" w:eastAsia="仿宋" w:cs="仿宋"/>
                <w:sz w:val="28"/>
                <w:szCs w:val="28"/>
              </w:rPr>
              <w:t>2024年</w:t>
            </w:r>
            <w:r>
              <w:rPr>
                <w:rFonts w:hint="eastAsia" w:ascii="仿宋" w:hAnsi="仿宋" w:eastAsia="仿宋" w:cs="仿宋"/>
                <w:sz w:val="28"/>
                <w:szCs w:val="28"/>
                <w:lang w:val="en-US" w:eastAsia="zh-CN"/>
              </w:rPr>
              <w:t>上半年</w:t>
            </w:r>
            <w:r>
              <w:rPr>
                <w:rFonts w:hint="eastAsia" w:ascii="仿宋" w:hAnsi="仿宋" w:eastAsia="仿宋" w:cs="仿宋"/>
                <w:sz w:val="28"/>
                <w:szCs w:val="28"/>
              </w:rPr>
              <w:t>公司</w:t>
            </w:r>
            <w:r>
              <w:rPr>
                <w:rFonts w:hint="eastAsia" w:ascii="仿宋" w:hAnsi="仿宋" w:eastAsia="仿宋" w:cs="仿宋"/>
                <w:sz w:val="28"/>
                <w:szCs w:val="28"/>
                <w:lang w:val="en-US" w:eastAsia="zh-CN"/>
              </w:rPr>
              <w:t>取向硅钢出口占比约31.87%，后期出口占比公司会实时根据国际经济形势等综合因素调整，</w:t>
            </w:r>
            <w:r>
              <w:rPr>
                <w:rFonts w:hint="eastAsia" w:ascii="仿宋" w:hAnsi="仿宋" w:eastAsia="仿宋" w:cs="仿宋"/>
                <w:sz w:val="28"/>
                <w:szCs w:val="28"/>
              </w:rPr>
              <w:t>具体出口情况请以公司公告为准。</w:t>
            </w:r>
          </w:p>
          <w:p>
            <w:pPr>
              <w:pStyle w:val="5"/>
              <w:numPr>
                <w:ilvl w:val="255"/>
                <w:numId w:val="0"/>
              </w:numP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、现目前八万吨高端磁性新材料项目</w:t>
            </w:r>
            <w:r>
              <w:rPr>
                <w:rFonts w:hint="eastAsia" w:ascii="仿宋" w:hAnsi="仿宋" w:eastAsia="仿宋" w:cs="仿宋"/>
                <w:b/>
                <w:bCs/>
                <w:sz w:val="28"/>
                <w:szCs w:val="28"/>
                <w:lang w:val="en-US" w:eastAsia="zh-CN"/>
              </w:rPr>
              <w:t>的产出</w:t>
            </w:r>
            <w:r>
              <w:rPr>
                <w:rFonts w:hint="eastAsia" w:ascii="仿宋" w:hAnsi="仿宋" w:eastAsia="仿宋" w:cs="仿宋"/>
                <w:b/>
                <w:bCs/>
                <w:sz w:val="28"/>
                <w:szCs w:val="28"/>
              </w:rPr>
              <w:t>情况以及未来高牌号产出规划？</w:t>
            </w:r>
          </w:p>
          <w:p>
            <w:pPr>
              <w:pStyle w:val="5"/>
              <w:numPr>
                <w:ilvl w:val="255"/>
                <w:numId w:val="0"/>
              </w:numPr>
              <w:rPr>
                <w:rFonts w:hint="eastAsia" w:ascii="仿宋" w:hAnsi="仿宋" w:eastAsia="仿宋" w:cs="仿宋"/>
                <w:b w:val="0"/>
                <w:bCs w:val="0"/>
                <w:color w:val="auto"/>
                <w:sz w:val="28"/>
                <w:szCs w:val="28"/>
              </w:rPr>
            </w:pPr>
            <w:r>
              <w:rPr>
                <w:rFonts w:hint="eastAsia" w:ascii="仿宋" w:hAnsi="仿宋" w:eastAsia="仿宋" w:cs="仿宋"/>
                <w:sz w:val="28"/>
                <w:szCs w:val="28"/>
              </w:rPr>
              <w:t>答：</w:t>
            </w:r>
            <w:r>
              <w:rPr>
                <w:rFonts w:hint="eastAsia" w:ascii="仿宋" w:hAnsi="仿宋" w:eastAsia="仿宋" w:cs="仿宋"/>
                <w:b w:val="0"/>
                <w:bCs w:val="0"/>
                <w:color w:val="auto"/>
                <w:sz w:val="28"/>
                <w:szCs w:val="28"/>
                <w:lang w:val="en-US" w:eastAsia="zh-CN"/>
              </w:rPr>
              <w:t>截至目前，</w:t>
            </w:r>
            <w:r>
              <w:rPr>
                <w:rFonts w:hint="eastAsia" w:ascii="仿宋" w:hAnsi="仿宋" w:eastAsia="仿宋" w:cs="仿宋"/>
                <w:b w:val="0"/>
                <w:bCs w:val="0"/>
                <w:color w:val="auto"/>
                <w:sz w:val="28"/>
                <w:szCs w:val="28"/>
              </w:rPr>
              <w:t>八万吨高端磁性新材料项目</w:t>
            </w:r>
            <w:r>
              <w:rPr>
                <w:rFonts w:hint="eastAsia" w:ascii="仿宋" w:hAnsi="仿宋" w:eastAsia="仿宋" w:cs="仿宋"/>
                <w:b w:val="0"/>
                <w:bCs w:val="0"/>
                <w:color w:val="auto"/>
                <w:sz w:val="28"/>
                <w:szCs w:val="28"/>
                <w:lang w:val="en-US" w:eastAsia="zh-CN"/>
              </w:rPr>
              <w:t>牌号</w:t>
            </w:r>
            <w:r>
              <w:rPr>
                <w:rFonts w:hint="eastAsia" w:ascii="仿宋" w:hAnsi="仿宋" w:eastAsia="仿宋" w:cs="仿宋"/>
                <w:b w:val="0"/>
                <w:bCs w:val="0"/>
                <w:color w:val="auto"/>
                <w:sz w:val="28"/>
                <w:szCs w:val="28"/>
              </w:rPr>
              <w:t>095及以上牌号产出占比已超80%，85及以上牌号产出占比已超10%。</w:t>
            </w:r>
            <w:r>
              <w:rPr>
                <w:rFonts w:hint="eastAsia" w:ascii="仿宋" w:hAnsi="仿宋" w:eastAsia="仿宋" w:cs="仿宋"/>
                <w:b w:val="0"/>
                <w:bCs w:val="0"/>
                <w:color w:val="auto"/>
                <w:sz w:val="28"/>
                <w:szCs w:val="28"/>
                <w:lang w:val="en-US" w:eastAsia="zh-CN"/>
              </w:rPr>
              <w:t>其中095牌号占比大约40%，090牌号占比大约30%。牌号占比</w:t>
            </w:r>
            <w:r>
              <w:rPr>
                <w:rFonts w:hint="eastAsia" w:ascii="仿宋" w:hAnsi="仿宋" w:eastAsia="仿宋" w:cs="仿宋"/>
                <w:b w:val="0"/>
                <w:bCs w:val="0"/>
                <w:color w:val="auto"/>
                <w:sz w:val="28"/>
                <w:szCs w:val="28"/>
              </w:rPr>
              <w:t>随着时间的推移以及该项目“人机料法环”各相关要素的不断磨合和提升，预计高牌号占比将持续提升，同时牌号结构将</w:t>
            </w:r>
            <w:r>
              <w:rPr>
                <w:rFonts w:hint="eastAsia" w:ascii="仿宋" w:hAnsi="仿宋" w:eastAsia="仿宋" w:cs="仿宋"/>
                <w:b w:val="0"/>
                <w:bCs w:val="0"/>
                <w:color w:val="auto"/>
                <w:sz w:val="28"/>
                <w:szCs w:val="28"/>
                <w:lang w:val="en-US" w:eastAsia="zh-CN"/>
              </w:rPr>
              <w:t>持</w:t>
            </w:r>
            <w:r>
              <w:rPr>
                <w:rFonts w:hint="eastAsia" w:ascii="仿宋" w:hAnsi="仿宋" w:eastAsia="仿宋" w:cs="仿宋"/>
                <w:b w:val="0"/>
                <w:bCs w:val="0"/>
                <w:color w:val="auto"/>
                <w:sz w:val="28"/>
                <w:szCs w:val="28"/>
              </w:rPr>
              <w:t>续优化。</w:t>
            </w:r>
          </w:p>
          <w:p>
            <w:pPr>
              <w:rPr>
                <w:rFonts w:hint="eastAsia" w:ascii="仿宋" w:hAnsi="仿宋" w:eastAsia="仿宋" w:cs="仿宋"/>
                <w:b w:val="0"/>
                <w:bCs w:val="0"/>
                <w:color w:val="auto"/>
                <w:sz w:val="28"/>
                <w:szCs w:val="28"/>
                <w:lang w:eastAsia="zh-CN"/>
              </w:rPr>
            </w:pPr>
            <w:r>
              <w:rPr>
                <w:rFonts w:hint="eastAsia" w:ascii="仿宋" w:hAnsi="仿宋" w:eastAsia="仿宋" w:cs="仿宋"/>
                <w:b/>
                <w:bCs/>
                <w:sz w:val="28"/>
                <w:szCs w:val="28"/>
                <w:lang w:val="en-US" w:eastAsia="zh-CN"/>
              </w:rPr>
              <w:t>7</w:t>
            </w:r>
            <w:r>
              <w:rPr>
                <w:rFonts w:hint="eastAsia" w:ascii="仿宋" w:hAnsi="仿宋" w:eastAsia="仿宋" w:cs="仿宋"/>
                <w:b/>
                <w:bCs/>
                <w:color w:val="auto"/>
                <w:sz w:val="28"/>
                <w:szCs w:val="28"/>
              </w:rPr>
              <w:t>、公司现有取向硅钢老产线是否有改造计划？</w:t>
            </w:r>
            <w:r>
              <w:rPr>
                <w:rFonts w:hint="eastAsia" w:ascii="仿宋" w:hAnsi="仿宋" w:eastAsia="仿宋" w:cs="仿宋"/>
                <w:b w:val="0"/>
                <w:bCs w:val="0"/>
                <w:color w:val="auto"/>
                <w:sz w:val="28"/>
                <w:szCs w:val="28"/>
              </w:rPr>
              <w:t>答：公司现有老产线包括5万吨CGO和5万吨HiB，公司将在八万吨高端磁性新材料项目稳定运行以后，将根据国际国内供需状况对两套装置做综合评估是否技改提档升级，届时以公告为准。</w:t>
            </w:r>
          </w:p>
          <w:p>
            <w:pPr>
              <w:rPr>
                <w:rFonts w:hint="eastAsia" w:ascii="仿宋" w:hAnsi="仿宋" w:eastAsia="仿宋" w:cs="仿宋"/>
                <w:b/>
                <w:bCs/>
                <w:sz w:val="32"/>
                <w:szCs w:val="32"/>
                <w:highlight w:val="yellow"/>
                <w:lang w:val="en-US" w:eastAsia="zh-CN"/>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bCs/>
                <w:sz w:val="28"/>
                <w:szCs w:val="28"/>
                <w:highlight w:val="none"/>
                <w:lang w:val="en-US" w:eastAsia="zh-CN"/>
              </w:rPr>
              <w:t>、取向硅钢2</w:t>
            </w:r>
            <w:r>
              <w:rPr>
                <w:rFonts w:hint="eastAsia" w:ascii="仿宋" w:hAnsi="仿宋" w:eastAsia="仿宋" w:cs="仿宋"/>
                <w:b/>
                <w:bCs/>
                <w:sz w:val="28"/>
                <w:szCs w:val="28"/>
                <w:lang w:val="en-US" w:eastAsia="zh-CN"/>
              </w:rPr>
              <w:t>02</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lang w:val="en-US" w:eastAsia="zh-CN"/>
              </w:rPr>
              <w:t>年上半年</w:t>
            </w:r>
            <w:r>
              <w:rPr>
                <w:rFonts w:hint="eastAsia" w:ascii="仿宋" w:hAnsi="仿宋" w:eastAsia="仿宋" w:cs="仿宋"/>
                <w:b/>
                <w:bCs/>
                <w:sz w:val="28"/>
                <w:szCs w:val="28"/>
                <w:highlight w:val="none"/>
                <w:lang w:val="en-US" w:eastAsia="zh-CN"/>
              </w:rPr>
              <w:t>海外业务分区域情况，海外订单及交付周期？</w:t>
            </w:r>
          </w:p>
          <w:p>
            <w:pPr>
              <w:pStyle w:val="5"/>
              <w:ind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答：2024年上半年境外收入约1.92亿，绝大多数都为取向硅钢的出口，出口取向硅钢的销售占比约31.87% ；主要涉及地区是印度 、沙特 、土耳其 、墨西哥、 新加坡、 南非 、泰国、 加拿大等；订单交付周期根据客户合同约定时间交付，时间1-6个月不等， 大多订单交付周期是1-3个月。</w:t>
            </w:r>
          </w:p>
          <w:p>
            <w:pPr>
              <w:pStyle w:val="5"/>
              <w:ind w:firstLine="0" w:firstLineChars="0"/>
              <w:rPr>
                <w:rFonts w:hint="eastAsia" w:ascii="仿宋" w:hAnsi="仿宋" w:eastAsia="仿宋"/>
                <w:sz w:val="28"/>
                <w:szCs w:val="28"/>
                <w:lang w:eastAsia="zh-CN"/>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bCs/>
                <w:sz w:val="28"/>
                <w:szCs w:val="28"/>
                <w:lang w:val="en-US" w:eastAsia="zh-CN"/>
              </w:rPr>
              <w:t>公司对</w:t>
            </w:r>
            <w:r>
              <w:rPr>
                <w:rFonts w:hint="eastAsia" w:ascii="仿宋" w:hAnsi="仿宋" w:eastAsia="仿宋" w:cs="仿宋"/>
                <w:b/>
                <w:bCs/>
                <w:sz w:val="28"/>
                <w:szCs w:val="28"/>
                <w:highlight w:val="none"/>
                <w:lang w:val="en-US" w:eastAsia="zh-CN"/>
              </w:rPr>
              <w:t>取向硅钢价格后续展望及对公司盈利的影响？</w:t>
            </w:r>
            <w:r>
              <w:rPr>
                <w:rFonts w:hint="eastAsia" w:ascii="仿宋" w:hAnsi="仿宋" w:eastAsia="仿宋" w:cs="仿宋"/>
                <w:b/>
                <w:bCs/>
                <w:sz w:val="28"/>
                <w:szCs w:val="28"/>
                <w:highlight w:val="none"/>
                <w:lang w:val="en-US" w:eastAsia="zh-CN"/>
              </w:rPr>
              <w:br w:type="textWrapping"/>
            </w:r>
            <w:r>
              <w:rPr>
                <w:rFonts w:hint="eastAsia" w:ascii="仿宋" w:hAnsi="仿宋" w:eastAsia="仿宋"/>
                <w:sz w:val="28"/>
                <w:szCs w:val="28"/>
                <w:lang w:val="en-US" w:eastAsia="zh-CN"/>
              </w:rPr>
              <w:t>答：</w:t>
            </w:r>
            <w:r>
              <w:rPr>
                <w:rFonts w:hint="eastAsia" w:ascii="仿宋" w:hAnsi="仿宋" w:eastAsia="仿宋" w:cs="仿宋"/>
                <w:sz w:val="28"/>
                <w:szCs w:val="28"/>
              </w:rPr>
              <w:t>2024年第二季度过后，取向硅钢整体价格持续上涨。总体而言，随着国家的“双碳”、“变压器能效升级”政策、关于新形势下配电网高质量发展的指导意见以及其他一系列推进“电力装备绿色低碳”的政策发布，特别是近期颁布的中国电力变压器能效限定值及能效等级新标准，我们预计高牌号取向硅钢的价格因节能变压器的需求增加而持稳或上升，一般取向硅钢的价格因需求稳定而保持相对稳定。</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就我们公司而言，随着八万吨高端磁性新材料项目后期牌号结构的提升，预期同步会给公司带来更强有力的盈利能力提升。</w:t>
            </w:r>
          </w:p>
          <w:p>
            <w:pPr>
              <w:rPr>
                <w:rFonts w:hint="default" w:ascii="仿宋" w:hAnsi="仿宋" w:eastAsia="仿宋" w:cs="仿宋"/>
                <w:b/>
                <w:bCs/>
                <w:sz w:val="32"/>
                <w:szCs w:val="32"/>
                <w:highlight w:val="yellow"/>
                <w:lang w:val="en-US" w:eastAsia="zh-CN"/>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lang w:val="en-US" w:eastAsia="zh-CN"/>
              </w:rPr>
              <w:t>0</w:t>
            </w:r>
            <w:r>
              <w:rPr>
                <w:rFonts w:hint="eastAsia" w:ascii="仿宋" w:hAnsi="仿宋" w:eastAsia="仿宋" w:cs="仿宋"/>
                <w:b/>
                <w:bCs/>
                <w:sz w:val="28"/>
                <w:szCs w:val="28"/>
                <w:highlight w:val="none"/>
                <w:lang w:val="en-US" w:eastAsia="zh-CN"/>
              </w:rPr>
              <w:t>、取向硅钢的未来的产能扩张情况如何？</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答：经过2023年的产能集中释放后，国内接下来的市场产能扩产情况我们预计不会很激进，正常不含决策时长扩张需要3年左右，决策各公司差异较大，一般国企决策时间长。目前可见的近期2-3年，每年有30万吨左右的量投出来，与市场整体需要增加的量基本匹配，不会出现供大于求的状况。据了解国际市场上日韩扩产的量不大，并且成本远远高于中国，日本扩产前端的原料据了解也是不匹配的，因此短期内大规模扩产的可能性比较小。</w:t>
            </w:r>
          </w:p>
          <w:p>
            <w:pPr>
              <w:rPr>
                <w:rFonts w:ascii="楷体" w:hAnsi="楷体" w:eastAsia="楷体"/>
                <w:b/>
                <w:bCs/>
              </w:rPr>
            </w:pPr>
            <w:r>
              <w:rPr>
                <w:rFonts w:hint="eastAsia" w:ascii="仿宋" w:hAnsi="仿宋" w:eastAsia="仿宋" w:cs="仿宋"/>
                <w:b/>
                <w:bCs/>
                <w:sz w:val="28"/>
                <w:szCs w:val="28"/>
                <w:highlight w:val="none"/>
                <w:lang w:val="en-US" w:eastAsia="zh-CN"/>
              </w:rPr>
              <w:t>11、变压器出口业务目前进展及展望？</w:t>
            </w:r>
          </w:p>
          <w:p>
            <w:pPr>
              <w:rPr>
                <w:rFonts w:hint="eastAsia" w:ascii="仿宋" w:hAnsi="仿宋" w:eastAsia="仿宋"/>
                <w:sz w:val="28"/>
                <w:szCs w:val="28"/>
                <w:lang w:eastAsia="zh-CN"/>
              </w:rPr>
            </w:pPr>
            <w:r>
              <w:rPr>
                <w:rFonts w:hint="eastAsia" w:ascii="仿宋" w:hAnsi="仿宋" w:eastAsia="仿宋" w:cs="仿宋"/>
                <w:sz w:val="28"/>
                <w:szCs w:val="28"/>
                <w:lang w:val="en-US" w:eastAsia="zh-CN"/>
              </w:rPr>
              <w:t>答：</w:t>
            </w:r>
            <w:r>
              <w:rPr>
                <w:rFonts w:hint="eastAsia" w:ascii="仿宋" w:hAnsi="仿宋" w:eastAsia="仿宋"/>
                <w:sz w:val="28"/>
                <w:szCs w:val="28"/>
              </w:rPr>
              <w:t>公司输配电版块在2024年开年以来，已先后签订多个出口项目合同，总金额近5000万元；云变2</w:t>
            </w:r>
            <w:r>
              <w:rPr>
                <w:rFonts w:ascii="仿宋" w:hAnsi="仿宋" w:eastAsia="仿宋"/>
                <w:sz w:val="28"/>
                <w:szCs w:val="28"/>
              </w:rPr>
              <w:t>023</w:t>
            </w:r>
            <w:r>
              <w:rPr>
                <w:rFonts w:hint="eastAsia" w:ascii="仿宋" w:hAnsi="仿宋" w:eastAsia="仿宋"/>
                <w:sz w:val="28"/>
                <w:szCs w:val="28"/>
              </w:rPr>
              <w:t>年签约3</w:t>
            </w:r>
            <w:r>
              <w:rPr>
                <w:rFonts w:ascii="仿宋" w:hAnsi="仿宋" w:eastAsia="仿宋"/>
                <w:sz w:val="28"/>
                <w:szCs w:val="28"/>
              </w:rPr>
              <w:t>800</w:t>
            </w:r>
            <w:r>
              <w:rPr>
                <w:rFonts w:hint="eastAsia" w:ascii="仿宋" w:hAnsi="仿宋" w:eastAsia="仿宋"/>
                <w:sz w:val="28"/>
                <w:szCs w:val="28"/>
              </w:rPr>
              <w:t>多万元出口马来西亚6</w:t>
            </w:r>
            <w:r>
              <w:rPr>
                <w:rFonts w:ascii="仿宋" w:hAnsi="仿宋" w:eastAsia="仿宋"/>
                <w:sz w:val="28"/>
                <w:szCs w:val="28"/>
              </w:rPr>
              <w:t>53km</w:t>
            </w:r>
            <w:r>
              <w:rPr>
                <w:rFonts w:hint="eastAsia" w:ascii="仿宋" w:hAnsi="仿宋" w:eastAsia="仿宋"/>
                <w:sz w:val="28"/>
                <w:szCs w:val="28"/>
              </w:rPr>
              <w:t>马东铁路牵引变出口项目；集团出口产品包括铁路专用牵引变、其他各型变压器、高低压智能成套开关柜等，遍及马来西亚、老挝、坦桑尼亚、斯里兰卡等多个国家</w:t>
            </w:r>
            <w:r>
              <w:rPr>
                <w:rFonts w:hint="eastAsia" w:ascii="仿宋" w:hAnsi="仿宋" w:eastAsia="仿宋"/>
                <w:sz w:val="28"/>
                <w:szCs w:val="28"/>
                <w:lang w:eastAsia="zh-CN"/>
              </w:rPr>
              <w:t>。</w:t>
            </w:r>
          </w:p>
          <w:p>
            <w:pPr>
              <w:widowControl/>
              <w:outlineLvl w:val="3"/>
              <w:rPr>
                <w:rFonts w:hint="eastAsia" w:ascii="仿宋" w:hAnsi="仿宋" w:eastAsia="仿宋" w:cs="仿宋"/>
                <w:b/>
                <w:bCs/>
                <w:sz w:val="28"/>
                <w:szCs w:val="28"/>
                <w:lang w:eastAsia="zh-CN"/>
              </w:rPr>
            </w:pPr>
            <w:r>
              <w:rPr>
                <w:rFonts w:hint="eastAsia" w:ascii="仿宋" w:hAnsi="仿宋" w:eastAsia="仿宋"/>
                <w:sz w:val="28"/>
                <w:szCs w:val="28"/>
                <w:lang w:val="en-US" w:eastAsia="zh-CN"/>
              </w:rPr>
              <w:t xml:space="preserve">   目前，</w:t>
            </w:r>
            <w:r>
              <w:rPr>
                <w:rFonts w:hint="eastAsia" w:ascii="仿宋" w:hAnsi="仿宋" w:eastAsia="仿宋" w:cs="仿宋"/>
                <w:sz w:val="28"/>
                <w:szCs w:val="28"/>
              </w:rPr>
              <w:t>公司主营业务输配电及控制设备和取向硅钢的出口业务正在进行全球化布局。输配电及控制设备将以云变公司为变压器出口基地，建立老挝、马来西亚、越南、柬埔寨和缅甸等东南亚办事处。同时设立南亚大区销售中心参与孟加拉、斯里兰卡和尼泊尔等国家的主电网投标工作。公司将在阿联酋迪拜设立销售中心，参与沙特、伊拉克的主电网投标工作</w:t>
            </w:r>
            <w:r>
              <w:rPr>
                <w:rFonts w:hint="eastAsia" w:ascii="仿宋" w:hAnsi="仿宋" w:eastAsia="仿宋" w:cs="仿宋"/>
                <w:sz w:val="28"/>
                <w:szCs w:val="28"/>
                <w:lang w:eastAsia="zh-CN"/>
              </w:rPr>
              <w:t>，</w:t>
            </w:r>
            <w:r>
              <w:rPr>
                <w:rFonts w:hint="eastAsia" w:ascii="仿宋" w:hAnsi="仿宋" w:eastAsia="仿宋" w:cs="仿宋"/>
                <w:sz w:val="28"/>
                <w:szCs w:val="28"/>
              </w:rPr>
              <w:t>同时公司拟在埃塞俄比亚设立非洲办事处，更好地配合大型央企在非洲市场的电力总承包投标工作</w:t>
            </w:r>
            <w:r>
              <w:rPr>
                <w:rFonts w:hint="eastAsia" w:ascii="仿宋" w:hAnsi="仿宋" w:eastAsia="仿宋" w:cs="仿宋"/>
                <w:sz w:val="28"/>
                <w:szCs w:val="28"/>
                <w:lang w:eastAsia="zh-CN"/>
              </w:rPr>
              <w:t>。</w:t>
            </w:r>
          </w:p>
          <w:p>
            <w:pPr>
              <w:pStyle w:val="5"/>
              <w:rPr>
                <w:rFonts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、公司输配电版块使用自用硅钢具有成本优势，但仍与同行业的毛利存在一定差异，公司对此如何看待？公司是否有考虑过进一步提高增速的措施？</w:t>
            </w:r>
          </w:p>
          <w:p>
            <w:pPr>
              <w:rPr>
                <w:rFonts w:hint="eastAsia" w:ascii="仿宋" w:hAnsi="仿宋" w:eastAsia="仿宋" w:cs="仿宋"/>
                <w:sz w:val="28"/>
                <w:szCs w:val="28"/>
                <w:lang w:eastAsia="zh-CN"/>
              </w:rPr>
            </w:pPr>
            <w:r>
              <w:rPr>
                <w:rFonts w:hint="eastAsia" w:ascii="仿宋" w:hAnsi="仿宋" w:eastAsia="仿宋" w:cs="仿宋"/>
                <w:sz w:val="28"/>
                <w:szCs w:val="28"/>
              </w:rPr>
              <w:t>答：输配电产品涉及电压等级、变压器容量、运用场景、运用领域等诸多差异，因此输配电产品不同公司毛利率不同是正常状态；公司输配电产品毛利率趋势与同行一致</w:t>
            </w:r>
            <w:r>
              <w:rPr>
                <w:rFonts w:ascii="宋体" w:hAnsi="宋体" w:eastAsia="宋体" w:cs="宋体"/>
                <w:sz w:val="24"/>
              </w:rPr>
              <w:t>。</w:t>
            </w:r>
            <w:r>
              <w:rPr>
                <w:rFonts w:hint="eastAsia" w:ascii="仿宋" w:hAnsi="仿宋" w:eastAsia="仿宋" w:cs="仿宋"/>
                <w:sz w:val="28"/>
                <w:szCs w:val="28"/>
              </w:rPr>
              <w:t>公司会通过技术研发、制造工艺、质量控制、营销服务和管理效率等方面不断努力，降本增效！</w:t>
            </w:r>
          </w:p>
          <w:p>
            <w:pPr>
              <w:rPr>
                <w:rFonts w:ascii="仿宋" w:hAnsi="仿宋" w:eastAsia="仿宋"/>
                <w:sz w:val="28"/>
                <w:szCs w:val="28"/>
              </w:rPr>
            </w:pPr>
            <w:r>
              <w:rPr>
                <w:rFonts w:hint="eastAsia" w:ascii="仿宋" w:hAnsi="仿宋" w:eastAsia="仿宋" w:cs="仿宋"/>
                <w:sz w:val="28"/>
                <w:szCs w:val="28"/>
                <w:lang w:val="en-US" w:eastAsia="zh-CN"/>
              </w:rPr>
              <w:t>1</w:t>
            </w:r>
            <w:r>
              <w:rPr>
                <w:rFonts w:hint="eastAsia" w:ascii="仿宋" w:hAnsi="仿宋" w:eastAsia="仿宋" w:cs="仿宋"/>
                <w:b/>
                <w:bCs/>
                <w:sz w:val="28"/>
                <w:szCs w:val="28"/>
                <w:lang w:val="en-US" w:eastAsia="zh-CN"/>
              </w:rPr>
              <w:t>3、</w:t>
            </w:r>
            <w:r>
              <w:rPr>
                <w:rFonts w:hint="eastAsia" w:ascii="仿宋" w:hAnsi="仿宋" w:eastAsia="仿宋" w:cs="仿宋"/>
                <w:b/>
                <w:bCs/>
                <w:sz w:val="28"/>
                <w:szCs w:val="28"/>
                <w:highlight w:val="none"/>
                <w:lang w:val="en-US" w:eastAsia="zh-CN"/>
              </w:rPr>
              <w:t>目前铜价的变动对公司的影响有多大？公司两大产业产品原料价格的传导周期？</w:t>
            </w:r>
          </w:p>
          <w:p>
            <w:pPr>
              <w:pStyle w:val="5"/>
              <w:ind w:firstLine="0" w:firstLineChars="0"/>
              <w:rPr>
                <w:rFonts w:hint="eastAsia" w:ascii="仿宋" w:hAnsi="仿宋" w:eastAsia="仿宋" w:cs="仿宋"/>
                <w:b/>
                <w:bCs/>
                <w:sz w:val="28"/>
                <w:szCs w:val="28"/>
              </w:rPr>
            </w:pPr>
            <w:r>
              <w:rPr>
                <w:rFonts w:hint="eastAsia" w:ascii="仿宋" w:hAnsi="仿宋" w:eastAsia="仿宋"/>
                <w:sz w:val="28"/>
                <w:szCs w:val="28"/>
              </w:rPr>
              <w:t>答：铜价上涨对公司的输配电在手订单有一定的影响，但对新增订单的影响有限，一般输配电传导周期3-6个月；取向硅钢基本是现款现货，成本能及时</w:t>
            </w:r>
            <w:r>
              <w:rPr>
                <w:rFonts w:hint="eastAsia" w:ascii="仿宋" w:hAnsi="仿宋" w:eastAsia="仿宋" w:cstheme="minorBidi"/>
                <w:b w:val="0"/>
                <w:bCs w:val="0"/>
                <w:sz w:val="28"/>
                <w:szCs w:val="28"/>
              </w:rPr>
              <w:t>传到，一般是一个月。</w:t>
            </w:r>
          </w:p>
          <w:p>
            <w:pPr>
              <w:pStyle w:val="6"/>
              <w:spacing w:after="0" w:line="240" w:lineRule="auto"/>
              <w:ind w:left="0" w:leftChars="0" w:firstLine="0" w:firstLineChars="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w:t>
            </w:r>
            <w:r>
              <w:rPr>
                <w:rFonts w:hint="eastAsia" w:ascii="仿宋" w:hAnsi="仿宋" w:eastAsia="仿宋" w:cs="仿宋"/>
                <w:b/>
                <w:bCs/>
                <w:kern w:val="2"/>
                <w:sz w:val="28"/>
                <w:szCs w:val="28"/>
                <w:lang w:val="en-US" w:eastAsia="zh-CN" w:bidi="ar-SA"/>
              </w:rPr>
              <w:t>4</w:t>
            </w:r>
            <w:r>
              <w:rPr>
                <w:rFonts w:hint="eastAsia" w:ascii="仿宋" w:hAnsi="仿宋" w:eastAsia="仿宋" w:cs="仿宋"/>
                <w:b/>
                <w:bCs/>
                <w:kern w:val="2"/>
                <w:sz w:val="28"/>
                <w:szCs w:val="28"/>
                <w:highlight w:val="none"/>
                <w:lang w:val="en-US" w:eastAsia="zh-CN" w:bidi="ar-SA"/>
              </w:rPr>
              <w:t>、公司的应收账款和存货增长幅度大于营收增长幅度，应如何应对？</w:t>
            </w:r>
          </w:p>
          <w:p>
            <w:pPr>
              <w:pStyle w:val="6"/>
              <w:spacing w:after="0" w:line="240" w:lineRule="auto"/>
              <w:ind w:left="0" w:leftChars="0" w:firstLine="0" w:firstLineChars="0"/>
              <w:rPr>
                <w:rFonts w:hint="eastAsia" w:ascii="仿宋" w:hAnsi="仿宋" w:eastAsia="仿宋"/>
                <w:sz w:val="28"/>
                <w:szCs w:val="28"/>
                <w:lang w:eastAsia="zh-CN"/>
              </w:rPr>
            </w:pPr>
            <w:r>
              <w:rPr>
                <w:rFonts w:hint="eastAsia" w:ascii="仿宋" w:hAnsi="仿宋" w:eastAsia="仿宋"/>
                <w:sz w:val="28"/>
                <w:szCs w:val="28"/>
              </w:rPr>
              <w:t>答：应收账款金额大周期长是输配电的行业特点，与同行业相比，我们周转速度算快的。针对库存的情况，公司将进一步优化排产计划，在保障合理库存的情况下，消化现有成品库存，提高库存周转率。</w:t>
            </w:r>
          </w:p>
          <w:p>
            <w:pPr>
              <w:pStyle w:val="6"/>
              <w:spacing w:after="0" w:line="240" w:lineRule="auto"/>
              <w:ind w:left="0" w:leftChars="0" w:firstLine="0" w:firstLineChars="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15、公司有息负债大幅度增加，相应增加了利息支出。另外公司的固定资产和在建工程大幅度增加，相应也会增加折旧成本。如后期公司的营收和利润无法大幅度增加，是否会面临利润大幅下滑的风险？</w:t>
            </w:r>
          </w:p>
          <w:p>
            <w:pPr>
              <w:pStyle w:val="5"/>
              <w:rPr>
                <w:rFonts w:ascii="仿宋" w:hAnsi="仿宋" w:eastAsia="仿宋" w:cs="仿宋"/>
                <w:b/>
                <w:bCs/>
                <w:sz w:val="28"/>
                <w:szCs w:val="28"/>
              </w:rPr>
            </w:pPr>
            <w:r>
              <w:rPr>
                <w:rFonts w:hint="eastAsia" w:ascii="仿宋" w:hAnsi="仿宋" w:eastAsia="仿宋"/>
                <w:sz w:val="28"/>
                <w:szCs w:val="28"/>
                <w:lang w:val="en-US" w:eastAsia="zh-CN"/>
              </w:rPr>
              <w:t>答：</w:t>
            </w:r>
            <w:r>
              <w:rPr>
                <w:rFonts w:hint="eastAsia" w:ascii="仿宋" w:hAnsi="仿宋" w:eastAsia="仿宋"/>
                <w:sz w:val="28"/>
                <w:szCs w:val="28"/>
              </w:rPr>
              <w:t>市场瞬息万变，我们</w:t>
            </w:r>
            <w:r>
              <w:rPr>
                <w:rFonts w:hint="eastAsia" w:ascii="仿宋" w:hAnsi="仿宋" w:eastAsia="仿宋"/>
                <w:sz w:val="28"/>
                <w:szCs w:val="28"/>
                <w:lang w:val="en-US" w:eastAsia="zh-CN"/>
              </w:rPr>
              <w:t>相信公司</w:t>
            </w:r>
            <w:r>
              <w:rPr>
                <w:rFonts w:hint="eastAsia" w:ascii="仿宋" w:hAnsi="仿宋" w:eastAsia="仿宋"/>
                <w:sz w:val="28"/>
                <w:szCs w:val="28"/>
              </w:rPr>
              <w:t>是</w:t>
            </w:r>
            <w:r>
              <w:rPr>
                <w:rFonts w:hint="eastAsia" w:ascii="仿宋" w:hAnsi="仿宋" w:eastAsia="仿宋"/>
                <w:sz w:val="28"/>
                <w:szCs w:val="28"/>
                <w:lang w:val="en-US" w:eastAsia="zh-CN"/>
              </w:rPr>
              <w:t>具备</w:t>
            </w:r>
            <w:r>
              <w:rPr>
                <w:rFonts w:hint="eastAsia" w:ascii="仿宋" w:hAnsi="仿宋" w:eastAsia="仿宋"/>
                <w:sz w:val="28"/>
                <w:szCs w:val="28"/>
              </w:rPr>
              <w:t>两个产业</w:t>
            </w:r>
            <w:r>
              <w:rPr>
                <w:rFonts w:hint="eastAsia" w:ascii="仿宋" w:hAnsi="仿宋" w:eastAsia="仿宋"/>
                <w:sz w:val="28"/>
                <w:szCs w:val="28"/>
                <w:lang w:val="en-US" w:eastAsia="zh-CN"/>
              </w:rPr>
              <w:t>一体化的优势</w:t>
            </w:r>
            <w:r>
              <w:rPr>
                <w:rFonts w:hint="eastAsia" w:ascii="仿宋" w:hAnsi="仿宋" w:eastAsia="仿宋"/>
                <w:sz w:val="28"/>
                <w:szCs w:val="28"/>
                <w:lang w:eastAsia="zh-CN"/>
              </w:rPr>
              <w:t>，</w:t>
            </w:r>
            <w:r>
              <w:rPr>
                <w:rFonts w:hint="eastAsia" w:ascii="仿宋" w:hAnsi="仿宋" w:eastAsia="仿宋"/>
                <w:sz w:val="28"/>
                <w:szCs w:val="28"/>
                <w:lang w:val="en-US" w:eastAsia="zh-CN"/>
              </w:rPr>
              <w:t>随着</w:t>
            </w:r>
            <w:r>
              <w:rPr>
                <w:rFonts w:hint="eastAsia" w:ascii="仿宋" w:hAnsi="仿宋" w:eastAsia="仿宋"/>
                <w:sz w:val="28"/>
                <w:szCs w:val="28"/>
              </w:rPr>
              <w:t>公司各在建项目的推进，公司产业链日趋完整，高磁感取向硅钢生产、低铁损高磁感硅钢铁心加工制造、500kV电力变压器生产资质</w:t>
            </w:r>
            <w:r>
              <w:rPr>
                <w:rFonts w:hint="eastAsia" w:ascii="仿宋" w:hAnsi="仿宋" w:eastAsia="仿宋"/>
                <w:sz w:val="28"/>
                <w:szCs w:val="28"/>
                <w:lang w:eastAsia="zh-CN"/>
              </w:rPr>
              <w:t>的</w:t>
            </w:r>
            <w:r>
              <w:rPr>
                <w:rFonts w:hint="eastAsia" w:ascii="仿宋" w:hAnsi="仿宋" w:eastAsia="仿宋"/>
                <w:sz w:val="28"/>
                <w:szCs w:val="28"/>
              </w:rPr>
              <w:t>取得等延链补链项目顺利实施，公司核心竞争力</w:t>
            </w:r>
            <w:r>
              <w:rPr>
                <w:rFonts w:hint="eastAsia" w:ascii="仿宋" w:hAnsi="仿宋" w:eastAsia="仿宋"/>
                <w:sz w:val="28"/>
                <w:szCs w:val="28"/>
                <w:lang w:val="en-US" w:eastAsia="zh-CN"/>
              </w:rPr>
              <w:t>进一步加强，</w:t>
            </w:r>
            <w:r>
              <w:rPr>
                <w:rFonts w:hint="eastAsia" w:ascii="仿宋" w:hAnsi="仿宋" w:eastAsia="仿宋"/>
                <w:sz w:val="28"/>
                <w:szCs w:val="28"/>
              </w:rPr>
              <w:t>所以我们能做的或者是能承诺的就是把公司应该做好的事情做好，其他的就是市场说了算。市场好的时候，我们抓住机会取得应有的业绩；市场不好的时候，我们守住我们的底线，苦练内功</w:t>
            </w:r>
            <w:r>
              <w:rPr>
                <w:rFonts w:hint="eastAsia" w:ascii="仿宋" w:hAnsi="仿宋" w:eastAsia="仿宋"/>
                <w:sz w:val="28"/>
                <w:szCs w:val="28"/>
                <w:lang w:eastAsia="zh-CN"/>
              </w:rPr>
              <w:t>，</w:t>
            </w:r>
            <w:r>
              <w:rPr>
                <w:rFonts w:hint="eastAsia" w:ascii="仿宋" w:hAnsi="仿宋" w:eastAsia="仿宋"/>
                <w:sz w:val="28"/>
                <w:szCs w:val="28"/>
                <w:lang w:val="en-US" w:eastAsia="zh-CN"/>
              </w:rPr>
              <w:t>时刻做好最充实的准备迎接市场的变化。</w:t>
            </w:r>
          </w:p>
          <w:p>
            <w:pPr>
              <w:pStyle w:val="5"/>
              <w:rPr>
                <w:rFonts w:hint="eastAsia" w:ascii="仿宋" w:hAnsi="仿宋" w:eastAsia="仿宋" w:cs="仿宋"/>
                <w:sz w:val="28"/>
                <w:szCs w:val="28"/>
                <w:lang w:eastAsia="zh-CN"/>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、近期公司股价表现较弱，公司是否有相关增持计划？</w:t>
            </w:r>
          </w:p>
          <w:p>
            <w:pPr>
              <w:pStyle w:val="5"/>
              <w:rPr>
                <w:rFonts w:ascii="仿宋" w:hAnsi="仿宋" w:eastAsia="仿宋" w:cs="仿宋"/>
                <w:sz w:val="28"/>
                <w:szCs w:val="28"/>
              </w:rPr>
            </w:pPr>
            <w:r>
              <w:rPr>
                <w:rFonts w:hint="eastAsia" w:ascii="仿宋" w:hAnsi="仿宋" w:eastAsia="仿宋" w:cs="仿宋"/>
                <w:sz w:val="28"/>
                <w:szCs w:val="28"/>
              </w:rPr>
              <w:t>答：2023年公司已经完成实际控制人增持公司股份计划及公司以集中竞价方式回购公司股份的计划。实控人是否有增持计划及公司是否有回购计划具体以公告为准！</w:t>
            </w:r>
          </w:p>
          <w:p>
            <w:pPr>
              <w:pStyle w:val="5"/>
              <w:rPr>
                <w:rFonts w:hint="eastAsia" w:ascii="仿宋" w:hAnsi="仿宋" w:eastAsia="仿宋" w:cs="仿宋"/>
                <w:sz w:val="28"/>
                <w:szCs w:val="28"/>
                <w:lang w:eastAsia="zh-CN"/>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、市场</w:t>
            </w:r>
            <w:r>
              <w:rPr>
                <w:rFonts w:ascii="仿宋" w:hAnsi="仿宋" w:eastAsia="仿宋" w:cs="仿宋"/>
                <w:b/>
                <w:bCs/>
                <w:sz w:val="28"/>
                <w:szCs w:val="28"/>
              </w:rPr>
              <w:t>主网输配电景气度高，云变电气</w:t>
            </w:r>
            <w:r>
              <w:rPr>
                <w:rFonts w:hint="eastAsia" w:ascii="仿宋" w:hAnsi="仿宋" w:eastAsia="仿宋" w:cs="仿宋"/>
                <w:b/>
                <w:bCs/>
                <w:sz w:val="28"/>
                <w:szCs w:val="28"/>
              </w:rPr>
              <w:t>在手</w:t>
            </w:r>
            <w:r>
              <w:rPr>
                <w:rFonts w:ascii="仿宋" w:hAnsi="仿宋" w:eastAsia="仿宋" w:cs="仿宋"/>
                <w:b/>
                <w:bCs/>
                <w:sz w:val="28"/>
                <w:szCs w:val="28"/>
              </w:rPr>
              <w:t>有500KV订单？</w:t>
            </w:r>
          </w:p>
          <w:p>
            <w:pPr>
              <w:pStyle w:val="5"/>
              <w:rPr>
                <w:rFonts w:ascii="仿宋" w:hAnsi="仿宋" w:eastAsia="仿宋" w:cs="仿宋"/>
                <w:sz w:val="28"/>
                <w:szCs w:val="28"/>
              </w:rPr>
            </w:pPr>
            <w:r>
              <w:rPr>
                <w:rFonts w:hint="eastAsia" w:ascii="仿宋" w:hAnsi="仿宋" w:eastAsia="仿宋" w:cs="仿宋"/>
                <w:sz w:val="28"/>
                <w:szCs w:val="28"/>
              </w:rPr>
              <w:t>答：云变电气具备生产500KV变压器资质和能力，截止目前，在手订单未涉及500KV订单。公司会不断开拓市场，积极获取订单。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tcPr>
          <w:p>
            <w:pPr>
              <w:jc w:val="center"/>
              <w:rPr>
                <w:b/>
                <w:bCs/>
                <w:sz w:val="24"/>
                <w:szCs w:val="32"/>
              </w:rPr>
            </w:pPr>
            <w:r>
              <w:rPr>
                <w:rFonts w:hint="eastAsia" w:ascii="仿宋" w:hAnsi="仿宋" w:eastAsia="仿宋" w:cs="仿宋"/>
                <w:b/>
                <w:bCs/>
                <w:spacing w:val="-2"/>
                <w:sz w:val="28"/>
                <w:szCs w:val="28"/>
              </w:rPr>
              <w:t xml:space="preserve"> 附件清单 (如有)</w:t>
            </w:r>
          </w:p>
        </w:tc>
        <w:tc>
          <w:tcPr>
            <w:tcW w:w="6186"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tcPr>
          <w:p>
            <w:pPr>
              <w:ind w:firstLine="277" w:firstLineChars="100"/>
              <w:jc w:val="left"/>
              <w:rPr>
                <w:rFonts w:ascii="仿宋" w:hAnsi="仿宋" w:eastAsia="仿宋" w:cs="仿宋"/>
                <w:b/>
                <w:bCs/>
                <w:spacing w:val="-2"/>
                <w:sz w:val="28"/>
                <w:szCs w:val="28"/>
              </w:rPr>
            </w:pPr>
            <w:r>
              <w:rPr>
                <w:rFonts w:hint="eastAsia" w:ascii="仿宋" w:hAnsi="仿宋" w:eastAsia="仿宋" w:cs="仿宋"/>
                <w:b/>
                <w:bCs/>
                <w:spacing w:val="-2"/>
                <w:sz w:val="28"/>
                <w:szCs w:val="28"/>
              </w:rPr>
              <w:t>相关提示</w:t>
            </w:r>
          </w:p>
        </w:tc>
        <w:tc>
          <w:tcPr>
            <w:tcW w:w="6186" w:type="dxa"/>
            <w:gridSpan w:val="2"/>
          </w:tcPr>
          <w:p>
            <w:pPr>
              <w:widowControl/>
              <w:jc w:val="left"/>
            </w:pPr>
            <w:r>
              <w:rPr>
                <w:rFonts w:hint="eastAsia" w:ascii="仿宋" w:hAnsi="仿宋" w:eastAsia="仿宋" w:cs="仿宋"/>
                <w:sz w:val="28"/>
                <w:szCs w:val="28"/>
              </w:rPr>
              <w:t>调研内容均不涉及公司内幕信息及相关</w:t>
            </w:r>
            <w:r>
              <w:rPr>
                <w:rFonts w:hint="eastAsia" w:ascii="仿宋" w:hAnsi="仿宋" w:eastAsia="仿宋" w:cs="仿宋"/>
                <w:sz w:val="28"/>
                <w:szCs w:val="28"/>
                <w:lang w:val="en-US" w:eastAsia="zh-CN"/>
              </w:rPr>
              <w:t>未披露的</w:t>
            </w:r>
            <w:r>
              <w:rPr>
                <w:rFonts w:hint="eastAsia" w:ascii="仿宋" w:hAnsi="仿宋" w:eastAsia="仿宋" w:cs="仿宋"/>
                <w:sz w:val="28"/>
                <w:szCs w:val="28"/>
              </w:rPr>
              <w:t>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72A27"/>
    <w:rsid w:val="00174AF0"/>
    <w:rsid w:val="00194169"/>
    <w:rsid w:val="001B4E56"/>
    <w:rsid w:val="001D35C7"/>
    <w:rsid w:val="001D4EFA"/>
    <w:rsid w:val="002005EA"/>
    <w:rsid w:val="00254BBC"/>
    <w:rsid w:val="002655E7"/>
    <w:rsid w:val="0027620F"/>
    <w:rsid w:val="002A5024"/>
    <w:rsid w:val="0031124A"/>
    <w:rsid w:val="003368B2"/>
    <w:rsid w:val="00336BA3"/>
    <w:rsid w:val="003534BF"/>
    <w:rsid w:val="003A73B3"/>
    <w:rsid w:val="003B1706"/>
    <w:rsid w:val="003D1413"/>
    <w:rsid w:val="003E5AA6"/>
    <w:rsid w:val="00403D34"/>
    <w:rsid w:val="00414BB4"/>
    <w:rsid w:val="00456294"/>
    <w:rsid w:val="004B0A7B"/>
    <w:rsid w:val="004E5ABD"/>
    <w:rsid w:val="004F5749"/>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8017F"/>
    <w:rsid w:val="008818C9"/>
    <w:rsid w:val="008A00DB"/>
    <w:rsid w:val="008A69FD"/>
    <w:rsid w:val="008C10A9"/>
    <w:rsid w:val="008C4853"/>
    <w:rsid w:val="008C60AF"/>
    <w:rsid w:val="00921781"/>
    <w:rsid w:val="00935E4B"/>
    <w:rsid w:val="00976954"/>
    <w:rsid w:val="009A6D94"/>
    <w:rsid w:val="009C378D"/>
    <w:rsid w:val="009F6404"/>
    <w:rsid w:val="00A15A23"/>
    <w:rsid w:val="00A1748C"/>
    <w:rsid w:val="00A40B7A"/>
    <w:rsid w:val="00A5380F"/>
    <w:rsid w:val="00A72B6A"/>
    <w:rsid w:val="00A74073"/>
    <w:rsid w:val="00A90D34"/>
    <w:rsid w:val="00A96CC9"/>
    <w:rsid w:val="00AB456F"/>
    <w:rsid w:val="00B010DC"/>
    <w:rsid w:val="00B27AB7"/>
    <w:rsid w:val="00B4710E"/>
    <w:rsid w:val="00B96C36"/>
    <w:rsid w:val="00BA5812"/>
    <w:rsid w:val="00BB67A9"/>
    <w:rsid w:val="00BF274D"/>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F4099"/>
    <w:rsid w:val="01284E1B"/>
    <w:rsid w:val="013E75F8"/>
    <w:rsid w:val="020060F9"/>
    <w:rsid w:val="02134CB8"/>
    <w:rsid w:val="02E96BCD"/>
    <w:rsid w:val="02F32E0C"/>
    <w:rsid w:val="03237D85"/>
    <w:rsid w:val="03986CEB"/>
    <w:rsid w:val="03BE368D"/>
    <w:rsid w:val="03C74BB5"/>
    <w:rsid w:val="042B21AE"/>
    <w:rsid w:val="04574920"/>
    <w:rsid w:val="04F16AB7"/>
    <w:rsid w:val="051B0D6D"/>
    <w:rsid w:val="0536650D"/>
    <w:rsid w:val="069468A4"/>
    <w:rsid w:val="07293D6D"/>
    <w:rsid w:val="079239C5"/>
    <w:rsid w:val="079C3C62"/>
    <w:rsid w:val="07B94BDA"/>
    <w:rsid w:val="07C54B4B"/>
    <w:rsid w:val="07D102E3"/>
    <w:rsid w:val="07FF4FEA"/>
    <w:rsid w:val="08086333"/>
    <w:rsid w:val="083F6263"/>
    <w:rsid w:val="08406CE4"/>
    <w:rsid w:val="086053D6"/>
    <w:rsid w:val="08A95EF6"/>
    <w:rsid w:val="08B13535"/>
    <w:rsid w:val="08BD0334"/>
    <w:rsid w:val="09873FB3"/>
    <w:rsid w:val="09C676BC"/>
    <w:rsid w:val="0A2911E1"/>
    <w:rsid w:val="0AA52A4B"/>
    <w:rsid w:val="0B416CC0"/>
    <w:rsid w:val="0B482792"/>
    <w:rsid w:val="0B7C0033"/>
    <w:rsid w:val="0B8B40BA"/>
    <w:rsid w:val="0B9A2D2D"/>
    <w:rsid w:val="0C27489D"/>
    <w:rsid w:val="0CA2437E"/>
    <w:rsid w:val="0CC65D86"/>
    <w:rsid w:val="0CE813E4"/>
    <w:rsid w:val="0D1B1ACD"/>
    <w:rsid w:val="0D244E26"/>
    <w:rsid w:val="0D5355B7"/>
    <w:rsid w:val="0D553692"/>
    <w:rsid w:val="0D613090"/>
    <w:rsid w:val="0D9123B3"/>
    <w:rsid w:val="0D984241"/>
    <w:rsid w:val="0DA66F51"/>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A739D5"/>
    <w:rsid w:val="10BB519D"/>
    <w:rsid w:val="10C10D6E"/>
    <w:rsid w:val="110A7E8F"/>
    <w:rsid w:val="1114107F"/>
    <w:rsid w:val="11710A28"/>
    <w:rsid w:val="11BB1862"/>
    <w:rsid w:val="120224E3"/>
    <w:rsid w:val="1221208B"/>
    <w:rsid w:val="122F22A3"/>
    <w:rsid w:val="127C6B6A"/>
    <w:rsid w:val="13566077"/>
    <w:rsid w:val="136046DE"/>
    <w:rsid w:val="13E23345"/>
    <w:rsid w:val="13FE2086"/>
    <w:rsid w:val="14A800EA"/>
    <w:rsid w:val="15CB6F31"/>
    <w:rsid w:val="16302145"/>
    <w:rsid w:val="16791831"/>
    <w:rsid w:val="17443F1A"/>
    <w:rsid w:val="174B04D5"/>
    <w:rsid w:val="1763586C"/>
    <w:rsid w:val="1771193C"/>
    <w:rsid w:val="17887D5F"/>
    <w:rsid w:val="18057602"/>
    <w:rsid w:val="18756BA8"/>
    <w:rsid w:val="189A2BFA"/>
    <w:rsid w:val="18D41224"/>
    <w:rsid w:val="18EA4FC5"/>
    <w:rsid w:val="18F97D87"/>
    <w:rsid w:val="19252D8F"/>
    <w:rsid w:val="193B413F"/>
    <w:rsid w:val="1A4D521D"/>
    <w:rsid w:val="1A506DCE"/>
    <w:rsid w:val="1B0D155D"/>
    <w:rsid w:val="1B3D709A"/>
    <w:rsid w:val="1BB71CD0"/>
    <w:rsid w:val="1BE2740F"/>
    <w:rsid w:val="1C0A2C53"/>
    <w:rsid w:val="1C164930"/>
    <w:rsid w:val="1C385050"/>
    <w:rsid w:val="1C3927D6"/>
    <w:rsid w:val="1CA05B4B"/>
    <w:rsid w:val="1D100F23"/>
    <w:rsid w:val="1D232A04"/>
    <w:rsid w:val="1D4B6CB9"/>
    <w:rsid w:val="1DBD4D7F"/>
    <w:rsid w:val="1E102EF7"/>
    <w:rsid w:val="1E5953A7"/>
    <w:rsid w:val="1E7E4D14"/>
    <w:rsid w:val="1EBC5191"/>
    <w:rsid w:val="1F1F369F"/>
    <w:rsid w:val="1F690F58"/>
    <w:rsid w:val="20382140"/>
    <w:rsid w:val="20452672"/>
    <w:rsid w:val="20653548"/>
    <w:rsid w:val="207842BC"/>
    <w:rsid w:val="20A35799"/>
    <w:rsid w:val="20A8063A"/>
    <w:rsid w:val="21135143"/>
    <w:rsid w:val="21245CDD"/>
    <w:rsid w:val="213B6D8D"/>
    <w:rsid w:val="216E7866"/>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D05488"/>
    <w:rsid w:val="251807D0"/>
    <w:rsid w:val="253D070B"/>
    <w:rsid w:val="255363D8"/>
    <w:rsid w:val="259B1AA7"/>
    <w:rsid w:val="259B44F8"/>
    <w:rsid w:val="259E5319"/>
    <w:rsid w:val="276A122F"/>
    <w:rsid w:val="27D259A3"/>
    <w:rsid w:val="27E9286C"/>
    <w:rsid w:val="289E62C6"/>
    <w:rsid w:val="28BB5582"/>
    <w:rsid w:val="28D61962"/>
    <w:rsid w:val="2A3B763C"/>
    <w:rsid w:val="2A99107E"/>
    <w:rsid w:val="2AA1140C"/>
    <w:rsid w:val="2ACB2C0E"/>
    <w:rsid w:val="2AE11247"/>
    <w:rsid w:val="2AE4326A"/>
    <w:rsid w:val="2B74156D"/>
    <w:rsid w:val="2BB459BA"/>
    <w:rsid w:val="2C0E531F"/>
    <w:rsid w:val="2C4E7372"/>
    <w:rsid w:val="2CEF2903"/>
    <w:rsid w:val="2CF63EA5"/>
    <w:rsid w:val="2D412918"/>
    <w:rsid w:val="2D61440C"/>
    <w:rsid w:val="2D6F0515"/>
    <w:rsid w:val="2DE80973"/>
    <w:rsid w:val="2DE92F75"/>
    <w:rsid w:val="2DEF266F"/>
    <w:rsid w:val="2E0E4369"/>
    <w:rsid w:val="2E617528"/>
    <w:rsid w:val="2E805365"/>
    <w:rsid w:val="2E913E63"/>
    <w:rsid w:val="2EC01514"/>
    <w:rsid w:val="2F302D5E"/>
    <w:rsid w:val="2F623869"/>
    <w:rsid w:val="2F857D67"/>
    <w:rsid w:val="2FE2647C"/>
    <w:rsid w:val="30385986"/>
    <w:rsid w:val="30BE5A67"/>
    <w:rsid w:val="3115045E"/>
    <w:rsid w:val="31200E47"/>
    <w:rsid w:val="314B2DA7"/>
    <w:rsid w:val="31B77767"/>
    <w:rsid w:val="31CB61DD"/>
    <w:rsid w:val="31D86852"/>
    <w:rsid w:val="322375EB"/>
    <w:rsid w:val="325A1988"/>
    <w:rsid w:val="32843012"/>
    <w:rsid w:val="32AA07AD"/>
    <w:rsid w:val="32AB26B5"/>
    <w:rsid w:val="32D63C1D"/>
    <w:rsid w:val="32F347CF"/>
    <w:rsid w:val="33015C82"/>
    <w:rsid w:val="337D071D"/>
    <w:rsid w:val="337D72C7"/>
    <w:rsid w:val="33F97BC3"/>
    <w:rsid w:val="342D2050"/>
    <w:rsid w:val="349B1368"/>
    <w:rsid w:val="34A05977"/>
    <w:rsid w:val="350543B6"/>
    <w:rsid w:val="354107BC"/>
    <w:rsid w:val="35501E23"/>
    <w:rsid w:val="35672E55"/>
    <w:rsid w:val="35934A0F"/>
    <w:rsid w:val="35AD18B2"/>
    <w:rsid w:val="35D07322"/>
    <w:rsid w:val="36071C0F"/>
    <w:rsid w:val="361A78AC"/>
    <w:rsid w:val="36366780"/>
    <w:rsid w:val="36A52284"/>
    <w:rsid w:val="370E17C2"/>
    <w:rsid w:val="372806CC"/>
    <w:rsid w:val="376D444E"/>
    <w:rsid w:val="37751BCC"/>
    <w:rsid w:val="37B620E2"/>
    <w:rsid w:val="37FA6FA7"/>
    <w:rsid w:val="380E7807"/>
    <w:rsid w:val="38336ACB"/>
    <w:rsid w:val="385C3FDB"/>
    <w:rsid w:val="388F0AF6"/>
    <w:rsid w:val="38AE38A9"/>
    <w:rsid w:val="38AF62FB"/>
    <w:rsid w:val="38BC1488"/>
    <w:rsid w:val="39333B77"/>
    <w:rsid w:val="398E0301"/>
    <w:rsid w:val="3A4C28FB"/>
    <w:rsid w:val="3A7B6A9F"/>
    <w:rsid w:val="3AA30888"/>
    <w:rsid w:val="3B331C0C"/>
    <w:rsid w:val="3B653F56"/>
    <w:rsid w:val="3B9A1C8B"/>
    <w:rsid w:val="3C487939"/>
    <w:rsid w:val="3CA04076"/>
    <w:rsid w:val="3CF63A53"/>
    <w:rsid w:val="3DE9412E"/>
    <w:rsid w:val="3DF169B0"/>
    <w:rsid w:val="3DFD2205"/>
    <w:rsid w:val="3E170F3B"/>
    <w:rsid w:val="3E1D6BA4"/>
    <w:rsid w:val="3EAE2E24"/>
    <w:rsid w:val="3EB27BA5"/>
    <w:rsid w:val="3F141D55"/>
    <w:rsid w:val="3F6708E2"/>
    <w:rsid w:val="3FA253C9"/>
    <w:rsid w:val="40403448"/>
    <w:rsid w:val="41105DF3"/>
    <w:rsid w:val="411E4B7E"/>
    <w:rsid w:val="41486274"/>
    <w:rsid w:val="41D62EBD"/>
    <w:rsid w:val="4272634B"/>
    <w:rsid w:val="42E42BC9"/>
    <w:rsid w:val="438049FB"/>
    <w:rsid w:val="438F11EC"/>
    <w:rsid w:val="43C628AC"/>
    <w:rsid w:val="43EE4CC7"/>
    <w:rsid w:val="44A1445C"/>
    <w:rsid w:val="44B65017"/>
    <w:rsid w:val="44CA3141"/>
    <w:rsid w:val="44DE5295"/>
    <w:rsid w:val="450F48DF"/>
    <w:rsid w:val="456D3C36"/>
    <w:rsid w:val="457101E2"/>
    <w:rsid w:val="458B74A6"/>
    <w:rsid w:val="45ED7D4D"/>
    <w:rsid w:val="462705C0"/>
    <w:rsid w:val="46393B5F"/>
    <w:rsid w:val="46655F66"/>
    <w:rsid w:val="46DB13AA"/>
    <w:rsid w:val="477F3EB0"/>
    <w:rsid w:val="47D013F3"/>
    <w:rsid w:val="47D33A8B"/>
    <w:rsid w:val="47DE6C76"/>
    <w:rsid w:val="488E4926"/>
    <w:rsid w:val="4929619B"/>
    <w:rsid w:val="492D57AE"/>
    <w:rsid w:val="492E4EFC"/>
    <w:rsid w:val="49BB3561"/>
    <w:rsid w:val="49C600F0"/>
    <w:rsid w:val="4A0E0038"/>
    <w:rsid w:val="4A6F2AC4"/>
    <w:rsid w:val="4AEB6431"/>
    <w:rsid w:val="4B021694"/>
    <w:rsid w:val="4B1D4687"/>
    <w:rsid w:val="4BB96A04"/>
    <w:rsid w:val="4BC41C91"/>
    <w:rsid w:val="4C3C26CF"/>
    <w:rsid w:val="4C4A7997"/>
    <w:rsid w:val="4C4F2E23"/>
    <w:rsid w:val="4D072F6F"/>
    <w:rsid w:val="4D4001B9"/>
    <w:rsid w:val="4D8D73BE"/>
    <w:rsid w:val="4DA11701"/>
    <w:rsid w:val="4DA51E86"/>
    <w:rsid w:val="4DAC62CE"/>
    <w:rsid w:val="4DD40B5B"/>
    <w:rsid w:val="4E5715CC"/>
    <w:rsid w:val="4EE96D5A"/>
    <w:rsid w:val="50A21DBF"/>
    <w:rsid w:val="5154665E"/>
    <w:rsid w:val="515A6091"/>
    <w:rsid w:val="51B57115"/>
    <w:rsid w:val="51E14A36"/>
    <w:rsid w:val="52126329"/>
    <w:rsid w:val="521640C9"/>
    <w:rsid w:val="52470583"/>
    <w:rsid w:val="52E602D1"/>
    <w:rsid w:val="533453A9"/>
    <w:rsid w:val="539A209A"/>
    <w:rsid w:val="53B3096B"/>
    <w:rsid w:val="53D505E2"/>
    <w:rsid w:val="53EE6EF4"/>
    <w:rsid w:val="5432079C"/>
    <w:rsid w:val="54777864"/>
    <w:rsid w:val="548F745F"/>
    <w:rsid w:val="54B17FBE"/>
    <w:rsid w:val="54B87904"/>
    <w:rsid w:val="55772575"/>
    <w:rsid w:val="557D4CE3"/>
    <w:rsid w:val="55985C34"/>
    <w:rsid w:val="55D21A3E"/>
    <w:rsid w:val="571A1A7B"/>
    <w:rsid w:val="574D22F3"/>
    <w:rsid w:val="57723FD4"/>
    <w:rsid w:val="57B57EBE"/>
    <w:rsid w:val="57BB500C"/>
    <w:rsid w:val="57D66975"/>
    <w:rsid w:val="57DC2701"/>
    <w:rsid w:val="58134E48"/>
    <w:rsid w:val="58A843C6"/>
    <w:rsid w:val="592301E1"/>
    <w:rsid w:val="59554E3B"/>
    <w:rsid w:val="597C4D04"/>
    <w:rsid w:val="59A10231"/>
    <w:rsid w:val="5A1E7263"/>
    <w:rsid w:val="5A4F7C8D"/>
    <w:rsid w:val="5A561049"/>
    <w:rsid w:val="5A7F55EC"/>
    <w:rsid w:val="5ADD3AB9"/>
    <w:rsid w:val="5B1C014C"/>
    <w:rsid w:val="5B673C31"/>
    <w:rsid w:val="5B765CFE"/>
    <w:rsid w:val="5C2D2CA7"/>
    <w:rsid w:val="5CA87D85"/>
    <w:rsid w:val="5CCC76A3"/>
    <w:rsid w:val="5CDD1CAA"/>
    <w:rsid w:val="5CFF1C77"/>
    <w:rsid w:val="5D156F6C"/>
    <w:rsid w:val="5D2A4E86"/>
    <w:rsid w:val="5D2C2FFF"/>
    <w:rsid w:val="5D5C2BD8"/>
    <w:rsid w:val="5E1E4AD4"/>
    <w:rsid w:val="5E467271"/>
    <w:rsid w:val="5E745CD6"/>
    <w:rsid w:val="5E754F3D"/>
    <w:rsid w:val="5EA17BBA"/>
    <w:rsid w:val="5EC30CE3"/>
    <w:rsid w:val="5EFE4B3A"/>
    <w:rsid w:val="5F237F75"/>
    <w:rsid w:val="5F9D130A"/>
    <w:rsid w:val="5FF55C85"/>
    <w:rsid w:val="603E5D79"/>
    <w:rsid w:val="606C06C2"/>
    <w:rsid w:val="60F5274C"/>
    <w:rsid w:val="614D033F"/>
    <w:rsid w:val="622938BA"/>
    <w:rsid w:val="622946BC"/>
    <w:rsid w:val="624928CA"/>
    <w:rsid w:val="629D2A1F"/>
    <w:rsid w:val="62FD6687"/>
    <w:rsid w:val="63076D99"/>
    <w:rsid w:val="63860BC4"/>
    <w:rsid w:val="63A64A02"/>
    <w:rsid w:val="63A92E44"/>
    <w:rsid w:val="63CA23DA"/>
    <w:rsid w:val="643636A3"/>
    <w:rsid w:val="64587300"/>
    <w:rsid w:val="64757877"/>
    <w:rsid w:val="648512ED"/>
    <w:rsid w:val="65D442A0"/>
    <w:rsid w:val="65FF3F09"/>
    <w:rsid w:val="660D737A"/>
    <w:rsid w:val="66EC0AF7"/>
    <w:rsid w:val="67873875"/>
    <w:rsid w:val="68353326"/>
    <w:rsid w:val="687E75D9"/>
    <w:rsid w:val="68D53F0D"/>
    <w:rsid w:val="68DA4C11"/>
    <w:rsid w:val="68E90A30"/>
    <w:rsid w:val="69232A11"/>
    <w:rsid w:val="69304D10"/>
    <w:rsid w:val="69855FE9"/>
    <w:rsid w:val="69877951"/>
    <w:rsid w:val="69F83958"/>
    <w:rsid w:val="6A1A08A5"/>
    <w:rsid w:val="6A2626FA"/>
    <w:rsid w:val="6A462E5B"/>
    <w:rsid w:val="6A870E0F"/>
    <w:rsid w:val="6AAC573D"/>
    <w:rsid w:val="6AAE3893"/>
    <w:rsid w:val="6AF77660"/>
    <w:rsid w:val="6B51584D"/>
    <w:rsid w:val="6B832956"/>
    <w:rsid w:val="6B8754D9"/>
    <w:rsid w:val="6C0F7FD7"/>
    <w:rsid w:val="6C242858"/>
    <w:rsid w:val="6C5E0429"/>
    <w:rsid w:val="6C8E1655"/>
    <w:rsid w:val="6C90660F"/>
    <w:rsid w:val="6CCB19FA"/>
    <w:rsid w:val="6CF773AB"/>
    <w:rsid w:val="6DCF6E1E"/>
    <w:rsid w:val="6E950837"/>
    <w:rsid w:val="6F2F2727"/>
    <w:rsid w:val="6F6A3147"/>
    <w:rsid w:val="6F83464F"/>
    <w:rsid w:val="6FE52CEE"/>
    <w:rsid w:val="703B4EA9"/>
    <w:rsid w:val="70C920F0"/>
    <w:rsid w:val="70E51CD3"/>
    <w:rsid w:val="71655E64"/>
    <w:rsid w:val="71B457F4"/>
    <w:rsid w:val="71CA4040"/>
    <w:rsid w:val="72EA55A2"/>
    <w:rsid w:val="72F55AC2"/>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70370DE"/>
    <w:rsid w:val="771E1BA7"/>
    <w:rsid w:val="7744501C"/>
    <w:rsid w:val="776C4A2B"/>
    <w:rsid w:val="77752FD1"/>
    <w:rsid w:val="77C31E96"/>
    <w:rsid w:val="78273E7E"/>
    <w:rsid w:val="78793C5B"/>
    <w:rsid w:val="78CC2A74"/>
    <w:rsid w:val="790330FE"/>
    <w:rsid w:val="796C5D0E"/>
    <w:rsid w:val="79715375"/>
    <w:rsid w:val="799F35DD"/>
    <w:rsid w:val="79A25B8B"/>
    <w:rsid w:val="7A401BAE"/>
    <w:rsid w:val="7A7A220B"/>
    <w:rsid w:val="7BFA1CF7"/>
    <w:rsid w:val="7C38637B"/>
    <w:rsid w:val="7CD460A4"/>
    <w:rsid w:val="7CE1144E"/>
    <w:rsid w:val="7CF36E72"/>
    <w:rsid w:val="7D7D2D75"/>
    <w:rsid w:val="7D935417"/>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3870</Words>
  <Characters>4053</Characters>
  <Lines>15</Lines>
  <Paragraphs>4</Paragraphs>
  <TotalTime>11</TotalTime>
  <ScaleCrop>false</ScaleCrop>
  <LinksUpToDate>false</LinksUpToDate>
  <CharactersWithSpaces>4144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2024-09-14T08:24:12Z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C30235D7936F463DBCA35BD284270F16_13</vt:lpwstr>
  </property>
</Properties>
</file>