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宋体" w:hAnsi="宋体" w:eastAsia="宋体" w:cs="宋体"/>
          <w:b/>
          <w:bCs/>
          <w:sz w:val="20"/>
          <w:szCs w:val="20"/>
          <w:lang w:val="en-US"/>
        </w:rPr>
      </w:pPr>
      <w:r>
        <w:rPr>
          <w:rFonts w:hint="eastAsia" w:ascii="宋体" w:hAnsi="宋体" w:eastAsia="宋体" w:cs="宋体"/>
          <w:b/>
          <w:bCs/>
          <w:sz w:val="20"/>
          <w:szCs w:val="20"/>
          <w:lang w:val="en-US"/>
        </w:rPr>
        <w:t>证券代码：</w:t>
      </w:r>
      <w:r>
        <w:rPr>
          <w:rFonts w:ascii="宋体" w:hAnsi="宋体" w:eastAsia="宋体" w:cs="宋体"/>
          <w:b/>
          <w:bCs/>
          <w:sz w:val="20"/>
          <w:szCs w:val="20"/>
          <w:lang w:val="en-US"/>
        </w:rPr>
        <w:t xml:space="preserve">600284   </w:t>
      </w:r>
      <w:r>
        <w:rPr>
          <w:rFonts w:ascii="宋体" w:hAnsi="宋体" w:eastAsia="宋体" w:cs="宋体"/>
          <w:b/>
          <w:bCs/>
          <w:sz w:val="21"/>
          <w:szCs w:val="21"/>
          <w:lang w:val="en-US"/>
        </w:rPr>
        <w:t xml:space="preserve">                            </w:t>
      </w:r>
      <w:r>
        <w:rPr>
          <w:rFonts w:hint="eastAsia" w:ascii="宋体" w:hAnsi="宋体" w:eastAsia="宋体" w:cs="宋体"/>
          <w:b/>
          <w:bCs/>
          <w:sz w:val="21"/>
          <w:szCs w:val="21"/>
          <w:lang w:val="en-US"/>
        </w:rPr>
        <w:t xml:space="preserve">     </w:t>
      </w:r>
      <w:r>
        <w:rPr>
          <w:rFonts w:ascii="宋体" w:hAnsi="宋体" w:eastAsia="宋体" w:cs="宋体"/>
          <w:b/>
          <w:bCs/>
          <w:sz w:val="21"/>
          <w:szCs w:val="21"/>
          <w:lang w:val="en-US"/>
        </w:rPr>
        <w:t xml:space="preserve">          </w:t>
      </w:r>
      <w:r>
        <w:rPr>
          <w:rFonts w:hint="eastAsia" w:ascii="宋体" w:hAnsi="宋体" w:eastAsia="宋体" w:cs="宋体"/>
          <w:b/>
          <w:bCs/>
          <w:sz w:val="20"/>
          <w:szCs w:val="20"/>
          <w:lang w:val="en-US"/>
        </w:rPr>
        <w:t>证券简称：浦东建设</w:t>
      </w:r>
    </w:p>
    <w:p>
      <w:pPr>
        <w:ind w:firstLine="440"/>
        <w:rPr>
          <w:lang w:val="en-US"/>
        </w:rPr>
      </w:pPr>
    </w:p>
    <w:p>
      <w:pPr>
        <w:jc w:val="center"/>
        <w:rPr>
          <w:rFonts w:ascii="宋体" w:hAnsi="宋体" w:eastAsia="宋体" w:cs="宋体"/>
          <w:b/>
          <w:bCs/>
          <w:sz w:val="44"/>
          <w:szCs w:val="44"/>
        </w:rPr>
      </w:pPr>
      <w:r>
        <w:rPr>
          <w:rFonts w:hint="eastAsia" w:ascii="宋体" w:hAnsi="宋体" w:eastAsia="宋体" w:cs="宋体"/>
          <w:b/>
          <w:bCs/>
          <w:sz w:val="44"/>
          <w:szCs w:val="44"/>
        </w:rPr>
        <w:t>上海浦东建设股份有限公司</w:t>
      </w:r>
    </w:p>
    <w:p>
      <w:pPr>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jc w:val="right"/>
        <w:rPr>
          <w:rFonts w:hint="eastAsia"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w:t>
      </w:r>
      <w:r>
        <w:rPr>
          <w:rFonts w:ascii="宋体" w:hAnsi="宋体" w:eastAsia="宋体" w:cs="宋体"/>
          <w:sz w:val="20"/>
          <w:szCs w:val="20"/>
        </w:rPr>
        <w:t>00</w:t>
      </w:r>
      <w:r>
        <w:rPr>
          <w:rFonts w:hint="eastAsia" w:ascii="宋体" w:hAnsi="宋体" w:eastAsia="宋体" w:cs="宋体"/>
          <w:sz w:val="20"/>
          <w:szCs w:val="20"/>
          <w:lang w:val="en-US" w:eastAsia="zh-CN"/>
        </w:rPr>
        <w:t>2</w:t>
      </w:r>
    </w:p>
    <w:tbl>
      <w:tblPr>
        <w:tblStyle w:val="9"/>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11"/>
        <w:gridCol w:w="6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791"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656" w:type="dxa"/>
          </w:tcPr>
          <w:p>
            <w:pPr>
              <w:pStyle w:val="12"/>
              <w:tabs>
                <w:tab w:val="left" w:pos="2418"/>
              </w:tabs>
              <w:spacing w:before="1" w:line="360" w:lineRule="auto"/>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tabs>
                <w:tab w:val="left" w:pos="2418"/>
              </w:tabs>
              <w:spacing w:line="360" w:lineRule="auto"/>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ascii="Wingdings 2" w:hAnsi="Wingdings 2"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tabs>
                <w:tab w:val="left" w:pos="2418"/>
              </w:tabs>
              <w:spacing w:line="360" w:lineRule="auto"/>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line="360" w:lineRule="auto"/>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line="360" w:lineRule="auto"/>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84" w:hRule="atLeast"/>
          <w:jc w:val="center"/>
        </w:trPr>
        <w:tc>
          <w:tcPr>
            <w:tcW w:w="2411" w:type="dxa"/>
            <w:vAlign w:val="center"/>
          </w:tcPr>
          <w:p>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656" w:type="dxa"/>
            <w:vAlign w:val="center"/>
          </w:tcPr>
          <w:p>
            <w:pPr>
              <w:pStyle w:val="12"/>
              <w:spacing w:before="100" w:beforeAutospacing="1"/>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投资者网上提问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656" w:type="dxa"/>
            <w:vAlign w:val="center"/>
          </w:tcPr>
          <w:p>
            <w:pPr>
              <w:spacing w:before="100" w:beforeAutospacing="1"/>
              <w:rPr>
                <w:sz w:val="20"/>
                <w:szCs w:val="20"/>
              </w:rPr>
            </w:pPr>
            <w:r>
              <w:rPr>
                <w:rFonts w:hint="eastAsia" w:asciiTheme="minorEastAsia" w:hAnsiTheme="minorEastAsia" w:eastAsiaTheme="minorEastAsia" w:cstheme="minorEastAsia"/>
                <w:sz w:val="20"/>
                <w:szCs w:val="20"/>
              </w:rPr>
              <w:t>2024年</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13</w:t>
            </w:r>
            <w:r>
              <w:rPr>
                <w:rFonts w:hint="eastAsia" w:asciiTheme="minorEastAsia" w:hAnsiTheme="minorEastAsia" w:eastAsiaTheme="minorEastAsia" w:cstheme="minorEastAsia"/>
                <w:sz w:val="20"/>
                <w:szCs w:val="20"/>
              </w:rPr>
              <w:t>日</w:t>
            </w:r>
            <w:r>
              <w:rPr>
                <w:rFonts w:hint="eastAsia" w:asciiTheme="minorEastAsia" w:hAnsiTheme="minorEastAsia" w:eastAsiaTheme="minorEastAsia" w:cstheme="minorEastAsia"/>
                <w:sz w:val="20"/>
                <w:szCs w:val="20"/>
                <w:lang w:eastAsia="zh-CN"/>
              </w:rPr>
              <w:t>（周五）下午</w:t>
            </w:r>
            <w:r>
              <w:rPr>
                <w:rFonts w:hint="eastAsia" w:asciiTheme="minorEastAsia" w:hAnsiTheme="minorEastAsia" w:eastAsiaTheme="minorEastAsia" w:cstheme="minorEastAsia"/>
                <w:sz w:val="20"/>
                <w:szCs w:val="20"/>
              </w:rPr>
              <w:t xml:space="preserve"> 1</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11" w:type="dxa"/>
            <w:vAlign w:val="center"/>
          </w:tcPr>
          <w:p>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656" w:type="dxa"/>
            <w:vAlign w:val="center"/>
          </w:tcPr>
          <w:p>
            <w:pPr>
              <w:pStyle w:val="12"/>
              <w:spacing w:before="100" w:beforeAutospacing="1"/>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rPr>
              <w:t>全景网“投资者关系互动平台”（https://ir.p5w.net）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656" w:type="dxa"/>
            <w:vAlign w:val="center"/>
          </w:tcPr>
          <w:p>
            <w:pPr>
              <w:pStyle w:val="12"/>
              <w:spacing w:before="100" w:beforeAutospacing="1" w:line="360" w:lineRule="auto"/>
              <w:jc w:val="both"/>
              <w:rPr>
                <w:rFonts w:ascii="宋体" w:hAnsi="宋体" w:eastAsia="宋体" w:cs="宋体"/>
                <w:sz w:val="20"/>
                <w:szCs w:val="20"/>
                <w:lang w:val="en-US"/>
              </w:rPr>
            </w:pPr>
            <w:r>
              <w:rPr>
                <w:rFonts w:hint="eastAsia" w:cs="宋体" w:asciiTheme="minorEastAsia" w:hAnsiTheme="minorEastAsia" w:eastAsiaTheme="minorEastAsia"/>
                <w:sz w:val="20"/>
                <w:szCs w:val="20"/>
              </w:rPr>
              <w:t>董事、总经理 赵炜诚</w:t>
            </w:r>
            <w:r>
              <w:rPr>
                <w:rFonts w:hint="eastAsia" w:cs="宋体" w:asciiTheme="minorEastAsia" w:hAnsiTheme="minorEastAsia" w:eastAsiaTheme="minorEastAsia"/>
                <w:sz w:val="20"/>
                <w:szCs w:val="20"/>
                <w:lang w:val="en-US"/>
              </w:rPr>
              <w:t>先生</w:t>
            </w:r>
            <w:r>
              <w:rPr>
                <w:rFonts w:hint="eastAsia" w:cs="宋体" w:asciiTheme="minorEastAsia" w:hAnsiTheme="minorEastAsia" w:eastAsiaTheme="minorEastAsia"/>
                <w:sz w:val="20"/>
                <w:szCs w:val="20"/>
              </w:rPr>
              <w:br w:type="textWrapping"/>
            </w:r>
            <w:r>
              <w:rPr>
                <w:rFonts w:hint="eastAsia" w:cs="宋体" w:asciiTheme="minorEastAsia" w:hAnsiTheme="minorEastAsia" w:eastAsiaTheme="minorEastAsia"/>
                <w:sz w:val="20"/>
                <w:szCs w:val="20"/>
              </w:rPr>
              <w:t xml:space="preserve">独立董事 </w:t>
            </w:r>
            <w:r>
              <w:rPr>
                <w:rFonts w:hint="eastAsia" w:cs="宋体" w:asciiTheme="minorEastAsia" w:hAnsiTheme="minorEastAsia" w:eastAsiaTheme="minorEastAsia"/>
                <w:sz w:val="20"/>
                <w:szCs w:val="20"/>
                <w:lang w:eastAsia="zh-CN"/>
              </w:rPr>
              <w:t>宋航先生</w:t>
            </w:r>
            <w:r>
              <w:rPr>
                <w:rFonts w:hint="eastAsia" w:cs="宋体" w:asciiTheme="minorEastAsia" w:hAnsiTheme="minorEastAsia" w:eastAsiaTheme="minorEastAsia"/>
                <w:sz w:val="20"/>
                <w:szCs w:val="20"/>
              </w:rPr>
              <w:br w:type="textWrapping"/>
            </w:r>
            <w:r>
              <w:rPr>
                <w:rFonts w:hint="eastAsia" w:cs="宋体" w:asciiTheme="minorEastAsia" w:hAnsiTheme="minorEastAsia" w:eastAsiaTheme="minorEastAsia"/>
                <w:sz w:val="20"/>
                <w:szCs w:val="20"/>
              </w:rPr>
              <w:t>财务负责人 李蕾</w:t>
            </w:r>
            <w:r>
              <w:rPr>
                <w:rFonts w:hint="eastAsia" w:cs="宋体" w:asciiTheme="minorEastAsia" w:hAnsiTheme="minorEastAsia" w:eastAsiaTheme="minorEastAsia"/>
                <w:sz w:val="20"/>
                <w:szCs w:val="20"/>
                <w:lang w:val="en-US"/>
              </w:rPr>
              <w:t>女士</w:t>
            </w:r>
            <w:r>
              <w:rPr>
                <w:rFonts w:hint="eastAsia" w:cs="宋体" w:asciiTheme="minorEastAsia" w:hAnsiTheme="minorEastAsia" w:eastAsiaTheme="minorEastAsia"/>
                <w:sz w:val="20"/>
                <w:szCs w:val="20"/>
              </w:rPr>
              <w:br w:type="textWrapping"/>
            </w:r>
            <w:r>
              <w:rPr>
                <w:rFonts w:hint="eastAsia" w:cs="宋体" w:asciiTheme="minorEastAsia" w:hAnsiTheme="minorEastAsia" w:eastAsiaTheme="minorEastAsia"/>
                <w:sz w:val="20"/>
                <w:szCs w:val="20"/>
              </w:rPr>
              <w:t>董事会秘书 陈栋</w:t>
            </w:r>
            <w:r>
              <w:rPr>
                <w:rFonts w:hint="eastAsia" w:cs="宋体" w:asciiTheme="minorEastAsia" w:hAnsiTheme="minorEastAsia" w:eastAsiaTheme="minorEastAsia"/>
                <w:sz w:val="20"/>
                <w:szCs w:val="20"/>
                <w:lang w:val="en-US"/>
              </w:rPr>
              <w:t>先生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912" w:hRule="atLeast"/>
          <w:jc w:val="center"/>
        </w:trPr>
        <w:tc>
          <w:tcPr>
            <w:tcW w:w="2411" w:type="dxa"/>
          </w:tcPr>
          <w:p>
            <w:pPr>
              <w:pStyle w:val="12"/>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656" w:type="dxa"/>
          </w:tcPr>
          <w:p>
            <w:pPr>
              <w:pStyle w:val="12"/>
              <w:spacing w:line="360" w:lineRule="auto"/>
              <w:jc w:val="both"/>
              <w:rPr>
                <w:rFonts w:hint="eastAsia" w:ascii="宋体" w:hAnsi="宋体" w:eastAsia="宋体" w:cs="宋体"/>
                <w:b/>
                <w:sz w:val="20"/>
                <w:lang w:eastAsia="zh-CN"/>
              </w:rPr>
            </w:pPr>
            <w:r>
              <w:rPr>
                <w:rFonts w:ascii="宋体" w:hAnsi="宋体" w:eastAsia="宋体" w:cs="宋体"/>
                <w:b/>
                <w:sz w:val="20"/>
                <w:szCs w:val="20"/>
              </w:rPr>
              <w:t>1</w:t>
            </w:r>
            <w:r>
              <w:rPr>
                <w:rFonts w:ascii="宋体" w:hAnsi="宋体" w:eastAsia="宋体" w:cs="宋体"/>
                <w:b/>
                <w:sz w:val="20"/>
              </w:rPr>
              <w:t>.如何看待，公司重要投资机构(基金)投资人，转融通做空公司股价等行为</w:t>
            </w:r>
            <w:r>
              <w:rPr>
                <w:rFonts w:hint="eastAsia" w:ascii="宋体" w:hAnsi="宋体" w:eastAsia="宋体" w:cs="宋体"/>
                <w:b/>
                <w:sz w:val="20"/>
                <w:lang w:eastAsia="zh-CN"/>
              </w:rPr>
              <w:t>？</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公司拥护并遵守监管部门关于规范融资融券业务的相关政策。公司在定期报告中已就持股5%以上股东、前十名股东等参与转融通业务出借股份的情况进行披露。请广大投资者参阅。感谢您对公司的关注！</w:t>
            </w:r>
          </w:p>
          <w:p>
            <w:pPr>
              <w:pStyle w:val="12"/>
              <w:spacing w:line="360" w:lineRule="auto"/>
              <w:jc w:val="both"/>
              <w:rPr>
                <w:rFonts w:hint="eastAsia" w:ascii="宋体" w:hAnsi="宋体" w:eastAsia="宋体" w:cs="宋体"/>
                <w:sz w:val="20"/>
                <w:lang w:eastAsia="zh-CN"/>
              </w:rPr>
            </w:pPr>
            <w:r>
              <w:rPr>
                <w:rFonts w:hint="eastAsia" w:ascii="宋体" w:hAnsi="宋体" w:eastAsia="宋体" w:cs="宋体"/>
                <w:b/>
                <w:sz w:val="20"/>
              </w:rPr>
              <w:t>2</w:t>
            </w:r>
            <w:r>
              <w:rPr>
                <w:rFonts w:ascii="宋体" w:hAnsi="宋体" w:eastAsia="宋体" w:cs="宋体"/>
                <w:b/>
                <w:sz w:val="20"/>
              </w:rPr>
              <w:t>.</w:t>
            </w:r>
            <w:r>
              <w:rPr>
                <w:rFonts w:hint="eastAsia" w:ascii="宋体" w:hAnsi="宋体" w:eastAsia="宋体" w:cs="宋体"/>
                <w:b/>
                <w:sz w:val="20"/>
              </w:rPr>
              <w:t>上海浦兴投资发展有限公司这家公司年收入大概多少，利润有多少</w:t>
            </w:r>
            <w:r>
              <w:rPr>
                <w:rFonts w:hint="eastAsia" w:ascii="宋体" w:hAnsi="宋体" w:eastAsia="宋体" w:cs="宋体"/>
                <w:b/>
                <w:sz w:val="20"/>
                <w:lang w:eastAsia="zh-CN"/>
              </w:rPr>
              <w:t>？</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上海浦兴投资发展有限公司主要从事基础设施投融资建设业务，主要承接项目包括迪斯尼市政配套道路、三林世博配套项目、常州武进区项目等的投资建设。截至2023年度末，主要项目均已投资建设完成，项目回款已全部收回。2023年上海浦兴投资发展有限公司营业收入为0元，净利润为54.38万元。感谢您对公司的关注！</w:t>
            </w:r>
          </w:p>
          <w:p>
            <w:pPr>
              <w:pStyle w:val="12"/>
              <w:spacing w:line="360" w:lineRule="auto"/>
              <w:jc w:val="both"/>
              <w:rPr>
                <w:rFonts w:hint="eastAsia" w:ascii="宋体" w:hAnsi="宋体" w:eastAsia="宋体" w:cs="宋体"/>
                <w:b/>
                <w:sz w:val="20"/>
                <w:lang w:eastAsia="zh-CN"/>
              </w:rPr>
            </w:pPr>
            <w:r>
              <w:rPr>
                <w:rFonts w:ascii="宋体" w:hAnsi="宋体" w:eastAsia="宋体" w:cs="宋体"/>
                <w:b/>
                <w:sz w:val="20"/>
              </w:rPr>
              <w:t>3.</w:t>
            </w:r>
            <w:r>
              <w:rPr>
                <w:rFonts w:hint="eastAsia" w:ascii="宋体" w:hAnsi="宋体" w:eastAsia="宋体" w:cs="宋体"/>
                <w:b/>
                <w:sz w:val="20"/>
              </w:rPr>
              <w:t>未来有哪些发展战略</w:t>
            </w:r>
            <w:r>
              <w:rPr>
                <w:rFonts w:hint="eastAsia" w:ascii="宋体" w:hAnsi="宋体" w:eastAsia="宋体" w:cs="宋体"/>
                <w:b/>
                <w:sz w:val="20"/>
                <w:lang w:eastAsia="zh-CN"/>
              </w:rPr>
              <w:t>、</w:t>
            </w:r>
            <w:r>
              <w:rPr>
                <w:rFonts w:hint="eastAsia" w:ascii="宋体" w:hAnsi="宋体" w:eastAsia="宋体" w:cs="宋体"/>
                <w:b/>
                <w:sz w:val="20"/>
              </w:rPr>
              <w:t>规划</w:t>
            </w:r>
            <w:r>
              <w:rPr>
                <w:rFonts w:hint="eastAsia" w:ascii="宋体" w:hAnsi="宋体" w:eastAsia="宋体" w:cs="宋体"/>
                <w:b/>
                <w:sz w:val="20"/>
                <w:lang w:eastAsia="zh-CN"/>
              </w:rPr>
              <w:t>及业务发展计划？</w:t>
            </w:r>
          </w:p>
          <w:p>
            <w:pPr>
              <w:pStyle w:val="12"/>
              <w:spacing w:line="360" w:lineRule="auto"/>
              <w:ind w:firstLine="400" w:firstLineChars="200"/>
              <w:jc w:val="both"/>
              <w:rPr>
                <w:rFonts w:hint="eastAsia" w:ascii="宋体" w:hAnsi="宋体" w:eastAsia="宋体" w:cs="宋体"/>
                <w:sz w:val="20"/>
              </w:rPr>
            </w:pPr>
            <w:r>
              <w:rPr>
                <w:rFonts w:hint="eastAsia" w:ascii="宋体" w:hAnsi="宋体" w:eastAsia="宋体" w:cs="宋体"/>
                <w:sz w:val="20"/>
              </w:rPr>
              <w:t>尊敬的投资者，您好！公司积极打造“科技型全产业链基础设施投资建设运营商”。设计施工业务方</w:t>
            </w:r>
            <w:bookmarkStart w:id="0" w:name="_GoBack"/>
            <w:bookmarkEnd w:id="0"/>
            <w:r>
              <w:rPr>
                <w:rFonts w:hint="eastAsia" w:ascii="宋体" w:hAnsi="宋体" w:eastAsia="宋体" w:cs="宋体"/>
                <w:sz w:val="20"/>
              </w:rPr>
              <w:t>面，在做好资质升级的基础上，将通过“科技”“金融”两翼赋能，夯实高质量发展根基，助力主业发展。以市场需求为方向，进一步完善科技体系，加强成果转化和先进技术产业化；研究尝试创新融资方式，推动公司产业竞争力持续提升；推动数字技术赋能主业竞争力升级，探索构建数字化生态服务体系。园区开发运营方面，公司通过多元招商模式，构建招商矩阵，全力打造系统化招商；深入产业运营各环节，打造产业服务团队，完善服务体系保障招商；引入优质的产业基金与孵化器，推动产业园区与产业基金紧密合作。感谢您对公司的关注！</w:t>
            </w:r>
          </w:p>
          <w:p>
            <w:pPr>
              <w:pStyle w:val="12"/>
              <w:spacing w:line="360" w:lineRule="auto"/>
              <w:jc w:val="both"/>
              <w:rPr>
                <w:rFonts w:hint="eastAsia" w:ascii="宋体" w:hAnsi="宋体" w:eastAsia="宋体" w:cs="宋体"/>
                <w:b/>
                <w:sz w:val="20"/>
                <w:lang w:eastAsia="zh-CN"/>
              </w:rPr>
            </w:pPr>
            <w:r>
              <w:rPr>
                <w:rFonts w:ascii="宋体" w:hAnsi="宋体" w:eastAsia="宋体" w:cs="宋体"/>
                <w:b/>
                <w:sz w:val="20"/>
              </w:rPr>
              <w:t>4.</w:t>
            </w:r>
            <w:r>
              <w:rPr>
                <w:rFonts w:hint="eastAsia" w:ascii="宋体" w:hAnsi="宋体" w:eastAsia="宋体" w:cs="宋体"/>
                <w:b/>
                <w:sz w:val="20"/>
              </w:rPr>
              <w:t>公司上半年增收不增利，对下半年收入节点是否会影响前期全年利润预期</w:t>
            </w:r>
            <w:r>
              <w:rPr>
                <w:rFonts w:hint="eastAsia" w:ascii="宋体" w:hAnsi="宋体" w:eastAsia="宋体" w:cs="宋体"/>
                <w:b/>
                <w:sz w:val="20"/>
                <w:lang w:eastAsia="zh-CN"/>
              </w:rPr>
              <w:t>？</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2024上半年公司施工主业稳健增长，实现的工作量多于上年同期，业务利润较上年同期保持稳定；下半年随着招商工作的全面推进，园区业务收益情况将得到优化调整，公司将继续秉承稳健经营、创新发展的理念，提高盈利能力，力争完成全年利润指标。感谢您对公司的关注！</w:t>
            </w:r>
          </w:p>
          <w:p>
            <w:pPr>
              <w:pStyle w:val="12"/>
              <w:spacing w:line="360" w:lineRule="auto"/>
              <w:jc w:val="both"/>
              <w:rPr>
                <w:rFonts w:hint="eastAsia" w:ascii="宋体" w:hAnsi="宋体" w:eastAsia="宋体" w:cs="宋体"/>
                <w:sz w:val="20"/>
                <w:lang w:eastAsia="zh-CN"/>
              </w:rPr>
            </w:pPr>
            <w:r>
              <w:rPr>
                <w:rFonts w:ascii="宋体" w:hAnsi="宋体" w:eastAsia="宋体" w:cs="宋体"/>
                <w:b/>
                <w:sz w:val="20"/>
              </w:rPr>
              <w:t>5.</w:t>
            </w:r>
            <w:r>
              <w:rPr>
                <w:rFonts w:hint="eastAsia" w:ascii="宋体" w:hAnsi="宋体" w:eastAsia="宋体" w:cs="宋体"/>
                <w:b/>
                <w:sz w:val="20"/>
              </w:rPr>
              <w:t>管理层有什么对应举措维稳股价？提高投资人信心？是否会有回购股份的计划</w:t>
            </w:r>
            <w:r>
              <w:rPr>
                <w:rFonts w:hint="eastAsia" w:ascii="宋体" w:hAnsi="宋体" w:eastAsia="宋体" w:cs="宋体"/>
                <w:b/>
                <w:sz w:val="20"/>
                <w:lang w:eastAsia="zh-CN"/>
              </w:rPr>
              <w:t>？</w:t>
            </w:r>
          </w:p>
          <w:p>
            <w:pPr>
              <w:pStyle w:val="12"/>
              <w:spacing w:line="360" w:lineRule="auto"/>
              <w:ind w:firstLine="400" w:firstLineChars="200"/>
              <w:jc w:val="both"/>
              <w:rPr>
                <w:rFonts w:ascii="宋体" w:hAnsi="宋体" w:eastAsia="宋体" w:cs="宋体"/>
                <w:sz w:val="20"/>
              </w:rPr>
            </w:pPr>
            <w:r>
              <w:rPr>
                <w:rFonts w:hint="eastAsia" w:ascii="宋体" w:hAnsi="宋体" w:eastAsia="宋体" w:cs="宋体"/>
                <w:sz w:val="20"/>
              </w:rPr>
              <w:t>尊敬的投资者，您好！股价的维护是一项系统性工程，公司股价受国内外宏观经济、所在行业、资本市场等多重不确定因素影响。未来公司将继续推进设计施工主业提质，不断提高公司核心竞争力，保持稳定可预期的现金分红比例，为广大股东创造长期价值回报。同时，公司将以投资者需求为导向，继续加强投资者关系管理，通过股东大会、业绩说明会、上证e互动、接待来访、座谈交流等方式与投资者进行互动交流，积极有效地向投资者传递公司经营发展的最新成果，努力让公司内在价值更好地反映在资本市场的市值表现上。截止目前，公司无回购股份的计划。公司重大信息请以上海证券交易所网站和公司指定信息披露媒体刊登的公告为准。感谢您对公司的关注！</w:t>
            </w:r>
          </w:p>
          <w:p>
            <w:pPr>
              <w:spacing w:line="360" w:lineRule="auto"/>
              <w:jc w:val="both"/>
              <w:rPr>
                <w:rFonts w:hint="eastAsia" w:ascii="宋体" w:hAnsi="宋体" w:eastAsia="宋体" w:cs="宋体"/>
                <w:b/>
                <w:sz w:val="20"/>
                <w:lang w:eastAsia="zh-CN"/>
              </w:rPr>
            </w:pPr>
            <w:r>
              <w:rPr>
                <w:rFonts w:ascii="宋体" w:hAnsi="宋体" w:eastAsia="宋体" w:cs="宋体"/>
                <w:b/>
                <w:sz w:val="20"/>
              </w:rPr>
              <w:t>6.</w:t>
            </w:r>
            <w:r>
              <w:rPr>
                <w:rFonts w:hint="eastAsia" w:ascii="宋体" w:hAnsi="宋体" w:eastAsia="宋体" w:cs="宋体"/>
                <w:b/>
                <w:sz w:val="20"/>
              </w:rPr>
              <w:t>作为浦东区域建设的排头兵，公司如何参与浦东新区的重大工程建设？这些项目对公司业绩有何具体贡献？未来浦东新区还有哪些重大工程项目是公司可能参与的</w:t>
            </w:r>
            <w:r>
              <w:rPr>
                <w:rFonts w:hint="eastAsia" w:ascii="宋体" w:hAnsi="宋体" w:eastAsia="宋体" w:cs="宋体"/>
                <w:b/>
                <w:sz w:val="20"/>
                <w:lang w:eastAsia="zh-CN"/>
              </w:rPr>
              <w:t>？</w:t>
            </w:r>
          </w:p>
          <w:p>
            <w:pPr>
              <w:spacing w:line="360" w:lineRule="auto"/>
              <w:ind w:firstLine="400" w:firstLineChars="200"/>
              <w:jc w:val="both"/>
              <w:rPr>
                <w:rFonts w:hint="eastAsia" w:ascii="宋体" w:hAnsi="宋体" w:eastAsia="宋体" w:cs="宋体"/>
                <w:sz w:val="20"/>
                <w:lang w:eastAsia="zh-CN"/>
              </w:rPr>
            </w:pPr>
            <w:r>
              <w:rPr>
                <w:rFonts w:hint="eastAsia" w:ascii="宋体" w:hAnsi="宋体" w:eastAsia="宋体" w:cs="宋体"/>
                <w:sz w:val="20"/>
              </w:rPr>
              <w:t>尊敬的投资者，您好！公司目前开展的业务包括工程设计、工程施工、园区开发建设与运营等。结合浦东新区的重大工程建设，公司可提供相关的投资、设计、工程总承包以及专业分包等相关服务。与公司主业相关的重大项目情况详见公司发布的重大项目中标临时公告。上述项目的获取有利于巩固公司在浦东区域的市场影响力，有利于提升公司的品牌形象，有利于公司获得持续经营收益。未来，公司将继续立足浦东新区，聚焦民生工程、基础设施升级、城市更新等领域，不断巩固和开拓市场，争取承担更多的重大工程，为浦东新区的开发开放作出新的贡献。感谢您对公司的关注！</w:t>
            </w:r>
            <w:r>
              <w:rPr>
                <w:rFonts w:ascii="宋体" w:hAnsi="宋体" w:eastAsia="宋体" w:cs="宋体"/>
                <w:sz w:val="20"/>
              </w:rPr>
              <w:br w:type="textWrapping"/>
            </w:r>
            <w:r>
              <w:rPr>
                <w:rFonts w:ascii="宋体" w:hAnsi="宋体" w:eastAsia="宋体" w:cs="宋体"/>
                <w:b/>
                <w:sz w:val="20"/>
              </w:rPr>
              <w:t>7.</w:t>
            </w:r>
            <w:r>
              <w:rPr>
                <w:rFonts w:hint="eastAsia" w:ascii="宋体" w:hAnsi="宋体" w:eastAsia="宋体" w:cs="宋体"/>
                <w:b/>
                <w:sz w:val="20"/>
              </w:rPr>
              <w:t>请问你公司在清收应收账款方面有没有采取积极的措施，这些挂账的账款对公司的实际经营现金流有没有实质性的影响</w:t>
            </w:r>
            <w:r>
              <w:rPr>
                <w:rFonts w:hint="eastAsia" w:ascii="宋体" w:hAnsi="宋体" w:eastAsia="宋体" w:cs="宋体"/>
                <w:b/>
                <w:sz w:val="20"/>
                <w:lang w:eastAsia="zh-CN"/>
              </w:rPr>
              <w:t>？</w:t>
            </w:r>
          </w:p>
          <w:p>
            <w:pPr>
              <w:spacing w:line="360" w:lineRule="auto"/>
              <w:ind w:firstLine="400" w:firstLineChars="200"/>
              <w:jc w:val="both"/>
              <w:rPr>
                <w:rFonts w:hint="eastAsia" w:ascii="宋体" w:hAnsi="宋体" w:eastAsia="宋体" w:cs="宋体"/>
                <w:sz w:val="20"/>
                <w:lang w:eastAsia="zh-CN"/>
              </w:rPr>
            </w:pPr>
            <w:r>
              <w:rPr>
                <w:rFonts w:hint="eastAsia" w:ascii="宋体" w:hAnsi="宋体" w:eastAsia="宋体" w:cs="宋体"/>
                <w:sz w:val="20"/>
              </w:rPr>
              <w:t>尊敬的投资者，您好！公司针对应收账款已通过加强项目风险评估、合同管理、业主信用管理、多元化催收策略等方式强化应收账款管理，以达到降低坏账风险，提高资金利用效率，促进公司稳健发展的目标。目前，公司应收账款回款情况总体良好，资金结构较为合理。感谢您对公司的关注！</w:t>
            </w:r>
            <w:r>
              <w:rPr>
                <w:rFonts w:ascii="宋体" w:hAnsi="宋体" w:eastAsia="宋体" w:cs="宋体"/>
                <w:sz w:val="20"/>
              </w:rPr>
              <w:br w:type="textWrapping"/>
            </w:r>
            <w:r>
              <w:rPr>
                <w:rFonts w:ascii="宋体" w:hAnsi="宋体" w:eastAsia="宋体" w:cs="宋体"/>
                <w:b/>
                <w:sz w:val="20"/>
              </w:rPr>
              <w:t>8.</w:t>
            </w:r>
            <w:r>
              <w:rPr>
                <w:rFonts w:hint="eastAsia" w:ascii="宋体" w:hAnsi="宋体" w:eastAsia="宋体" w:cs="宋体"/>
                <w:b/>
                <w:sz w:val="20"/>
              </w:rPr>
              <w:t>请问公司净利润下降的原因、未来的盈利能力及改善措施</w:t>
            </w:r>
            <w:r>
              <w:rPr>
                <w:rFonts w:hint="eastAsia" w:ascii="宋体" w:hAnsi="宋体" w:eastAsia="宋体" w:cs="宋体"/>
                <w:b/>
                <w:sz w:val="20"/>
                <w:lang w:eastAsia="zh-CN"/>
              </w:rPr>
              <w:t>？</w:t>
            </w:r>
          </w:p>
          <w:p>
            <w:pPr>
              <w:spacing w:line="360" w:lineRule="auto"/>
              <w:ind w:firstLine="400" w:firstLineChars="200"/>
              <w:jc w:val="both"/>
              <w:rPr>
                <w:rFonts w:hint="eastAsia" w:ascii="宋体" w:hAnsi="宋体" w:eastAsia="宋体" w:cs="宋体"/>
                <w:sz w:val="20"/>
              </w:rPr>
            </w:pPr>
            <w:r>
              <w:rPr>
                <w:rFonts w:hint="eastAsia" w:ascii="宋体" w:hAnsi="宋体" w:eastAsia="宋体" w:cs="宋体"/>
                <w:sz w:val="20"/>
              </w:rPr>
              <w:t>尊敬的投资者，您好！2024上半年，公司施工主业稳健增长，不断巩固市场竞争力，工程施工业务克服外部压力，实现的工作量多于上年同期，业务利润较上年同期保持稳定；在园区综合开发方面，邹平路TOP芯联项目进入租赁爬坡期、本期折旧和运营成本增加，较上年同期减少利润5,072万元，随着招商工作的全面推进，园区业务收益情况将得到优化调整。未来，公司将加强主业经营能力和核心竞争力建设，全力推进主业实力提质，提高市场占有率、重大合同获得能力、成本费用管控能力和精细化管理能力，以实现降本增效为目标，不断做精做强。感谢您对公司的关注！</w:t>
            </w:r>
          </w:p>
          <w:p>
            <w:pPr>
              <w:spacing w:line="360" w:lineRule="auto"/>
              <w:jc w:val="both"/>
              <w:rPr>
                <w:rFonts w:ascii="宋体" w:hAnsi="宋体" w:eastAsia="宋体" w:cs="宋体"/>
                <w:sz w:val="20"/>
              </w:rPr>
            </w:pPr>
            <w:r>
              <w:rPr>
                <w:rFonts w:ascii="宋体" w:hAnsi="宋体" w:eastAsia="宋体" w:cs="宋体"/>
                <w:b/>
                <w:sz w:val="20"/>
              </w:rPr>
              <w:t>9.</w:t>
            </w:r>
            <w:r>
              <w:rPr>
                <w:rFonts w:hint="eastAsia" w:ascii="宋体" w:hAnsi="宋体" w:eastAsia="宋体" w:cs="宋体"/>
                <w:b/>
                <w:sz w:val="20"/>
              </w:rPr>
              <w:t>贵公司股价长期低迷，国有资产被严重低估，从目前来看，视而不见，没有任何自救措施，让广大投资者看不到希望，不知作为公司管理者，有何感想？</w:t>
            </w:r>
          </w:p>
          <w:p>
            <w:pPr>
              <w:numPr>
                <w:ilvl w:val="255"/>
                <w:numId w:val="0"/>
              </w:numPr>
              <w:autoSpaceDE/>
              <w:autoSpaceDN/>
              <w:spacing w:line="360" w:lineRule="auto"/>
              <w:ind w:firstLine="400" w:firstLineChars="200"/>
              <w:jc w:val="both"/>
              <w:rPr>
                <w:rFonts w:hint="eastAsia" w:ascii="宋体" w:hAnsi="宋体" w:eastAsia="宋体" w:cs="宋体"/>
                <w:sz w:val="20"/>
              </w:rPr>
            </w:pPr>
            <w:r>
              <w:rPr>
                <w:rFonts w:hint="eastAsia" w:ascii="宋体" w:hAnsi="宋体" w:eastAsia="宋体" w:cs="宋体"/>
                <w:sz w:val="20"/>
              </w:rPr>
              <w:t>尊敬的投资者，您好！公司对于近期股价走低感到抱歉，这说明公司在经营发展以及投资者关系管理上与广大投资者的期待还存在不小的差距。公司将以高质量发展为根本，通过科技金融两翼赋能主业，发挥全产业链协同联动优势，聚焦盈利能力建设，为广大股东创造长期价值回报。同时，公司将以投资者需求为导向，继续加强投资者关系管理，通过股东大会、业绩说明会、上证e互动、接待来访、座谈交流等方式与投资者进行互动交流，构建高效的投资者沟通桥梁，积极有效地向投资者传递公司经营发展的最新成果，努力让公司内在价值更好地反映在资本市场的市值表现上。感谢您对公司的关注！</w:t>
            </w:r>
          </w:p>
          <w:p>
            <w:pPr>
              <w:numPr>
                <w:ilvl w:val="0"/>
                <w:numId w:val="1"/>
              </w:numPr>
              <w:autoSpaceDE/>
              <w:autoSpaceDN/>
              <w:spacing w:line="360" w:lineRule="auto"/>
              <w:jc w:val="both"/>
              <w:rPr>
                <w:rFonts w:hint="eastAsia" w:ascii="宋体" w:hAnsi="宋体" w:eastAsia="宋体" w:cs="宋体"/>
                <w:b/>
                <w:sz w:val="20"/>
              </w:rPr>
            </w:pPr>
            <w:r>
              <w:rPr>
                <w:rFonts w:hint="eastAsia" w:ascii="宋体" w:hAnsi="宋体" w:eastAsia="宋体" w:cs="宋体"/>
                <w:b/>
                <w:sz w:val="20"/>
              </w:rPr>
              <w:t>现阶段浦建业务增长乏力，为响应国有资产重组号召</w:t>
            </w:r>
            <w:r>
              <w:rPr>
                <w:rFonts w:hint="eastAsia" w:ascii="宋体" w:hAnsi="宋体" w:eastAsia="宋体" w:cs="宋体"/>
                <w:b/>
                <w:sz w:val="20"/>
                <w:lang w:eastAsia="zh-CN"/>
              </w:rPr>
              <w:t>，</w:t>
            </w:r>
            <w:r>
              <w:rPr>
                <w:rFonts w:hint="eastAsia" w:ascii="宋体" w:hAnsi="宋体" w:eastAsia="宋体" w:cs="宋体"/>
                <w:b/>
                <w:sz w:val="20"/>
              </w:rPr>
              <w:t>公司是否会进行浦建集团非上市资产及业务并入上市资产的计划</w:t>
            </w:r>
            <w:r>
              <w:rPr>
                <w:rFonts w:hint="eastAsia" w:ascii="宋体" w:hAnsi="宋体" w:eastAsia="宋体" w:cs="宋体"/>
                <w:b/>
                <w:sz w:val="20"/>
                <w:lang w:eastAsia="zh-CN"/>
              </w:rPr>
              <w:t>？</w:t>
            </w:r>
          </w:p>
          <w:p>
            <w:pPr>
              <w:numPr>
                <w:ilvl w:val="255"/>
                <w:numId w:val="0"/>
              </w:numPr>
              <w:autoSpaceDE/>
              <w:autoSpaceDN/>
              <w:spacing w:line="360" w:lineRule="auto"/>
              <w:ind w:firstLine="400" w:firstLineChars="200"/>
              <w:jc w:val="both"/>
              <w:rPr>
                <w:rFonts w:hint="eastAsia" w:ascii="宋体" w:hAnsi="宋体" w:eastAsia="宋体" w:cs="宋体"/>
                <w:sz w:val="20"/>
              </w:rPr>
            </w:pPr>
            <w:r>
              <w:rPr>
                <w:rFonts w:hint="eastAsia" w:ascii="宋体" w:hAnsi="宋体" w:eastAsia="宋体" w:cs="宋体"/>
                <w:sz w:val="20"/>
              </w:rPr>
              <w:t>尊敬的投资者，您好！上海市浦东新区建设（集团）有限公司已经为公司全资子公司，不具备非上市资产注入的条件。公司重大信息请以上海证券交易所网站和公司指定信息披露媒体刊登的公告为准。感谢您对公司的关注！</w:t>
            </w:r>
          </w:p>
          <w:p>
            <w:pPr>
              <w:numPr>
                <w:ilvl w:val="0"/>
                <w:numId w:val="1"/>
              </w:numPr>
              <w:autoSpaceDE/>
              <w:autoSpaceDN/>
              <w:spacing w:line="360" w:lineRule="auto"/>
              <w:ind w:left="0" w:leftChars="0" w:firstLine="0" w:firstLineChars="0"/>
              <w:jc w:val="both"/>
              <w:rPr>
                <w:rFonts w:hint="eastAsia" w:ascii="宋体" w:hAnsi="宋体" w:eastAsia="宋体" w:cs="宋体"/>
                <w:b/>
                <w:sz w:val="20"/>
              </w:rPr>
            </w:pPr>
            <w:r>
              <w:rPr>
                <w:rFonts w:hint="eastAsia" w:ascii="宋体" w:hAnsi="宋体" w:eastAsia="宋体" w:cs="宋体"/>
                <w:b/>
                <w:sz w:val="20"/>
              </w:rPr>
              <w:t>报告中提到公司应收账款体量较大，当期应收账款占最新年报归母净利润比达441.76%。请问公司对应收账款的管理措施有哪些？未来如何降低应收账款占比，提高资金回笼效率？</w:t>
            </w:r>
          </w:p>
          <w:p>
            <w:pPr>
              <w:numPr>
                <w:ilvl w:val="255"/>
                <w:numId w:val="0"/>
              </w:numPr>
              <w:autoSpaceDE/>
              <w:autoSpaceDN/>
              <w:spacing w:line="360" w:lineRule="auto"/>
              <w:ind w:firstLine="400" w:firstLineChars="200"/>
              <w:jc w:val="both"/>
              <w:rPr>
                <w:rFonts w:hint="eastAsia" w:ascii="宋体" w:hAnsi="宋体" w:eastAsia="宋体" w:cs="宋体"/>
                <w:sz w:val="20"/>
                <w:lang w:val="zh-CN" w:eastAsia="zh-CN"/>
              </w:rPr>
            </w:pPr>
            <w:r>
              <w:rPr>
                <w:rFonts w:hint="eastAsia" w:ascii="宋体" w:hAnsi="宋体" w:eastAsia="宋体" w:cs="宋体"/>
                <w:sz w:val="20"/>
                <w:lang w:val="zh-CN" w:eastAsia="zh-CN"/>
              </w:rPr>
              <w:t>尊敬的投资者，您好！公司所处的建筑行业项目工程工期较长，工程的完工、验收、审计决算有一定滞后期，随着公司近年营业收入的不断增长，公司应收账款金额有一定增加。公司已通过加强项目风险评估、合同管理、业主信用管理、多元化催收策略等方式强化应收账款管理，以达到降低坏账风险，提高资金利用效率，促进公司稳健发展的目标。感谢您对公司的关注！</w:t>
            </w:r>
          </w:p>
          <w:p>
            <w:pPr>
              <w:numPr>
                <w:ilvl w:val="0"/>
                <w:numId w:val="1"/>
              </w:numPr>
              <w:autoSpaceDE/>
              <w:autoSpaceDN/>
              <w:spacing w:line="360" w:lineRule="auto"/>
              <w:ind w:left="0" w:leftChars="0" w:firstLine="0" w:firstLineChars="0"/>
              <w:jc w:val="both"/>
              <w:rPr>
                <w:rFonts w:hint="eastAsia" w:ascii="宋体" w:hAnsi="宋体" w:eastAsia="宋体" w:cs="宋体"/>
                <w:b/>
                <w:sz w:val="20"/>
              </w:rPr>
            </w:pPr>
            <w:r>
              <w:rPr>
                <w:rFonts w:hint="eastAsia" w:ascii="宋体" w:hAnsi="宋体" w:eastAsia="宋体" w:cs="宋体"/>
                <w:b/>
                <w:sz w:val="20"/>
              </w:rPr>
              <w:t>截至报告期末，公司在手订单情况如何？重要项目的执行进度和预期收益情况是怎样的？这些项目是否会对公司下半年的业绩产生积极影响？</w:t>
            </w:r>
          </w:p>
          <w:p>
            <w:pPr>
              <w:numPr>
                <w:ilvl w:val="255"/>
                <w:numId w:val="0"/>
              </w:numPr>
              <w:autoSpaceDE/>
              <w:autoSpaceDN/>
              <w:spacing w:line="360" w:lineRule="auto"/>
              <w:ind w:firstLine="400" w:firstLineChars="200"/>
              <w:jc w:val="both"/>
              <w:rPr>
                <w:rFonts w:hint="eastAsia" w:ascii="宋体" w:hAnsi="宋体" w:eastAsia="宋体" w:cs="宋体"/>
                <w:sz w:val="20"/>
                <w:lang w:val="zh-CN" w:eastAsia="zh-CN"/>
              </w:rPr>
            </w:pPr>
            <w:r>
              <w:rPr>
                <w:rFonts w:hint="eastAsia" w:ascii="宋体" w:hAnsi="宋体" w:eastAsia="宋体" w:cs="宋体"/>
                <w:sz w:val="20"/>
                <w:lang w:val="zh-CN" w:eastAsia="zh-CN"/>
              </w:rPr>
              <w:t>尊敬的投资者，您好！2024年上半年，公司累计新签合同额为102.54亿元。新签约的重大项目包括周邓快速路（S3-G1503）新建工程3标、浦东新区周浦镇PDZP-01单元09-01地块动迁安置房项目（除桩基工程）、金桥地铁上盖J9A-03、J9A-04等地块项目施工工程、临港奉贤园区C10-05地块第二施工段项目等。目前上述项目正在有序推进当中，随着收入和成本按履约进度结转，将对公司全年业绩达成形成较为有力的支撑。感谢您对公司的关注！</w:t>
            </w:r>
          </w:p>
          <w:p>
            <w:pPr>
              <w:numPr>
                <w:ilvl w:val="255"/>
                <w:numId w:val="0"/>
              </w:numPr>
              <w:autoSpaceDE/>
              <w:autoSpaceDN/>
              <w:spacing w:line="360" w:lineRule="auto"/>
              <w:jc w:val="both"/>
              <w:rPr>
                <w:rFonts w:hint="eastAsia" w:ascii="宋体" w:hAnsi="宋体" w:eastAsia="宋体" w:cs="宋体"/>
                <w:b/>
                <w:sz w:val="20"/>
                <w:lang w:eastAsia="zh-CN"/>
              </w:rPr>
            </w:pPr>
            <w:r>
              <w:rPr>
                <w:rFonts w:hint="eastAsia" w:ascii="宋体" w:hAnsi="宋体" w:eastAsia="宋体" w:cs="宋体"/>
                <w:b/>
                <w:sz w:val="20"/>
                <w:lang w:val="en-US" w:eastAsia="zh-CN"/>
              </w:rPr>
              <w:t>13</w:t>
            </w:r>
            <w:r>
              <w:rPr>
                <w:rFonts w:ascii="宋体" w:hAnsi="宋体" w:eastAsia="宋体" w:cs="宋体"/>
                <w:b/>
                <w:sz w:val="20"/>
              </w:rPr>
              <w:t>.</w:t>
            </w:r>
            <w:r>
              <w:rPr>
                <w:rFonts w:hint="eastAsia" w:ascii="宋体" w:hAnsi="宋体" w:eastAsia="宋体" w:cs="宋体"/>
                <w:b/>
                <w:sz w:val="20"/>
              </w:rPr>
              <w:t>取消高新企业待遇对企业有多大影响</w:t>
            </w:r>
            <w:r>
              <w:rPr>
                <w:rFonts w:hint="eastAsia" w:ascii="宋体" w:hAnsi="宋体" w:eastAsia="宋体" w:cs="宋体"/>
                <w:b/>
                <w:sz w:val="20"/>
                <w:lang w:eastAsia="zh-CN"/>
              </w:rPr>
              <w:t>？</w:t>
            </w:r>
            <w:r>
              <w:rPr>
                <w:rFonts w:hint="eastAsia" w:ascii="宋体" w:hAnsi="宋体" w:eastAsia="宋体" w:cs="宋体"/>
                <w:b/>
                <w:sz w:val="20"/>
              </w:rPr>
              <w:t>对2024年度业绩影响多大</w:t>
            </w:r>
            <w:r>
              <w:rPr>
                <w:rFonts w:hint="eastAsia" w:ascii="宋体" w:hAnsi="宋体" w:eastAsia="宋体" w:cs="宋体"/>
                <w:b/>
                <w:sz w:val="20"/>
                <w:lang w:eastAsia="zh-CN"/>
              </w:rPr>
              <w:t>？</w:t>
            </w:r>
          </w:p>
          <w:p>
            <w:pPr>
              <w:numPr>
                <w:ilvl w:val="255"/>
                <w:numId w:val="0"/>
              </w:numPr>
              <w:autoSpaceDE/>
              <w:autoSpaceDN/>
              <w:spacing w:line="360" w:lineRule="auto"/>
              <w:ind w:firstLine="400" w:firstLineChars="200"/>
              <w:jc w:val="both"/>
              <w:rPr>
                <w:rFonts w:hint="eastAsia" w:ascii="宋体" w:hAnsi="宋体" w:eastAsia="宋体" w:cs="宋体"/>
                <w:b/>
                <w:sz w:val="20"/>
                <w:lang w:val="en-US"/>
              </w:rPr>
            </w:pPr>
            <w:r>
              <w:rPr>
                <w:rFonts w:hint="eastAsia" w:ascii="宋体" w:hAnsi="宋体" w:eastAsia="宋体" w:cs="宋体"/>
                <w:sz w:val="20"/>
                <w:lang w:val="zh-CN" w:eastAsia="zh-CN"/>
              </w:rPr>
              <w:t>尊敬的投资者，您好！目前浦东建设合并范围内高新技术企业为：上海市浦东新区建设（集团）有限公司、上海浦东路桥（集团）有限公司、上海浦东路桥沥青材料有限公司及上海浦东建筑设计研究院有限公司。公司的工程施工、工程设计及沥青材料等业务由前述子公司开展。浦东建设母公司失去高新技术企业资格符合公司业务调整的实际情况，不会对公司的研发、生产、经营以及合并报表的总体税负产生不利影响。感谢您对公司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37"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附件清单（如有）</w:t>
            </w:r>
          </w:p>
        </w:tc>
        <w:tc>
          <w:tcPr>
            <w:tcW w:w="6656" w:type="dxa"/>
            <w:vAlign w:val="center"/>
          </w:tcPr>
          <w:p>
            <w:pPr>
              <w:pStyle w:val="12"/>
              <w:spacing w:before="100" w:beforeAutospacing="1"/>
              <w:rPr>
                <w:rFonts w:ascii="宋体" w:hAnsi="宋体" w:eastAsia="宋体" w:cs="宋体"/>
                <w:sz w:val="20"/>
                <w:szCs w:val="20"/>
              </w:rPr>
            </w:pPr>
            <w:r>
              <w:rPr>
                <w:rFonts w:hint="eastAsia" w:ascii="宋体" w:hAnsi="宋体" w:eastAsia="宋体" w:cs="宋体"/>
                <w:sz w:val="20"/>
                <w:szCs w:val="2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日期</w:t>
            </w:r>
          </w:p>
        </w:tc>
        <w:tc>
          <w:tcPr>
            <w:tcW w:w="6656" w:type="dxa"/>
            <w:vAlign w:val="center"/>
          </w:tcPr>
          <w:p>
            <w:pPr>
              <w:pStyle w:val="12"/>
              <w:spacing w:before="100" w:beforeAutospacing="1"/>
              <w:rPr>
                <w:rFonts w:ascii="宋体" w:hAnsi="宋体" w:eastAsia="宋体" w:cs="宋体"/>
                <w:sz w:val="20"/>
                <w:szCs w:val="20"/>
              </w:rPr>
            </w:pPr>
            <w:r>
              <w:rPr>
                <w:rFonts w:ascii="宋体" w:hAnsi="宋体" w:eastAsia="宋体" w:cs="宋体"/>
                <w:sz w:val="20"/>
                <w:szCs w:val="20"/>
              </w:rPr>
              <w:t>2024年</w:t>
            </w:r>
            <w:r>
              <w:rPr>
                <w:rFonts w:hint="eastAsia" w:ascii="宋体" w:hAnsi="宋体" w:eastAsia="宋体" w:cs="宋体"/>
                <w:sz w:val="20"/>
                <w:szCs w:val="20"/>
                <w:lang w:val="en-US" w:eastAsia="zh-CN"/>
              </w:rPr>
              <w:t>9</w:t>
            </w:r>
            <w:r>
              <w:rPr>
                <w:rFonts w:ascii="宋体" w:hAnsi="宋体" w:eastAsia="宋体" w:cs="宋体"/>
                <w:sz w:val="20"/>
                <w:szCs w:val="20"/>
              </w:rPr>
              <w:t>月1</w:t>
            </w:r>
            <w:r>
              <w:rPr>
                <w:rFonts w:hint="eastAsia" w:ascii="宋体" w:hAnsi="宋体" w:eastAsia="宋体" w:cs="宋体"/>
                <w:sz w:val="20"/>
                <w:szCs w:val="20"/>
                <w:lang w:val="en-US" w:eastAsia="zh-CN"/>
              </w:rPr>
              <w:t>3</w:t>
            </w:r>
            <w:r>
              <w:rPr>
                <w:rFonts w:ascii="宋体" w:hAnsi="宋体" w:eastAsia="宋体" w:cs="宋体"/>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11" w:type="dxa"/>
            <w:vAlign w:val="center"/>
          </w:tcPr>
          <w:p>
            <w:pPr>
              <w:pStyle w:val="12"/>
              <w:rPr>
                <w:rFonts w:ascii="宋体" w:hAnsi="宋体" w:eastAsia="宋体" w:cs="宋体"/>
                <w:b/>
                <w:bCs/>
                <w:sz w:val="20"/>
                <w:szCs w:val="20"/>
              </w:rPr>
            </w:pPr>
            <w:r>
              <w:rPr>
                <w:rFonts w:hint="eastAsia" w:ascii="宋体" w:hAnsi="宋体" w:eastAsia="宋体" w:cs="宋体"/>
                <w:b/>
                <w:bCs/>
                <w:sz w:val="20"/>
                <w:szCs w:val="20"/>
              </w:rPr>
              <w:t>备注</w:t>
            </w:r>
          </w:p>
        </w:tc>
        <w:tc>
          <w:tcPr>
            <w:tcW w:w="6656" w:type="dxa"/>
            <w:vAlign w:val="center"/>
          </w:tcPr>
          <w:p>
            <w:pPr>
              <w:pStyle w:val="12"/>
              <w:spacing w:before="100" w:beforeAutospacing="1"/>
              <w:rPr>
                <w:rFonts w:ascii="宋体" w:hAnsi="宋体" w:eastAsia="宋体" w:cs="宋体"/>
                <w:sz w:val="20"/>
                <w:szCs w:val="20"/>
              </w:rPr>
            </w:pPr>
            <w:r>
              <w:rPr>
                <w:rFonts w:hint="eastAsia" w:ascii="宋体" w:hAnsi="宋体" w:eastAsia="宋体" w:cs="宋体"/>
                <w:sz w:val="20"/>
                <w:szCs w:val="20"/>
              </w:rPr>
              <w:t>本次活动未涉及未公开重大信息披露等情况</w:t>
            </w:r>
          </w:p>
        </w:tc>
      </w:tr>
    </w:tbl>
    <w:p>
      <w:pPr>
        <w:ind w:firstLine="560"/>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FF73B"/>
    <w:multiLevelType w:val="singleLevel"/>
    <w:tmpl w:val="335FF73B"/>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YTA2MjFhNWM0MWY4YjQ5MDBlYTU1NDJmNmViNWQifQ=="/>
  </w:docVars>
  <w:rsids>
    <w:rsidRoot w:val="00301D32"/>
    <w:rsid w:val="00025D04"/>
    <w:rsid w:val="00026CC3"/>
    <w:rsid w:val="00036089"/>
    <w:rsid w:val="00037DA5"/>
    <w:rsid w:val="00053CFA"/>
    <w:rsid w:val="000633EC"/>
    <w:rsid w:val="00063804"/>
    <w:rsid w:val="000665A2"/>
    <w:rsid w:val="000877AB"/>
    <w:rsid w:val="000B7C08"/>
    <w:rsid w:val="000D12CF"/>
    <w:rsid w:val="000D2D88"/>
    <w:rsid w:val="000E4B20"/>
    <w:rsid w:val="001077CE"/>
    <w:rsid w:val="0011418F"/>
    <w:rsid w:val="00172C24"/>
    <w:rsid w:val="001E59D1"/>
    <w:rsid w:val="001E5EA4"/>
    <w:rsid w:val="00200617"/>
    <w:rsid w:val="002042A7"/>
    <w:rsid w:val="00205911"/>
    <w:rsid w:val="002146AD"/>
    <w:rsid w:val="00275CB6"/>
    <w:rsid w:val="002800B5"/>
    <w:rsid w:val="00295B29"/>
    <w:rsid w:val="002A37EB"/>
    <w:rsid w:val="002D4073"/>
    <w:rsid w:val="002D585A"/>
    <w:rsid w:val="002E7098"/>
    <w:rsid w:val="003010AF"/>
    <w:rsid w:val="00301D32"/>
    <w:rsid w:val="00317B1B"/>
    <w:rsid w:val="00366FAD"/>
    <w:rsid w:val="0037105B"/>
    <w:rsid w:val="003975BA"/>
    <w:rsid w:val="003A74E6"/>
    <w:rsid w:val="003B73DD"/>
    <w:rsid w:val="003D011C"/>
    <w:rsid w:val="003D56CD"/>
    <w:rsid w:val="003E22D6"/>
    <w:rsid w:val="004108C7"/>
    <w:rsid w:val="00412DC2"/>
    <w:rsid w:val="00440041"/>
    <w:rsid w:val="00451268"/>
    <w:rsid w:val="004515AD"/>
    <w:rsid w:val="00451857"/>
    <w:rsid w:val="00453516"/>
    <w:rsid w:val="00457548"/>
    <w:rsid w:val="00460B83"/>
    <w:rsid w:val="00470DB2"/>
    <w:rsid w:val="00483EE2"/>
    <w:rsid w:val="004925E7"/>
    <w:rsid w:val="00495B11"/>
    <w:rsid w:val="004F6FF3"/>
    <w:rsid w:val="00571B49"/>
    <w:rsid w:val="005743AE"/>
    <w:rsid w:val="005B4E19"/>
    <w:rsid w:val="005D64CA"/>
    <w:rsid w:val="005E5717"/>
    <w:rsid w:val="005E6DB2"/>
    <w:rsid w:val="0061433E"/>
    <w:rsid w:val="00626B40"/>
    <w:rsid w:val="0062751D"/>
    <w:rsid w:val="006354AA"/>
    <w:rsid w:val="00661AFA"/>
    <w:rsid w:val="006726BF"/>
    <w:rsid w:val="00677B77"/>
    <w:rsid w:val="0068718A"/>
    <w:rsid w:val="00695DFC"/>
    <w:rsid w:val="006A1F07"/>
    <w:rsid w:val="006A2739"/>
    <w:rsid w:val="006B069C"/>
    <w:rsid w:val="006B5C95"/>
    <w:rsid w:val="006D5AA6"/>
    <w:rsid w:val="006D71E3"/>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7E131F"/>
    <w:rsid w:val="0085336E"/>
    <w:rsid w:val="00853463"/>
    <w:rsid w:val="00893F25"/>
    <w:rsid w:val="00895035"/>
    <w:rsid w:val="008B2B14"/>
    <w:rsid w:val="008C6AED"/>
    <w:rsid w:val="008C7604"/>
    <w:rsid w:val="008E1B27"/>
    <w:rsid w:val="008F6542"/>
    <w:rsid w:val="00903379"/>
    <w:rsid w:val="00906975"/>
    <w:rsid w:val="00917F0B"/>
    <w:rsid w:val="00917F8B"/>
    <w:rsid w:val="00960964"/>
    <w:rsid w:val="00965E4D"/>
    <w:rsid w:val="009B1D5C"/>
    <w:rsid w:val="009C2E31"/>
    <w:rsid w:val="009D1774"/>
    <w:rsid w:val="009E1955"/>
    <w:rsid w:val="00A527AA"/>
    <w:rsid w:val="00A5684D"/>
    <w:rsid w:val="00A75C61"/>
    <w:rsid w:val="00A9601B"/>
    <w:rsid w:val="00AD100E"/>
    <w:rsid w:val="00AE1E36"/>
    <w:rsid w:val="00AF74AA"/>
    <w:rsid w:val="00B03C2F"/>
    <w:rsid w:val="00B15064"/>
    <w:rsid w:val="00B15669"/>
    <w:rsid w:val="00B340A3"/>
    <w:rsid w:val="00B410F5"/>
    <w:rsid w:val="00B6280C"/>
    <w:rsid w:val="00B671A4"/>
    <w:rsid w:val="00B72CD4"/>
    <w:rsid w:val="00B85B00"/>
    <w:rsid w:val="00BC73F9"/>
    <w:rsid w:val="00BD4C1B"/>
    <w:rsid w:val="00BF132F"/>
    <w:rsid w:val="00C13878"/>
    <w:rsid w:val="00C166ED"/>
    <w:rsid w:val="00C16B7B"/>
    <w:rsid w:val="00C23829"/>
    <w:rsid w:val="00C36CD4"/>
    <w:rsid w:val="00CA1705"/>
    <w:rsid w:val="00CB00B0"/>
    <w:rsid w:val="00CE1A54"/>
    <w:rsid w:val="00CF5FB6"/>
    <w:rsid w:val="00D02518"/>
    <w:rsid w:val="00D17454"/>
    <w:rsid w:val="00D33FBC"/>
    <w:rsid w:val="00D7535C"/>
    <w:rsid w:val="00D76302"/>
    <w:rsid w:val="00DA5CE2"/>
    <w:rsid w:val="00DE10E8"/>
    <w:rsid w:val="00E16FDA"/>
    <w:rsid w:val="00E25423"/>
    <w:rsid w:val="00E35F58"/>
    <w:rsid w:val="00E45BD9"/>
    <w:rsid w:val="00E66FFC"/>
    <w:rsid w:val="00E759D6"/>
    <w:rsid w:val="00E84A8C"/>
    <w:rsid w:val="00E976DE"/>
    <w:rsid w:val="00EC0F83"/>
    <w:rsid w:val="00ED30C6"/>
    <w:rsid w:val="00EE3187"/>
    <w:rsid w:val="00EF499B"/>
    <w:rsid w:val="00F113E0"/>
    <w:rsid w:val="00F14977"/>
    <w:rsid w:val="00F16662"/>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4556F8"/>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89C6F76"/>
    <w:rsid w:val="39BC78F4"/>
    <w:rsid w:val="3B35486F"/>
    <w:rsid w:val="3EF1250A"/>
    <w:rsid w:val="40567DB0"/>
    <w:rsid w:val="40FF5CD2"/>
    <w:rsid w:val="428D2062"/>
    <w:rsid w:val="42DB40B0"/>
    <w:rsid w:val="43B71B0A"/>
    <w:rsid w:val="44FA0589"/>
    <w:rsid w:val="45A663E3"/>
    <w:rsid w:val="469F09AF"/>
    <w:rsid w:val="4B756271"/>
    <w:rsid w:val="4C8E1CA8"/>
    <w:rsid w:val="4D5C312E"/>
    <w:rsid w:val="4D6D36A4"/>
    <w:rsid w:val="510903EF"/>
    <w:rsid w:val="53F137F4"/>
    <w:rsid w:val="54086FAE"/>
    <w:rsid w:val="543A6906"/>
    <w:rsid w:val="56850CBB"/>
    <w:rsid w:val="56DA366D"/>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 w:type="paragraph" w:customStyle="1" w:styleId="18">
    <w:name w:val="Revision"/>
    <w:hidden/>
    <w:unhideWhenUsed/>
    <w:qFormat/>
    <w:uiPriority w:val="99"/>
    <w:rPr>
      <w:rFonts w:ascii="仿宋" w:hAnsi="仿宋" w:eastAsia="仿宋" w:cs="仿宋"/>
      <w:sz w:val="22"/>
      <w:szCs w:val="22"/>
      <w:lang w:val="zh-CN" w:eastAsia="zh-CN" w:bidi="zh-CN"/>
    </w:rPr>
  </w:style>
  <w:style w:type="paragraph" w:customStyle="1" w:styleId="19">
    <w:name w:val="_Style 6"/>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5B89-5451-4C4B-B560-037EDB3B84DB}">
  <ds:schemaRefs/>
</ds:datastoreItem>
</file>

<file path=docProps/app.xml><?xml version="1.0" encoding="utf-8"?>
<Properties xmlns="http://schemas.openxmlformats.org/officeDocument/2006/extended-properties" xmlns:vt="http://schemas.openxmlformats.org/officeDocument/2006/docPropsVTypes">
  <Template>Normal</Template>
  <Pages>3</Pages>
  <Words>410</Words>
  <Characters>2341</Characters>
  <Lines>19</Lines>
  <Paragraphs>5</Paragraphs>
  <TotalTime>176</TotalTime>
  <ScaleCrop>false</ScaleCrop>
  <LinksUpToDate>false</LinksUpToDate>
  <CharactersWithSpaces>2746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Ding</cp:lastModifiedBy>
  <cp:lastPrinted>2024-09-18T01:07:00Z</cp:lastPrinted>
  <dcterms:modified xsi:type="dcterms:W3CDTF">2024-09-18T07:58:15Z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57D148DF2F764966BF4E1C38A6255FA2</vt:lpwstr>
  </property>
</Properties>
</file>