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C8150">
      <w:pPr>
        <w:rPr>
          <w:rFonts w:ascii="宋体" w:hAnsi="宋体"/>
          <w:b/>
          <w:bCs/>
          <w:szCs w:val="24"/>
        </w:rPr>
      </w:pPr>
      <w:r>
        <w:rPr>
          <w:rFonts w:hint="eastAsia" w:ascii="宋体" w:hAnsi="宋体"/>
          <w:b/>
          <w:bCs/>
          <w:szCs w:val="24"/>
        </w:rPr>
        <w:t>证券简称：</w:t>
      </w:r>
      <w:r>
        <w:rPr>
          <w:rFonts w:hint="eastAsia" w:ascii="宋体" w:hAnsi="宋体"/>
          <w:b/>
          <w:bCs/>
          <w:szCs w:val="24"/>
          <w:lang w:eastAsia="zh-CN"/>
        </w:rPr>
        <w:t>长白山</w:t>
      </w:r>
      <w:r>
        <w:rPr>
          <w:rFonts w:hint="eastAsia" w:ascii="宋体" w:hAnsi="宋体"/>
          <w:b/>
          <w:bCs/>
          <w:szCs w:val="24"/>
        </w:rPr>
        <w:t xml:space="preserve"> </w:t>
      </w:r>
      <w:r>
        <w:rPr>
          <w:rFonts w:ascii="宋体" w:hAnsi="宋体"/>
          <w:b/>
          <w:bCs/>
          <w:szCs w:val="24"/>
        </w:rPr>
        <w:t xml:space="preserve">  </w:t>
      </w:r>
      <w:r>
        <w:rPr>
          <w:rFonts w:hint="eastAsia" w:ascii="宋体" w:hAnsi="宋体"/>
          <w:b/>
          <w:bCs/>
          <w:szCs w:val="24"/>
        </w:rPr>
        <w:t xml:space="preserve"> </w:t>
      </w:r>
      <w:r>
        <w:rPr>
          <w:rFonts w:ascii="宋体" w:hAnsi="宋体"/>
          <w:b/>
          <w:bCs/>
          <w:szCs w:val="24"/>
        </w:rPr>
        <w:t xml:space="preserve">   </w:t>
      </w:r>
      <w:r>
        <w:rPr>
          <w:rFonts w:hint="eastAsia" w:ascii="宋体" w:hAnsi="宋体"/>
          <w:b/>
          <w:bCs/>
          <w:szCs w:val="24"/>
        </w:rPr>
        <w:t xml:space="preserve"> </w:t>
      </w:r>
      <w:r>
        <w:rPr>
          <w:rFonts w:ascii="宋体" w:hAnsi="宋体"/>
          <w:b/>
          <w:bCs/>
          <w:szCs w:val="24"/>
        </w:rPr>
        <w:t xml:space="preserve"> </w:t>
      </w:r>
      <w:r>
        <w:rPr>
          <w:rFonts w:hint="eastAsia" w:ascii="宋体" w:hAnsi="宋体"/>
          <w:b/>
          <w:bCs/>
          <w:szCs w:val="24"/>
        </w:rPr>
        <w:t xml:space="preserve"> </w:t>
      </w:r>
      <w:r>
        <w:rPr>
          <w:rFonts w:hint="eastAsia" w:ascii="宋体" w:hAnsi="宋体"/>
          <w:b/>
          <w:bCs/>
          <w:szCs w:val="24"/>
          <w:lang w:val="en-US" w:eastAsia="zh-CN"/>
        </w:rPr>
        <w:t xml:space="preserve">                          </w:t>
      </w:r>
      <w:r>
        <w:rPr>
          <w:rFonts w:hint="eastAsia" w:ascii="宋体" w:hAnsi="宋体"/>
          <w:b/>
          <w:bCs/>
          <w:szCs w:val="24"/>
        </w:rPr>
        <w:t>证券代码：</w:t>
      </w:r>
      <w:r>
        <w:rPr>
          <w:rFonts w:hint="eastAsia" w:ascii="宋体" w:hAnsi="宋体"/>
          <w:b/>
          <w:bCs/>
          <w:szCs w:val="24"/>
          <w:lang w:val="en-US" w:eastAsia="zh-CN"/>
        </w:rPr>
        <w:t>603099</w:t>
      </w:r>
      <w:r>
        <w:rPr>
          <w:rFonts w:ascii="宋体" w:hAnsi="宋体"/>
          <w:b/>
          <w:bCs/>
          <w:szCs w:val="24"/>
        </w:rPr>
        <w:t xml:space="preserve">  </w:t>
      </w:r>
      <w:r>
        <w:rPr>
          <w:rFonts w:hint="eastAsia" w:ascii="宋体" w:hAnsi="宋体"/>
          <w:b/>
          <w:bCs/>
          <w:szCs w:val="24"/>
        </w:rPr>
        <w:t xml:space="preserve">  </w:t>
      </w:r>
      <w:r>
        <w:rPr>
          <w:rFonts w:ascii="宋体" w:hAnsi="宋体"/>
          <w:b/>
          <w:bCs/>
          <w:szCs w:val="24"/>
        </w:rPr>
        <w:t xml:space="preserve">    </w:t>
      </w:r>
      <w:r>
        <w:rPr>
          <w:rFonts w:hint="eastAsia" w:ascii="宋体" w:hAnsi="宋体"/>
          <w:b/>
          <w:bCs/>
          <w:szCs w:val="24"/>
        </w:rPr>
        <w:t xml:space="preserve"> </w:t>
      </w:r>
      <w:r>
        <w:rPr>
          <w:rFonts w:ascii="宋体" w:hAnsi="宋体"/>
          <w:b/>
          <w:bCs/>
          <w:szCs w:val="24"/>
        </w:rPr>
        <w:t xml:space="preserve"> </w:t>
      </w:r>
    </w:p>
    <w:p w14:paraId="652BE066">
      <w:pPr>
        <w:jc w:val="center"/>
        <w:rPr>
          <w:b/>
          <w:bCs/>
          <w:sz w:val="28"/>
          <w:szCs w:val="28"/>
        </w:rPr>
      </w:pPr>
    </w:p>
    <w:p w14:paraId="4E896900">
      <w:pPr>
        <w:jc w:val="center"/>
        <w:rPr>
          <w:b/>
          <w:bCs/>
          <w:sz w:val="28"/>
          <w:szCs w:val="28"/>
        </w:rPr>
      </w:pPr>
      <w:r>
        <w:rPr>
          <w:rFonts w:hint="eastAsia"/>
          <w:b/>
          <w:bCs/>
          <w:sz w:val="28"/>
          <w:szCs w:val="28"/>
          <w:lang w:eastAsia="zh-CN"/>
        </w:rPr>
        <w:t>长白山旅游</w:t>
      </w:r>
      <w:r>
        <w:rPr>
          <w:rFonts w:hint="eastAsia"/>
          <w:b/>
          <w:bCs/>
          <w:sz w:val="28"/>
          <w:szCs w:val="28"/>
        </w:rPr>
        <w:t>股份有限公司</w:t>
      </w:r>
    </w:p>
    <w:p w14:paraId="1D3CBC58">
      <w:pPr>
        <w:jc w:val="center"/>
        <w:rPr>
          <w:b/>
          <w:bCs/>
          <w:sz w:val="28"/>
          <w:szCs w:val="28"/>
        </w:rPr>
      </w:pPr>
      <w:r>
        <w:rPr>
          <w:rFonts w:hint="eastAsia"/>
          <w:b/>
          <w:bCs/>
          <w:sz w:val="28"/>
          <w:szCs w:val="28"/>
        </w:rPr>
        <w:t>投资者关系活动记录表</w:t>
      </w:r>
      <w:bookmarkStart w:id="0" w:name="_GoBack"/>
      <w:bookmarkEnd w:id="0"/>
    </w:p>
    <w:p w14:paraId="7BD36401">
      <w:pPr>
        <w:spacing w:line="200" w:lineRule="exact"/>
        <w:jc w:val="center"/>
        <w:rPr>
          <w:b/>
          <w:bCs/>
          <w:sz w:val="28"/>
          <w:szCs w:val="28"/>
        </w:rPr>
      </w:pPr>
    </w:p>
    <w:tbl>
      <w:tblPr>
        <w:tblStyle w:val="6"/>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6378"/>
      </w:tblGrid>
      <w:tr w14:paraId="425D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59CCC54C">
            <w:pPr>
              <w:jc w:val="center"/>
              <w:rPr>
                <w:b/>
                <w:bCs/>
                <w:szCs w:val="24"/>
              </w:rPr>
            </w:pPr>
            <w:r>
              <w:rPr>
                <w:rFonts w:hint="eastAsia"/>
                <w:b/>
                <w:bCs/>
                <w:szCs w:val="24"/>
              </w:rPr>
              <w:t>投资者关系活动</w:t>
            </w:r>
          </w:p>
          <w:p w14:paraId="6FE21B58">
            <w:pPr>
              <w:jc w:val="center"/>
              <w:rPr>
                <w:b/>
                <w:bCs/>
                <w:szCs w:val="24"/>
              </w:rPr>
            </w:pPr>
            <w:r>
              <w:rPr>
                <w:rFonts w:hint="eastAsia"/>
                <w:b/>
                <w:bCs/>
                <w:szCs w:val="24"/>
              </w:rPr>
              <w:t>类别</w:t>
            </w:r>
          </w:p>
        </w:tc>
        <w:tc>
          <w:tcPr>
            <w:tcW w:w="6378" w:type="dxa"/>
          </w:tcPr>
          <w:p w14:paraId="141B7BCD">
            <w:pPr>
              <w:spacing w:line="360" w:lineRule="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44EB060F">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sym w:font="Wingdings 2" w:char="F052"/>
            </w:r>
            <w:r>
              <w:rPr>
                <w:rFonts w:hint="eastAsia" w:ascii="宋体" w:hAnsi="宋体"/>
                <w:szCs w:val="24"/>
              </w:rPr>
              <w:t>业绩说明会</w:t>
            </w:r>
          </w:p>
          <w:p w14:paraId="3D3BF3E3">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50400072">
            <w:pPr>
              <w:spacing w:line="360" w:lineRule="auto"/>
              <w:rPr>
                <w:rFonts w:ascii="宋体" w:hAnsi="宋体"/>
                <w:szCs w:val="24"/>
              </w:rPr>
            </w:pPr>
            <w:r>
              <w:rPr>
                <w:rFonts w:hint="eastAsia" w:ascii="宋体" w:hAnsi="宋体"/>
                <w:szCs w:val="24"/>
              </w:rPr>
              <w:t>□现场参观        □其他（</w:t>
            </w:r>
            <w:r>
              <w:rPr>
                <w:rFonts w:hint="eastAsia" w:ascii="宋体" w:hAnsi="宋体"/>
                <w:szCs w:val="24"/>
                <w:u w:val="thick"/>
              </w:rPr>
              <w:t>请文字说明其他活动内容</w:t>
            </w:r>
            <w:r>
              <w:rPr>
                <w:rFonts w:hint="eastAsia" w:ascii="宋体" w:hAnsi="宋体"/>
                <w:szCs w:val="24"/>
              </w:rPr>
              <w:t>）</w:t>
            </w:r>
          </w:p>
        </w:tc>
      </w:tr>
      <w:tr w14:paraId="5164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69" w:type="dxa"/>
            <w:vAlign w:val="center"/>
          </w:tcPr>
          <w:p w14:paraId="4F96A5A3">
            <w:pPr>
              <w:jc w:val="center"/>
              <w:rPr>
                <w:rFonts w:ascii="宋体" w:hAnsi="宋体"/>
                <w:b/>
                <w:bCs/>
                <w:szCs w:val="24"/>
              </w:rPr>
            </w:pPr>
            <w:r>
              <w:rPr>
                <w:rFonts w:hint="eastAsia" w:ascii="宋体" w:hAnsi="宋体"/>
                <w:b/>
                <w:bCs/>
                <w:szCs w:val="24"/>
              </w:rPr>
              <w:t>时间</w:t>
            </w:r>
          </w:p>
        </w:tc>
        <w:tc>
          <w:tcPr>
            <w:tcW w:w="6378" w:type="dxa"/>
            <w:vAlign w:val="center"/>
          </w:tcPr>
          <w:p w14:paraId="615D3FC5">
            <w:pPr>
              <w:rPr>
                <w:rFonts w:hint="default" w:ascii="宋体" w:hAnsi="宋体" w:eastAsia="宋体"/>
                <w:szCs w:val="24"/>
                <w:lang w:val="en-US" w:eastAsia="zh-CN"/>
              </w:rPr>
            </w:pPr>
            <w:r>
              <w:rPr>
                <w:rFonts w:hint="eastAsia" w:ascii="宋体" w:hAnsi="宋体"/>
                <w:szCs w:val="24"/>
              </w:rPr>
              <w:t>202</w:t>
            </w:r>
            <w:r>
              <w:rPr>
                <w:rFonts w:ascii="宋体" w:hAnsi="宋体"/>
                <w:szCs w:val="24"/>
              </w:rPr>
              <w:t>4</w:t>
            </w:r>
            <w:r>
              <w:rPr>
                <w:rFonts w:hint="eastAsia" w:ascii="宋体" w:hAnsi="宋体"/>
                <w:szCs w:val="24"/>
              </w:rPr>
              <w:t>年</w:t>
            </w:r>
            <w:r>
              <w:rPr>
                <w:rFonts w:hint="eastAsia" w:ascii="宋体" w:hAnsi="宋体"/>
                <w:szCs w:val="24"/>
                <w:lang w:val="en-US" w:eastAsia="zh-CN"/>
              </w:rPr>
              <w:t>9</w:t>
            </w:r>
            <w:r>
              <w:rPr>
                <w:rFonts w:hint="eastAsia" w:ascii="宋体" w:hAnsi="宋体"/>
                <w:szCs w:val="24"/>
              </w:rPr>
              <w:t>月</w:t>
            </w:r>
            <w:r>
              <w:rPr>
                <w:rFonts w:hint="eastAsia" w:ascii="宋体" w:hAnsi="宋体"/>
                <w:szCs w:val="24"/>
                <w:lang w:val="en-US" w:eastAsia="zh-CN"/>
              </w:rPr>
              <w:t>20</w:t>
            </w:r>
            <w:r>
              <w:rPr>
                <w:rFonts w:hint="eastAsia" w:ascii="宋体" w:hAnsi="宋体"/>
                <w:szCs w:val="24"/>
              </w:rPr>
              <w:t>日</w:t>
            </w:r>
            <w:r>
              <w:rPr>
                <w:rFonts w:hint="eastAsia" w:ascii="宋体" w:hAnsi="宋体"/>
                <w:szCs w:val="24"/>
                <w:lang w:eastAsia="zh-CN"/>
              </w:rPr>
              <w:t>（周五）</w:t>
            </w:r>
            <w:r>
              <w:rPr>
                <w:rFonts w:hint="eastAsia" w:ascii="宋体" w:hAnsi="宋体"/>
                <w:szCs w:val="24"/>
              </w:rPr>
              <w:t xml:space="preserve"> </w:t>
            </w:r>
            <w:r>
              <w:rPr>
                <w:rFonts w:hint="eastAsia" w:ascii="宋体" w:hAnsi="宋体"/>
                <w:szCs w:val="24"/>
                <w:lang w:eastAsia="zh-CN"/>
              </w:rPr>
              <w:t>下</w:t>
            </w:r>
            <w:r>
              <w:rPr>
                <w:rFonts w:hint="eastAsia" w:ascii="宋体" w:hAnsi="宋体"/>
                <w:szCs w:val="24"/>
              </w:rPr>
              <w:t>午</w:t>
            </w:r>
            <w:r>
              <w:rPr>
                <w:rFonts w:hint="eastAsia" w:ascii="宋体" w:hAnsi="宋体"/>
                <w:szCs w:val="24"/>
                <w:lang w:val="en-US" w:eastAsia="zh-CN"/>
              </w:rPr>
              <w:t>15</w:t>
            </w:r>
            <w:r>
              <w:rPr>
                <w:rFonts w:ascii="宋体" w:hAnsi="宋体"/>
                <w:szCs w:val="24"/>
              </w:rPr>
              <w:t>:00-</w:t>
            </w:r>
            <w:r>
              <w:rPr>
                <w:rFonts w:hint="eastAsia" w:ascii="宋体" w:hAnsi="宋体"/>
                <w:szCs w:val="24"/>
                <w:lang w:val="en-US" w:eastAsia="zh-CN"/>
              </w:rPr>
              <w:t>16</w:t>
            </w:r>
            <w:r>
              <w:rPr>
                <w:rFonts w:hint="eastAsia" w:ascii="宋体" w:hAnsi="宋体"/>
                <w:szCs w:val="24"/>
              </w:rPr>
              <w:t>:</w:t>
            </w:r>
            <w:r>
              <w:rPr>
                <w:rFonts w:hint="eastAsia" w:ascii="宋体" w:hAnsi="宋体"/>
                <w:szCs w:val="24"/>
                <w:lang w:val="en-US" w:eastAsia="zh-CN"/>
              </w:rPr>
              <w:t>00</w:t>
            </w:r>
          </w:p>
        </w:tc>
      </w:tr>
      <w:tr w14:paraId="15E4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69" w:type="dxa"/>
            <w:vAlign w:val="center"/>
          </w:tcPr>
          <w:p w14:paraId="3124768F">
            <w:pPr>
              <w:jc w:val="center"/>
              <w:rPr>
                <w:rFonts w:ascii="宋体" w:hAnsi="宋体"/>
                <w:b/>
                <w:bCs/>
                <w:szCs w:val="24"/>
              </w:rPr>
            </w:pPr>
            <w:r>
              <w:rPr>
                <w:rFonts w:hint="eastAsia" w:ascii="宋体" w:hAnsi="宋体"/>
                <w:b/>
                <w:bCs/>
                <w:szCs w:val="24"/>
              </w:rPr>
              <w:t>地点</w:t>
            </w:r>
          </w:p>
        </w:tc>
        <w:tc>
          <w:tcPr>
            <w:tcW w:w="6378" w:type="dxa"/>
            <w:vAlign w:val="center"/>
          </w:tcPr>
          <w:p w14:paraId="5EE51860">
            <w:pPr>
              <w:rPr>
                <w:rFonts w:ascii="宋体" w:hAnsi="宋体"/>
                <w:szCs w:val="24"/>
              </w:rPr>
            </w:pPr>
            <w:r>
              <w:rPr>
                <w:rFonts w:hint="eastAsia" w:ascii="宋体" w:hAnsi="宋体"/>
                <w:szCs w:val="24"/>
                <w:lang w:eastAsia="zh-CN"/>
              </w:rPr>
              <w:t>进门财经</w:t>
            </w:r>
            <w:r>
              <w:rPr>
                <w:rFonts w:hint="eastAsia" w:ascii="宋体" w:hAnsi="宋体"/>
                <w:szCs w:val="24"/>
              </w:rPr>
              <w:t>（网址 ：</w:t>
            </w:r>
            <w:r>
              <w:rPr>
                <w:rFonts w:ascii="宋体" w:hAnsi="宋体" w:eastAsia="宋体" w:cs="宋体"/>
                <w:sz w:val="24"/>
                <w:szCs w:val="24"/>
              </w:rPr>
              <w:t>（https://s.comein.cn/ABcAW</w:t>
            </w:r>
            <w:r>
              <w:rPr>
                <w:rFonts w:hint="eastAsia" w:ascii="宋体" w:hAnsi="宋体"/>
                <w:szCs w:val="24"/>
              </w:rPr>
              <w:t>）</w:t>
            </w:r>
          </w:p>
        </w:tc>
      </w:tr>
      <w:tr w14:paraId="3765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269" w:type="dxa"/>
            <w:vAlign w:val="center"/>
          </w:tcPr>
          <w:p w14:paraId="0BE2A0E8">
            <w:pPr>
              <w:jc w:val="center"/>
              <w:rPr>
                <w:rFonts w:ascii="宋体" w:hAnsi="宋体"/>
                <w:b/>
                <w:bCs/>
                <w:szCs w:val="24"/>
              </w:rPr>
            </w:pPr>
            <w:r>
              <w:rPr>
                <w:rFonts w:hint="eastAsia" w:ascii="宋体" w:hAnsi="宋体"/>
                <w:b/>
                <w:bCs/>
                <w:szCs w:val="24"/>
              </w:rPr>
              <w:t>上市公司接待人员</w:t>
            </w:r>
          </w:p>
          <w:p w14:paraId="0D1F500D">
            <w:pPr>
              <w:jc w:val="center"/>
              <w:rPr>
                <w:rFonts w:ascii="宋体" w:hAnsi="宋体"/>
                <w:b/>
                <w:bCs/>
                <w:szCs w:val="24"/>
              </w:rPr>
            </w:pPr>
            <w:r>
              <w:rPr>
                <w:rFonts w:hint="eastAsia" w:ascii="宋体" w:hAnsi="宋体"/>
                <w:b/>
                <w:bCs/>
                <w:szCs w:val="24"/>
              </w:rPr>
              <w:t>姓名</w:t>
            </w:r>
          </w:p>
        </w:tc>
        <w:tc>
          <w:tcPr>
            <w:tcW w:w="6378" w:type="dxa"/>
            <w:vAlign w:val="center"/>
          </w:tcPr>
          <w:p w14:paraId="728C8CAC">
            <w:pPr>
              <w:rPr>
                <w:rFonts w:hint="eastAsia" w:ascii="宋体" w:hAnsi="宋体" w:eastAsia="宋体"/>
                <w:szCs w:val="24"/>
                <w:lang w:eastAsia="zh-CN"/>
              </w:rPr>
            </w:pPr>
            <w:r>
              <w:rPr>
                <w:rFonts w:hint="eastAsia" w:ascii="宋体" w:hAnsi="宋体"/>
                <w:szCs w:val="24"/>
              </w:rPr>
              <w:t>董事长、总经理：</w:t>
            </w:r>
            <w:r>
              <w:rPr>
                <w:rFonts w:hint="eastAsia" w:ascii="宋体" w:hAnsi="宋体"/>
                <w:szCs w:val="24"/>
                <w:lang w:eastAsia="zh-CN"/>
              </w:rPr>
              <w:t>王昆</w:t>
            </w:r>
          </w:p>
          <w:p w14:paraId="14FD8F0F">
            <w:pPr>
              <w:rPr>
                <w:rFonts w:hint="eastAsia" w:ascii="宋体" w:hAnsi="宋体"/>
                <w:szCs w:val="24"/>
                <w:lang w:eastAsia="zh-CN"/>
              </w:rPr>
            </w:pPr>
            <w:r>
              <w:rPr>
                <w:rFonts w:hint="eastAsia" w:ascii="宋体" w:hAnsi="宋体"/>
                <w:szCs w:val="24"/>
              </w:rPr>
              <w:t>董事会秘书：</w:t>
            </w:r>
            <w:r>
              <w:rPr>
                <w:rFonts w:hint="eastAsia" w:ascii="宋体" w:hAnsi="宋体"/>
                <w:szCs w:val="24"/>
                <w:lang w:eastAsia="zh-CN"/>
              </w:rPr>
              <w:t>段国岩</w:t>
            </w:r>
          </w:p>
          <w:p w14:paraId="577629AE">
            <w:pPr>
              <w:rPr>
                <w:rFonts w:hint="eastAsia" w:ascii="宋体" w:hAnsi="宋体"/>
                <w:szCs w:val="24"/>
                <w:lang w:eastAsia="zh-CN"/>
              </w:rPr>
            </w:pPr>
            <w:r>
              <w:rPr>
                <w:rFonts w:hint="eastAsia" w:ascii="宋体" w:hAnsi="宋体"/>
                <w:szCs w:val="24"/>
                <w:lang w:eastAsia="zh-CN"/>
              </w:rPr>
              <w:t>证券事务代表：韩望</w:t>
            </w:r>
          </w:p>
          <w:p w14:paraId="054EB441">
            <w:pPr>
              <w:rPr>
                <w:rFonts w:hint="eastAsia" w:ascii="宋体" w:hAnsi="宋体" w:eastAsia="宋体"/>
                <w:szCs w:val="24"/>
                <w:lang w:eastAsia="zh-CN"/>
              </w:rPr>
            </w:pPr>
            <w:r>
              <w:rPr>
                <w:rFonts w:hint="eastAsia" w:ascii="宋体" w:hAnsi="宋体"/>
                <w:szCs w:val="24"/>
              </w:rPr>
              <w:t>独立董事：</w:t>
            </w:r>
            <w:r>
              <w:rPr>
                <w:rFonts w:hint="eastAsia" w:ascii="宋体" w:hAnsi="宋体"/>
                <w:szCs w:val="24"/>
                <w:lang w:eastAsia="zh-CN"/>
              </w:rPr>
              <w:t>张超</w:t>
            </w:r>
          </w:p>
        </w:tc>
      </w:tr>
      <w:tr w14:paraId="1C6F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14:paraId="590B80C2">
            <w:pPr>
              <w:jc w:val="center"/>
              <w:rPr>
                <w:rFonts w:ascii="宋体" w:hAnsi="宋体"/>
                <w:b/>
                <w:bCs/>
                <w:szCs w:val="24"/>
              </w:rPr>
            </w:pPr>
            <w:r>
              <w:rPr>
                <w:rFonts w:hint="eastAsia" w:ascii="宋体" w:hAnsi="宋体"/>
                <w:b/>
                <w:bCs/>
                <w:szCs w:val="24"/>
              </w:rPr>
              <w:t>投资者关系活动主要内容介绍</w:t>
            </w:r>
          </w:p>
        </w:tc>
        <w:tc>
          <w:tcPr>
            <w:tcW w:w="6378" w:type="dxa"/>
            <w:vAlign w:val="center"/>
          </w:tcPr>
          <w:p w14:paraId="3195585F">
            <w:pPr>
              <w:rPr>
                <w:rFonts w:hint="eastAsia" w:ascii="宋体" w:hAnsi="宋体"/>
              </w:rPr>
            </w:pPr>
            <w:r>
              <w:rPr>
                <w:rFonts w:hint="eastAsia" w:ascii="宋体" w:hAnsi="宋体"/>
              </w:rPr>
              <w:t>1、今年上半年公司整体经营情况如何？</w:t>
            </w:r>
          </w:p>
          <w:p w14:paraId="5DC8B8CF">
            <w:pPr>
              <w:rPr>
                <w:rFonts w:hint="eastAsia" w:ascii="宋体" w:hAnsi="宋体"/>
              </w:rPr>
            </w:pPr>
            <w:r>
              <w:rPr>
                <w:rFonts w:hint="eastAsia" w:ascii="宋体" w:hAnsi="宋体"/>
              </w:rPr>
              <w:t>截至2024年6月末，长白山景区累计接待游客108.7万人次，同比增幅64.3%。报告期内，公司实现营业收入2.54亿元，同比增幅51.73%，净利润2103.3万元，同比涨幅71.7%。</w:t>
            </w:r>
          </w:p>
          <w:p w14:paraId="3A83BF13">
            <w:pPr>
              <w:rPr>
                <w:rFonts w:hint="eastAsia" w:ascii="宋体" w:hAnsi="宋体"/>
              </w:rPr>
            </w:pPr>
            <w:r>
              <w:rPr>
                <w:rFonts w:hint="eastAsia" w:ascii="宋体" w:hAnsi="宋体"/>
              </w:rPr>
              <w:t>一季度冰雪旅游呈现强劲发展势头，公司相继推出滑雪、戏雪、赏雪、泡温泉等冰雪旅游产品，不断完善以互联网平台为主的营销模式，景区旅游接待人数实现较大提升，一季度长白山景区接待游客42.9万人次，同比增长161.8%。二季度公司更新了部分老旧车辆，首批网约车正式上线运营，完成公交车公司和业务收购，增购新能源车辆，调整优化运营线路，进一步强化覆盖范围和服务效率。推出“延吉—北景区”直通车服务，强化长白山与延边地区交通联动。二季度长白山景区接待游客62万人次，同比增长33%。</w:t>
            </w:r>
          </w:p>
          <w:p w14:paraId="246EF3CC">
            <w:pPr>
              <w:rPr>
                <w:rFonts w:hint="eastAsia" w:ascii="宋体" w:hAnsi="宋体"/>
              </w:rPr>
            </w:pPr>
            <w:r>
              <w:rPr>
                <w:rFonts w:hint="eastAsia" w:ascii="宋体" w:hAnsi="宋体"/>
              </w:rPr>
              <w:t>2、智行公司和酒店板块为什么同比2023年收入增加，净利润却下降？</w:t>
            </w:r>
          </w:p>
          <w:p w14:paraId="497B3DBD">
            <w:pPr>
              <w:rPr>
                <w:rFonts w:hint="eastAsia" w:ascii="宋体" w:hAnsi="宋体"/>
              </w:rPr>
            </w:pPr>
            <w:r>
              <w:rPr>
                <w:rFonts w:hint="eastAsia" w:ascii="宋体" w:hAnsi="宋体"/>
              </w:rPr>
              <w:t>智行公司上半年收购长白山保护开发区泽亨公共汽车服务有限公司，为满足班线、包车、公交车、网约车业务，还新增多种车型和车辆，由于部分班线业务由运营部调整到智行公司，固定资产摊销、人工成本增加，导致了净利润降低。</w:t>
            </w:r>
          </w:p>
          <w:p w14:paraId="57A9C8A0">
            <w:pPr>
              <w:rPr>
                <w:rFonts w:hint="eastAsia" w:ascii="宋体" w:hAnsi="宋体"/>
              </w:rPr>
            </w:pPr>
            <w:r>
              <w:rPr>
                <w:rFonts w:hint="eastAsia" w:ascii="宋体" w:hAnsi="宋体"/>
              </w:rPr>
              <w:t>酒店板块净利润同比减少主要三方面原因：一是皇冠假日酒店开业运营已达7年，日常维修维护费增加；二是截止2023年底以前年度发生亏损且属于企业所得税法规定弥补的金额已全部弥补完，2024年正常缴纳所得税。三是上半年酒店板块工资及相关费用增长。</w:t>
            </w:r>
          </w:p>
          <w:p w14:paraId="2F7AC652">
            <w:pPr>
              <w:rPr>
                <w:rFonts w:hint="eastAsia" w:ascii="宋体" w:hAnsi="宋体"/>
              </w:rPr>
            </w:pPr>
            <w:r>
              <w:rPr>
                <w:rFonts w:hint="eastAsia" w:ascii="宋体" w:hAnsi="宋体"/>
              </w:rPr>
              <w:t>3、未来长白山旅游将呈现哪些变化和特点？</w:t>
            </w:r>
          </w:p>
          <w:p w14:paraId="4E27CC1A">
            <w:pPr>
              <w:rPr>
                <w:rFonts w:hint="eastAsia" w:ascii="宋体" w:hAnsi="宋体"/>
              </w:rPr>
            </w:pPr>
            <w:r>
              <w:rPr>
                <w:rFonts w:hint="eastAsia" w:ascii="宋体" w:hAnsi="宋体"/>
              </w:rPr>
              <w:t>从长白山景区入区游客看，目前呈现以下特点：一方面伴随着旅游市场的成熟、旅游信息透明以及游客消费观念的改变，旅游消费日趋理性化，散客化出行愈加被游客接受；另一方面旅游成为人们改善生活质量、提升生活品质的重要方式，游客出行方式更倾向于通过线上预订自主安排行程。在年龄结构方面，参照各年龄段之间的比重可以看出年轻化趋势，一方面冰雪旅游热度持续提升，吸引了更多年轻群体体验冰雪。二是自驾游、深度游、探险游等新旅游方式和产品的涌现，更加符合年轻人的需求和偏好，年轻群体追求个性化和体验式的旅游，倾向于选择独立旅行和自驾旅游，了解和体验目的地文化和特色风俗。</w:t>
            </w:r>
          </w:p>
          <w:p w14:paraId="2EC4D100">
            <w:pPr>
              <w:rPr>
                <w:rFonts w:hint="eastAsia" w:ascii="宋体" w:hAnsi="宋体"/>
              </w:rPr>
            </w:pPr>
            <w:r>
              <w:rPr>
                <w:rFonts w:hint="eastAsia" w:ascii="宋体" w:hAnsi="宋体"/>
              </w:rPr>
              <w:t>4、当前游客的客源结构？</w:t>
            </w:r>
          </w:p>
          <w:p w14:paraId="32C195F1">
            <w:pPr>
              <w:rPr>
                <w:rFonts w:hint="eastAsia" w:ascii="宋体" w:hAnsi="宋体"/>
              </w:rPr>
            </w:pPr>
            <w:r>
              <w:rPr>
                <w:rFonts w:hint="eastAsia" w:ascii="宋体" w:hAnsi="宋体"/>
              </w:rPr>
              <w:t>客源结构方面，随着我国旅游业的不断发展以及长白山交通出行的不断改善，长白山景区客源市场分布比较广泛，主要客源市场总体相对稳定，但季节性差异导致主要客源地呈现分化趋势。从长白山景区入区游客构成看，一季度受冰雪旅游热度影响，客源主要以华东、华南省份为主，广东、江苏、浙江占据前三位，合计占比36.06%，二季度受交通区位、游客需求等各方面因素影响，省内及周边游客较多，东北三省客源占比达35.48%；2024年上半年主要客源，东北地区占24.46%,华东占比22.17%，华南地区占比12.90%，海外市场主要以韩国游客为主，占比7.45%。</w:t>
            </w:r>
          </w:p>
          <w:p w14:paraId="59F9F108">
            <w:pPr>
              <w:rPr>
                <w:rFonts w:hint="eastAsia" w:ascii="宋体" w:hAnsi="宋体"/>
              </w:rPr>
            </w:pPr>
            <w:r>
              <w:rPr>
                <w:rFonts w:hint="eastAsia" w:ascii="宋体" w:hAnsi="宋体"/>
              </w:rPr>
              <w:t>5、非公开发行项目进行什么程度，是否能够完成?</w:t>
            </w:r>
          </w:p>
          <w:p w14:paraId="1A57111B">
            <w:pPr>
              <w:rPr>
                <w:rFonts w:hint="eastAsia" w:ascii="宋体" w:hAnsi="宋体"/>
              </w:rPr>
            </w:pPr>
            <w:r>
              <w:rPr>
                <w:rFonts w:hint="eastAsia" w:ascii="宋体" w:hAnsi="宋体"/>
              </w:rPr>
              <w:t>2024年1月25日收到上海证券交易所出具的《关于长白山旅游股份有限公司向特定对象发行股票申请文件的审核问询函》，公司于2024年3月30日在上海证券交易所披露了问询函的回复内容。目前，本次向特定对象发行A股股票事项尚在上交所审核过程中，后续详见相关披露。</w:t>
            </w:r>
          </w:p>
          <w:p w14:paraId="41C0A7FC">
            <w:pPr>
              <w:rPr>
                <w:rFonts w:hint="eastAsia" w:ascii="宋体" w:hAnsi="宋体"/>
              </w:rPr>
            </w:pPr>
            <w:r>
              <w:rPr>
                <w:rFonts w:hint="eastAsia" w:ascii="宋体" w:hAnsi="宋体"/>
              </w:rPr>
              <w:t>6、沈白高铁开通对公司有何影响？公司是否会针对性的进行营销？</w:t>
            </w:r>
          </w:p>
          <w:p w14:paraId="442F3FDB">
            <w:pPr>
              <w:rPr>
                <w:rFonts w:hint="eastAsia" w:ascii="宋体" w:hAnsi="宋体"/>
              </w:rPr>
            </w:pPr>
            <w:r>
              <w:rPr>
                <w:rFonts w:hint="eastAsia" w:ascii="宋体" w:hAnsi="宋体"/>
              </w:rPr>
              <w:t>近期相关媒体报道，沈白高铁已经进入全线铺轨阶段，项目进展顺利。从相关报道了解，沈白高铁建成通车后，北京至长白山最短运行时间将压缩至4小时，沈阳至长白山最短运行时间压缩至1.5小时，实现了长白山与东北三省一区、京津冀地区的快捷交通。重大交通项目的建设开通为长白山旅游发展带了重大机遇，公司将密切关注项目进度动态和旅游产业发展机遇，加快温泉部落二期等项目建设，持续拓展景区、酒店等托管业务，不断丰富公司产品和服务，持续拓展线上营销和目的地营销，努力抢抓沈白高铁开通带来的客流增长红利。</w:t>
            </w:r>
          </w:p>
          <w:p w14:paraId="63388BBE">
            <w:pPr>
              <w:rPr>
                <w:rFonts w:hint="eastAsia" w:ascii="宋体" w:hAnsi="宋体"/>
              </w:rPr>
            </w:pPr>
            <w:r>
              <w:rPr>
                <w:rFonts w:hint="eastAsia" w:ascii="宋体" w:hAnsi="宋体"/>
              </w:rPr>
              <w:t>7、温泉部落二期项目进展情况？</w:t>
            </w:r>
          </w:p>
          <w:p w14:paraId="11414ACA">
            <w:pPr>
              <w:rPr>
                <w:rFonts w:hint="eastAsia" w:ascii="宋体" w:hAnsi="宋体"/>
              </w:rPr>
            </w:pPr>
            <w:r>
              <w:rPr>
                <w:rFonts w:hint="eastAsia" w:ascii="宋体" w:hAnsi="宋体"/>
              </w:rPr>
              <w:t>项目已于今年6月开工。本年度计划完成地下及地上二层主体结构施工。</w:t>
            </w:r>
          </w:p>
          <w:p w14:paraId="0450D667">
            <w:pPr>
              <w:rPr>
                <w:rFonts w:hint="eastAsia" w:ascii="宋体" w:hAnsi="宋体"/>
              </w:rPr>
            </w:pPr>
            <w:r>
              <w:rPr>
                <w:rFonts w:hint="eastAsia" w:ascii="宋体" w:hAnsi="宋体"/>
              </w:rPr>
              <w:t>8、2023年公司董事会通过了每10股派送现金0.78元，分配利润人民币2080万元，请您介绍一下今年公司对分红的考虑。</w:t>
            </w:r>
          </w:p>
          <w:p w14:paraId="2D7C1526">
            <w:pPr>
              <w:rPr>
                <w:rFonts w:ascii="宋体" w:hAnsi="宋体"/>
              </w:rPr>
            </w:pPr>
            <w:r>
              <w:rPr>
                <w:rFonts w:hint="eastAsia" w:ascii="宋体" w:hAnsi="宋体"/>
              </w:rPr>
              <w:t>公司高度重视投资者回报，上市以来公司累计分红1.22亿。未来公司将根据公司章程、监管指引，充分考虑公司发展阶段、内外部经营环境以及公司实际情况，尽力给予投资者更多回报。</w:t>
            </w:r>
          </w:p>
        </w:tc>
      </w:tr>
      <w:tr w14:paraId="3887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69" w:type="dxa"/>
            <w:vAlign w:val="center"/>
          </w:tcPr>
          <w:p w14:paraId="044F4AA8">
            <w:pPr>
              <w:jc w:val="center"/>
              <w:rPr>
                <w:rFonts w:ascii="宋体" w:hAnsi="宋体"/>
                <w:b/>
                <w:bCs/>
                <w:szCs w:val="24"/>
              </w:rPr>
            </w:pPr>
            <w:r>
              <w:rPr>
                <w:rFonts w:hint="eastAsia" w:ascii="宋体" w:hAnsi="宋体"/>
                <w:b/>
                <w:bCs/>
                <w:szCs w:val="24"/>
              </w:rPr>
              <w:t>附件清单（如有）</w:t>
            </w:r>
          </w:p>
        </w:tc>
        <w:tc>
          <w:tcPr>
            <w:tcW w:w="6378" w:type="dxa"/>
            <w:vAlign w:val="center"/>
          </w:tcPr>
          <w:p w14:paraId="70EFBF35">
            <w:pPr>
              <w:rPr>
                <w:rFonts w:ascii="宋体" w:hAnsi="宋体"/>
                <w:szCs w:val="24"/>
              </w:rPr>
            </w:pPr>
            <w:r>
              <w:rPr>
                <w:rFonts w:ascii="宋体" w:hAnsi="宋体"/>
                <w:szCs w:val="24"/>
              </w:rPr>
              <w:t>无</w:t>
            </w:r>
          </w:p>
        </w:tc>
      </w:tr>
      <w:tr w14:paraId="457C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269" w:type="dxa"/>
            <w:vAlign w:val="center"/>
          </w:tcPr>
          <w:p w14:paraId="39920BE8">
            <w:pPr>
              <w:jc w:val="center"/>
              <w:rPr>
                <w:rFonts w:ascii="宋体" w:hAnsi="宋体"/>
                <w:b/>
                <w:bCs/>
                <w:szCs w:val="24"/>
              </w:rPr>
            </w:pPr>
            <w:r>
              <w:rPr>
                <w:rFonts w:hint="eastAsia" w:ascii="宋体" w:hAnsi="宋体"/>
                <w:b/>
                <w:bCs/>
                <w:szCs w:val="24"/>
              </w:rPr>
              <w:t>日期</w:t>
            </w:r>
          </w:p>
        </w:tc>
        <w:tc>
          <w:tcPr>
            <w:tcW w:w="6378" w:type="dxa"/>
            <w:vAlign w:val="center"/>
          </w:tcPr>
          <w:p w14:paraId="32DF8EF6">
            <w:pPr>
              <w:rPr>
                <w:rFonts w:ascii="宋体" w:hAnsi="宋体"/>
                <w:szCs w:val="24"/>
              </w:rPr>
            </w:pPr>
            <w:r>
              <w:rPr>
                <w:rFonts w:hint="eastAsia" w:ascii="宋体" w:hAnsi="宋体"/>
                <w:szCs w:val="24"/>
              </w:rPr>
              <w:t>202</w:t>
            </w:r>
            <w:r>
              <w:rPr>
                <w:rFonts w:ascii="宋体" w:hAnsi="宋体"/>
                <w:szCs w:val="24"/>
              </w:rPr>
              <w:t>4</w:t>
            </w:r>
            <w:r>
              <w:rPr>
                <w:rFonts w:hint="eastAsia" w:ascii="宋体" w:hAnsi="宋体"/>
                <w:szCs w:val="24"/>
              </w:rPr>
              <w:t>年</w:t>
            </w:r>
            <w:r>
              <w:rPr>
                <w:rFonts w:hint="eastAsia" w:ascii="宋体" w:hAnsi="宋体"/>
                <w:szCs w:val="24"/>
                <w:lang w:val="en-US" w:eastAsia="zh-CN"/>
              </w:rPr>
              <w:t>9</w:t>
            </w:r>
            <w:r>
              <w:rPr>
                <w:rFonts w:hint="eastAsia" w:ascii="宋体" w:hAnsi="宋体"/>
                <w:szCs w:val="24"/>
              </w:rPr>
              <w:t>月</w:t>
            </w:r>
            <w:r>
              <w:rPr>
                <w:rFonts w:hint="eastAsia" w:ascii="宋体" w:hAnsi="宋体"/>
                <w:szCs w:val="24"/>
                <w:lang w:val="en-US" w:eastAsia="zh-CN"/>
              </w:rPr>
              <w:t>20</w:t>
            </w:r>
            <w:r>
              <w:rPr>
                <w:rFonts w:hint="eastAsia" w:ascii="宋体" w:hAnsi="宋体"/>
                <w:szCs w:val="24"/>
              </w:rPr>
              <w:t>日</w:t>
            </w:r>
          </w:p>
        </w:tc>
      </w:tr>
    </w:tbl>
    <w:p w14:paraId="697617F0">
      <w:pPr>
        <w:spacing w:line="360" w:lineRule="auto"/>
        <w:rPr>
          <w:sz w:val="28"/>
          <w:szCs w:val="28"/>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ZDYyMjFkOWRlYWVmODBhNTA4NWZiNjhhYmI1NGMifQ=="/>
  </w:docVars>
  <w:rsids>
    <w:rsidRoot w:val="00DC5E46"/>
    <w:rsid w:val="0001408E"/>
    <w:rsid w:val="00014AFA"/>
    <w:rsid w:val="000562D4"/>
    <w:rsid w:val="00071645"/>
    <w:rsid w:val="000744AF"/>
    <w:rsid w:val="000A4C2A"/>
    <w:rsid w:val="000B61FC"/>
    <w:rsid w:val="000C6E70"/>
    <w:rsid w:val="000D2872"/>
    <w:rsid w:val="000E1009"/>
    <w:rsid w:val="000E639D"/>
    <w:rsid w:val="00126C41"/>
    <w:rsid w:val="00135CDE"/>
    <w:rsid w:val="00150275"/>
    <w:rsid w:val="0015181E"/>
    <w:rsid w:val="001713BB"/>
    <w:rsid w:val="00171B17"/>
    <w:rsid w:val="001A446D"/>
    <w:rsid w:val="001C4585"/>
    <w:rsid w:val="001E188A"/>
    <w:rsid w:val="001E29DD"/>
    <w:rsid w:val="001F0F88"/>
    <w:rsid w:val="002026E5"/>
    <w:rsid w:val="0020500F"/>
    <w:rsid w:val="002155B8"/>
    <w:rsid w:val="00224651"/>
    <w:rsid w:val="00240F9A"/>
    <w:rsid w:val="0025627D"/>
    <w:rsid w:val="00261C49"/>
    <w:rsid w:val="0027392D"/>
    <w:rsid w:val="00291E87"/>
    <w:rsid w:val="002A0341"/>
    <w:rsid w:val="002C718C"/>
    <w:rsid w:val="002D2C3E"/>
    <w:rsid w:val="002F6388"/>
    <w:rsid w:val="003001A2"/>
    <w:rsid w:val="003637DF"/>
    <w:rsid w:val="003A341E"/>
    <w:rsid w:val="003A3A46"/>
    <w:rsid w:val="003B30C8"/>
    <w:rsid w:val="003C7805"/>
    <w:rsid w:val="003D2D27"/>
    <w:rsid w:val="003E5D1D"/>
    <w:rsid w:val="003F03AE"/>
    <w:rsid w:val="003F3C92"/>
    <w:rsid w:val="003F77D9"/>
    <w:rsid w:val="00407E8D"/>
    <w:rsid w:val="00444DFA"/>
    <w:rsid w:val="004472CE"/>
    <w:rsid w:val="004754E9"/>
    <w:rsid w:val="004B04AD"/>
    <w:rsid w:val="004C2680"/>
    <w:rsid w:val="004C3181"/>
    <w:rsid w:val="004D2802"/>
    <w:rsid w:val="004D662F"/>
    <w:rsid w:val="004E40CA"/>
    <w:rsid w:val="004E783D"/>
    <w:rsid w:val="004F188F"/>
    <w:rsid w:val="004F7F2D"/>
    <w:rsid w:val="0050717C"/>
    <w:rsid w:val="00513BB5"/>
    <w:rsid w:val="005158FD"/>
    <w:rsid w:val="005A3136"/>
    <w:rsid w:val="005D097E"/>
    <w:rsid w:val="005E3122"/>
    <w:rsid w:val="005F0BA5"/>
    <w:rsid w:val="005F38C6"/>
    <w:rsid w:val="00630C6F"/>
    <w:rsid w:val="00634437"/>
    <w:rsid w:val="00644706"/>
    <w:rsid w:val="00647F00"/>
    <w:rsid w:val="006701BC"/>
    <w:rsid w:val="00690C05"/>
    <w:rsid w:val="00745314"/>
    <w:rsid w:val="00747CEE"/>
    <w:rsid w:val="007549D9"/>
    <w:rsid w:val="00773191"/>
    <w:rsid w:val="00773E29"/>
    <w:rsid w:val="00795F23"/>
    <w:rsid w:val="007F7B93"/>
    <w:rsid w:val="00807E2D"/>
    <w:rsid w:val="008179A4"/>
    <w:rsid w:val="00824BE6"/>
    <w:rsid w:val="00844BE1"/>
    <w:rsid w:val="00851460"/>
    <w:rsid w:val="008620A0"/>
    <w:rsid w:val="0086519A"/>
    <w:rsid w:val="00865E44"/>
    <w:rsid w:val="008772BD"/>
    <w:rsid w:val="00880942"/>
    <w:rsid w:val="00897813"/>
    <w:rsid w:val="008C7EC8"/>
    <w:rsid w:val="00913B5A"/>
    <w:rsid w:val="00920778"/>
    <w:rsid w:val="00954A29"/>
    <w:rsid w:val="00961C86"/>
    <w:rsid w:val="0096489B"/>
    <w:rsid w:val="00975798"/>
    <w:rsid w:val="00994579"/>
    <w:rsid w:val="009A01BE"/>
    <w:rsid w:val="009D35EC"/>
    <w:rsid w:val="009E501A"/>
    <w:rsid w:val="009F4679"/>
    <w:rsid w:val="009F54E6"/>
    <w:rsid w:val="009F556B"/>
    <w:rsid w:val="00A02CC9"/>
    <w:rsid w:val="00A14A7F"/>
    <w:rsid w:val="00A17DCC"/>
    <w:rsid w:val="00A2185C"/>
    <w:rsid w:val="00A300B7"/>
    <w:rsid w:val="00A311CA"/>
    <w:rsid w:val="00A37A52"/>
    <w:rsid w:val="00A54946"/>
    <w:rsid w:val="00A702A0"/>
    <w:rsid w:val="00A9196A"/>
    <w:rsid w:val="00AF2DA3"/>
    <w:rsid w:val="00AF35D6"/>
    <w:rsid w:val="00B004BC"/>
    <w:rsid w:val="00B2190C"/>
    <w:rsid w:val="00B617C4"/>
    <w:rsid w:val="00B71EE6"/>
    <w:rsid w:val="00BD79D2"/>
    <w:rsid w:val="00BE17E5"/>
    <w:rsid w:val="00BE3D6D"/>
    <w:rsid w:val="00C01BC4"/>
    <w:rsid w:val="00C038B2"/>
    <w:rsid w:val="00C1524A"/>
    <w:rsid w:val="00C53F52"/>
    <w:rsid w:val="00C7418C"/>
    <w:rsid w:val="00C92630"/>
    <w:rsid w:val="00CA4A36"/>
    <w:rsid w:val="00CB5D11"/>
    <w:rsid w:val="00CD206B"/>
    <w:rsid w:val="00CD49BA"/>
    <w:rsid w:val="00D125CD"/>
    <w:rsid w:val="00D63723"/>
    <w:rsid w:val="00D96C0C"/>
    <w:rsid w:val="00DB4BFC"/>
    <w:rsid w:val="00DC0644"/>
    <w:rsid w:val="00DC5E46"/>
    <w:rsid w:val="00DC6406"/>
    <w:rsid w:val="00DD3C3A"/>
    <w:rsid w:val="00DD7524"/>
    <w:rsid w:val="00DE2185"/>
    <w:rsid w:val="00E072B7"/>
    <w:rsid w:val="00E13E8C"/>
    <w:rsid w:val="00E2631F"/>
    <w:rsid w:val="00E53B8E"/>
    <w:rsid w:val="00E545D3"/>
    <w:rsid w:val="00E9000F"/>
    <w:rsid w:val="00EC44E0"/>
    <w:rsid w:val="00EC738D"/>
    <w:rsid w:val="00ED218E"/>
    <w:rsid w:val="00EF13EC"/>
    <w:rsid w:val="00EF58D6"/>
    <w:rsid w:val="00F168D2"/>
    <w:rsid w:val="00F358E3"/>
    <w:rsid w:val="00F966F4"/>
    <w:rsid w:val="00FB6291"/>
    <w:rsid w:val="00FF0BCD"/>
    <w:rsid w:val="0BD8448D"/>
    <w:rsid w:val="154C67AF"/>
    <w:rsid w:val="48B43003"/>
    <w:rsid w:val="49C37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rFonts w:ascii="Times New Roman" w:hAnsi="Times New Roman" w:eastAsia="宋体"/>
      <w:sz w:val="18"/>
      <w:szCs w:val="18"/>
    </w:rPr>
  </w:style>
  <w:style w:type="character" w:customStyle="1" w:styleId="9">
    <w:name w:val="页眉 字符"/>
    <w:basedOn w:val="7"/>
    <w:link w:val="4"/>
    <w:qFormat/>
    <w:uiPriority w:val="99"/>
    <w:rPr>
      <w:rFonts w:ascii="Times New Roman" w:hAnsi="Times New Roman" w:eastAsia="宋体"/>
      <w:sz w:val="18"/>
      <w:szCs w:val="18"/>
    </w:rPr>
  </w:style>
  <w:style w:type="character" w:customStyle="1" w:styleId="10">
    <w:name w:val="页脚 字符"/>
    <w:basedOn w:val="7"/>
    <w:link w:val="3"/>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Words>
  <Characters>250</Characters>
  <Lines>55</Lines>
  <Paragraphs>43</Paragraphs>
  <TotalTime>3</TotalTime>
  <ScaleCrop>false</ScaleCrop>
  <LinksUpToDate>false</LinksUpToDate>
  <CharactersWithSpaces>324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2020-08-31T03:54:00Z</dcterms:created>
  <dc:creator>荣大-李雷</dc:creator>
  <cp:lastModifiedBy>尤克婷</cp:lastModifiedBy>
  <cp:lastPrinted>2022-04-15T09:34:00Z</cp:lastPrinted>
  <dcterms:modified xsi:type="dcterms:W3CDTF">2024-09-20T08:12:28Z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CEA82D6DA16F40CBBCD488842C910202_12</vt:lpwstr>
  </property>
</Properties>
</file>