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29" w:type="dxa"/>
        <w:tblInd w:w="-318" w:type="dxa"/>
        <w:tblLayout w:type="fixed"/>
        <w:tblCellMar>
          <w:top w:w="0" w:type="dxa"/>
          <w:left w:w="108" w:type="dxa"/>
          <w:bottom w:w="0" w:type="dxa"/>
          <w:right w:w="108" w:type="dxa"/>
        </w:tblCellMar>
      </w:tblPr>
      <w:tblGrid>
        <w:gridCol w:w="2000"/>
        <w:gridCol w:w="600"/>
        <w:gridCol w:w="6629"/>
      </w:tblGrid>
      <w:tr w14:paraId="74C326FA">
        <w:tblPrEx>
          <w:tblCellMar>
            <w:top w:w="0" w:type="dxa"/>
            <w:left w:w="108" w:type="dxa"/>
            <w:bottom w:w="0" w:type="dxa"/>
            <w:right w:w="108" w:type="dxa"/>
          </w:tblCellMar>
        </w:tblPrEx>
        <w:trPr>
          <w:trHeight w:val="283" w:hRule="atLeast"/>
        </w:trPr>
        <w:tc>
          <w:tcPr>
            <w:tcW w:w="2600" w:type="dxa"/>
            <w:gridSpan w:val="2"/>
            <w:tcBorders>
              <w:top w:val="nil"/>
              <w:left w:val="nil"/>
              <w:bottom w:val="nil"/>
              <w:right w:val="nil"/>
            </w:tcBorders>
            <w:shd w:val="clear" w:color="auto" w:fill="auto"/>
            <w:vAlign w:val="center"/>
          </w:tcPr>
          <w:p w14:paraId="53771630">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证券代码</w:t>
            </w:r>
            <w:r>
              <w:rPr>
                <w:rFonts w:ascii="Times New Roman" w:hAnsi="宋体" w:eastAsia="宋体" w:cs="Times New Roman"/>
                <w:sz w:val="24"/>
                <w:szCs w:val="24"/>
              </w:rPr>
              <w:t>600480</w:t>
            </w:r>
          </w:p>
        </w:tc>
        <w:tc>
          <w:tcPr>
            <w:tcW w:w="6629" w:type="dxa"/>
            <w:tcBorders>
              <w:top w:val="nil"/>
              <w:left w:val="nil"/>
              <w:bottom w:val="nil"/>
              <w:right w:val="nil"/>
            </w:tcBorders>
            <w:shd w:val="clear" w:color="auto" w:fill="auto"/>
            <w:vAlign w:val="center"/>
          </w:tcPr>
          <w:p w14:paraId="013115C7">
            <w:pPr>
              <w:widowControl/>
              <w:ind w:right="720"/>
              <w:jc w:val="right"/>
              <w:rPr>
                <w:rFonts w:ascii="宋体" w:hAnsi="宋体" w:eastAsia="宋体" w:cs="宋体"/>
                <w:color w:val="000000"/>
                <w:kern w:val="0"/>
                <w:sz w:val="24"/>
              </w:rPr>
            </w:pPr>
          </w:p>
          <w:p w14:paraId="42AB4C1B">
            <w:pPr>
              <w:widowControl/>
              <w:tabs>
                <w:tab w:val="left" w:pos="6090"/>
              </w:tabs>
              <w:ind w:right="313" w:rightChars="0"/>
              <w:jc w:val="right"/>
              <w:rPr>
                <w:rFonts w:ascii="Times New Roman" w:hAnsi="宋体" w:eastAsia="宋体" w:cs="Times New Roman"/>
                <w:sz w:val="24"/>
                <w:szCs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证券简称：凌云</w:t>
            </w:r>
            <w:r>
              <w:rPr>
                <w:rFonts w:hint="eastAsia" w:ascii="Times New Roman" w:hAnsi="宋体" w:eastAsia="宋体" w:cs="Times New Roman"/>
                <w:sz w:val="24"/>
                <w:szCs w:val="24"/>
              </w:rPr>
              <w:t>股份</w:t>
            </w:r>
          </w:p>
          <w:p w14:paraId="4D829EDE">
            <w:pPr>
              <w:widowControl/>
              <w:ind w:right="480"/>
              <w:jc w:val="right"/>
              <w:rPr>
                <w:rFonts w:ascii="宋体" w:hAnsi="宋体" w:eastAsia="宋体" w:cs="宋体"/>
                <w:color w:val="000000"/>
                <w:kern w:val="0"/>
                <w:sz w:val="24"/>
              </w:rPr>
            </w:pPr>
          </w:p>
        </w:tc>
      </w:tr>
      <w:tr w14:paraId="0329EA27">
        <w:tblPrEx>
          <w:tblCellMar>
            <w:top w:w="0" w:type="dxa"/>
            <w:left w:w="108" w:type="dxa"/>
            <w:bottom w:w="0" w:type="dxa"/>
            <w:right w:w="108" w:type="dxa"/>
          </w:tblCellMar>
        </w:tblPrEx>
        <w:trPr>
          <w:trHeight w:val="907" w:hRule="atLeast"/>
        </w:trPr>
        <w:tc>
          <w:tcPr>
            <w:tcW w:w="9229" w:type="dxa"/>
            <w:gridSpan w:val="3"/>
            <w:tcBorders>
              <w:top w:val="nil"/>
              <w:left w:val="nil"/>
              <w:bottom w:val="nil"/>
              <w:right w:val="nil"/>
            </w:tcBorders>
            <w:shd w:val="clear" w:color="auto" w:fill="auto"/>
            <w:vAlign w:val="center"/>
          </w:tcPr>
          <w:p w14:paraId="19F45D83">
            <w:pPr>
              <w:widowControl/>
              <w:spacing w:line="420" w:lineRule="exact"/>
              <w:jc w:val="center"/>
              <w:rPr>
                <w:rFonts w:ascii="宋体" w:hAnsi="宋体" w:eastAsia="宋体" w:cs="宋体"/>
                <w:b/>
                <w:color w:val="000000"/>
                <w:kern w:val="0"/>
                <w:sz w:val="28"/>
              </w:rPr>
            </w:pPr>
            <w:r>
              <w:rPr>
                <w:rFonts w:hint="eastAsia" w:ascii="宋体" w:hAnsi="宋体" w:eastAsia="宋体" w:cs="宋体"/>
                <w:b/>
                <w:color w:val="000000"/>
                <w:kern w:val="0"/>
                <w:sz w:val="28"/>
              </w:rPr>
              <w:t>凌云工业股份有限公司投资者关系活动记录表</w:t>
            </w:r>
          </w:p>
        </w:tc>
      </w:tr>
      <w:tr w14:paraId="2C474CFA">
        <w:tblPrEx>
          <w:tblCellMar>
            <w:top w:w="0" w:type="dxa"/>
            <w:left w:w="108" w:type="dxa"/>
            <w:bottom w:w="0" w:type="dxa"/>
            <w:right w:w="108" w:type="dxa"/>
          </w:tblCellMar>
        </w:tblPrEx>
        <w:trPr>
          <w:trHeight w:val="1339"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56B4501">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投资者关系</w:t>
            </w:r>
          </w:p>
          <w:p w14:paraId="56DF9E2F">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活动类别</w:t>
            </w:r>
          </w:p>
        </w:tc>
        <w:tc>
          <w:tcPr>
            <w:tcW w:w="7229" w:type="dxa"/>
            <w:gridSpan w:val="2"/>
            <w:tcBorders>
              <w:top w:val="single" w:color="auto" w:sz="4" w:space="0"/>
              <w:left w:val="nil"/>
              <w:bottom w:val="single" w:color="auto" w:sz="4" w:space="0"/>
              <w:right w:val="single" w:color="auto" w:sz="4" w:space="0"/>
            </w:tcBorders>
            <w:shd w:val="clear" w:color="auto" w:fill="auto"/>
            <w:vAlign w:val="center"/>
          </w:tcPr>
          <w:p w14:paraId="4233CFA4">
            <w:pPr>
              <w:widowControl/>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特定对象调研</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分析师会议</w:t>
            </w:r>
          </w:p>
          <w:p w14:paraId="3B3F3948">
            <w:pPr>
              <w:widowControl/>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媒体采访</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□业绩说明会</w:t>
            </w:r>
          </w:p>
          <w:p w14:paraId="6F077660">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□新闻发布会</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□路演活动</w:t>
            </w:r>
          </w:p>
          <w:p w14:paraId="376B8245">
            <w:pPr>
              <w:widowControl/>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现场调研</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其他</w:t>
            </w:r>
          </w:p>
        </w:tc>
      </w:tr>
      <w:tr w14:paraId="22C00DF4">
        <w:tblPrEx>
          <w:tblCellMar>
            <w:top w:w="0" w:type="dxa"/>
            <w:left w:w="108" w:type="dxa"/>
            <w:bottom w:w="0" w:type="dxa"/>
            <w:right w:w="108" w:type="dxa"/>
          </w:tblCellMar>
        </w:tblPrEx>
        <w:trPr>
          <w:trHeight w:val="1134"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3DCE66FD">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参与单位</w:t>
            </w:r>
          </w:p>
          <w:p w14:paraId="0E386E9D">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名称及人员姓名</w:t>
            </w:r>
          </w:p>
        </w:tc>
        <w:tc>
          <w:tcPr>
            <w:tcW w:w="7229" w:type="dxa"/>
            <w:gridSpan w:val="2"/>
            <w:tcBorders>
              <w:top w:val="nil"/>
              <w:left w:val="nil"/>
              <w:bottom w:val="single" w:color="auto" w:sz="4" w:space="0"/>
              <w:right w:val="single" w:color="auto" w:sz="4" w:space="0"/>
            </w:tcBorders>
            <w:shd w:val="clear" w:color="auto" w:fill="auto"/>
            <w:vAlign w:val="center"/>
          </w:tcPr>
          <w:p w14:paraId="138DB161">
            <w:pPr>
              <w:ind w:firstLine="480" w:firstLineChars="200"/>
              <w:rPr>
                <w:rFonts w:ascii="宋体" w:hAnsi="宋体" w:eastAsia="宋体" w:cs="宋体"/>
                <w:color w:val="000000"/>
                <w:kern w:val="0"/>
                <w:szCs w:val="21"/>
              </w:rPr>
            </w:pPr>
            <w:r>
              <w:rPr>
                <w:rFonts w:hint="eastAsia" w:ascii="宋体" w:hAnsi="宋体" w:cs="宋体"/>
                <w:color w:val="auto"/>
                <w:sz w:val="24"/>
                <w:szCs w:val="24"/>
                <w:lang w:val="en-US" w:eastAsia="zh-CN"/>
              </w:rPr>
              <w:t>河北</w:t>
            </w:r>
            <w:r>
              <w:rPr>
                <w:rFonts w:ascii="宋体" w:hAnsi="宋体" w:eastAsia="宋体" w:cs="宋体"/>
                <w:color w:val="auto"/>
                <w:sz w:val="24"/>
                <w:szCs w:val="24"/>
              </w:rPr>
              <w:t>证监局、</w:t>
            </w:r>
            <w:r>
              <w:rPr>
                <w:rFonts w:hint="eastAsia" w:ascii="宋体" w:hAnsi="宋体" w:cs="宋体"/>
                <w:color w:val="auto"/>
                <w:sz w:val="24"/>
                <w:szCs w:val="24"/>
                <w:lang w:val="en-US" w:eastAsia="zh-CN"/>
              </w:rPr>
              <w:t>河北省</w:t>
            </w:r>
            <w:r>
              <w:rPr>
                <w:rFonts w:ascii="宋体" w:hAnsi="宋体" w:eastAsia="宋体" w:cs="宋体"/>
                <w:color w:val="auto"/>
                <w:sz w:val="24"/>
                <w:szCs w:val="24"/>
              </w:rPr>
              <w:t>上市公司协会、中证中小投资者服务中心、个人投资者</w:t>
            </w:r>
            <w:r>
              <w:rPr>
                <w:rFonts w:hint="eastAsia" w:ascii="宋体" w:hAnsi="宋体" w:eastAsia="宋体" w:cs="宋体"/>
                <w:color w:val="auto"/>
                <w:sz w:val="24"/>
                <w:szCs w:val="24"/>
                <w:lang w:eastAsia="zh-CN"/>
              </w:rPr>
              <w:t>、</w:t>
            </w:r>
            <w:r>
              <w:rPr>
                <w:rFonts w:ascii="宋体" w:hAnsi="宋体" w:eastAsia="宋体" w:cs="宋体"/>
                <w:color w:val="auto"/>
                <w:sz w:val="24"/>
                <w:szCs w:val="24"/>
              </w:rPr>
              <w:t>中国证券报、上海证券报、证券日报、</w:t>
            </w:r>
            <w:r>
              <w:rPr>
                <w:rFonts w:hint="eastAsia" w:ascii="宋体" w:hAnsi="宋体" w:eastAsia="宋体" w:cs="宋体"/>
                <w:color w:val="auto"/>
                <w:sz w:val="24"/>
                <w:szCs w:val="24"/>
                <w:lang w:val="en-US" w:eastAsia="zh-CN"/>
              </w:rPr>
              <w:t>财达</w:t>
            </w:r>
            <w:r>
              <w:rPr>
                <w:rFonts w:ascii="宋体" w:hAnsi="宋体" w:eastAsia="宋体" w:cs="宋体"/>
                <w:color w:val="auto"/>
                <w:sz w:val="24"/>
                <w:szCs w:val="24"/>
              </w:rPr>
              <w:t>证券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国联证券</w:t>
            </w:r>
            <w:r>
              <w:rPr>
                <w:rFonts w:ascii="宋体" w:hAnsi="宋体" w:eastAsia="宋体" w:cs="宋体"/>
                <w:color w:val="auto"/>
                <w:sz w:val="24"/>
                <w:szCs w:val="24"/>
              </w:rPr>
              <w:t>以及</w:t>
            </w:r>
            <w:r>
              <w:rPr>
                <w:rFonts w:hint="eastAsia" w:ascii="宋体" w:hAnsi="宋体" w:eastAsia="宋体" w:cs="宋体"/>
                <w:color w:val="auto"/>
                <w:sz w:val="24"/>
                <w:szCs w:val="24"/>
                <w:lang w:val="en-US" w:eastAsia="zh-CN"/>
              </w:rPr>
              <w:t>新华网</w:t>
            </w:r>
            <w:r>
              <w:rPr>
                <w:rFonts w:ascii="宋体" w:hAnsi="宋体" w:eastAsia="宋体" w:cs="宋体"/>
                <w:color w:val="auto"/>
                <w:sz w:val="24"/>
                <w:szCs w:val="24"/>
              </w:rPr>
              <w:t>等</w:t>
            </w:r>
          </w:p>
        </w:tc>
      </w:tr>
      <w:tr w14:paraId="33C2C447">
        <w:tblPrEx>
          <w:tblCellMar>
            <w:top w:w="0" w:type="dxa"/>
            <w:left w:w="108" w:type="dxa"/>
            <w:bottom w:w="0" w:type="dxa"/>
            <w:right w:w="108" w:type="dxa"/>
          </w:tblCellMar>
        </w:tblPrEx>
        <w:trPr>
          <w:trHeight w:val="680"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0DEA38A7">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时间</w:t>
            </w:r>
          </w:p>
        </w:tc>
        <w:tc>
          <w:tcPr>
            <w:tcW w:w="7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508BA">
            <w:pPr>
              <w:widowControl/>
              <w:jc w:val="center"/>
              <w:rPr>
                <w:rFonts w:ascii="宋体" w:hAnsi="宋体" w:eastAsia="宋体" w:cs="宋体"/>
                <w:color w:val="000000"/>
                <w:kern w:val="0"/>
                <w:sz w:val="24"/>
              </w:rPr>
            </w:pPr>
            <w:r>
              <w:rPr>
                <w:rFonts w:ascii="宋体" w:hAnsi="宋体" w:eastAsia="宋体" w:cs="宋体"/>
                <w:color w:val="000000"/>
                <w:kern w:val="0"/>
                <w:sz w:val="24"/>
              </w:rPr>
              <w:t>2024</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4日</w:t>
            </w:r>
          </w:p>
        </w:tc>
      </w:tr>
      <w:tr w14:paraId="017E8BB2">
        <w:tblPrEx>
          <w:tblCellMar>
            <w:top w:w="0" w:type="dxa"/>
            <w:left w:w="108" w:type="dxa"/>
            <w:bottom w:w="0" w:type="dxa"/>
            <w:right w:w="108" w:type="dxa"/>
          </w:tblCellMar>
        </w:tblPrEx>
        <w:trPr>
          <w:trHeight w:val="680"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812C7A1">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地点</w:t>
            </w:r>
          </w:p>
        </w:tc>
        <w:tc>
          <w:tcPr>
            <w:tcW w:w="7229" w:type="dxa"/>
            <w:gridSpan w:val="2"/>
            <w:tcBorders>
              <w:top w:val="single" w:color="auto" w:sz="4" w:space="0"/>
              <w:left w:val="nil"/>
              <w:bottom w:val="single" w:color="auto" w:sz="4" w:space="0"/>
              <w:right w:val="single" w:color="auto" w:sz="4" w:space="0"/>
            </w:tcBorders>
            <w:shd w:val="clear" w:color="auto" w:fill="auto"/>
            <w:vAlign w:val="center"/>
          </w:tcPr>
          <w:p w14:paraId="13695EA2">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河</w:t>
            </w:r>
            <w:r>
              <w:rPr>
                <w:rFonts w:hint="eastAsia" w:ascii="宋体" w:hAnsi="宋体" w:eastAsia="宋体" w:cs="宋体"/>
                <w:color w:val="000000"/>
                <w:kern w:val="0"/>
                <w:sz w:val="24"/>
                <w:lang w:val="en-US" w:eastAsia="zh-CN"/>
              </w:rPr>
              <w:t>北省涿州市</w:t>
            </w:r>
          </w:p>
        </w:tc>
      </w:tr>
      <w:tr w14:paraId="325FFC25">
        <w:tblPrEx>
          <w:tblCellMar>
            <w:top w:w="0" w:type="dxa"/>
            <w:left w:w="108" w:type="dxa"/>
            <w:bottom w:w="0" w:type="dxa"/>
            <w:right w:w="108" w:type="dxa"/>
          </w:tblCellMar>
        </w:tblPrEx>
        <w:trPr>
          <w:trHeight w:val="1134"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013C432B">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上市公司</w:t>
            </w:r>
          </w:p>
          <w:p w14:paraId="0EE489F9">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接待人员姓名</w:t>
            </w:r>
          </w:p>
        </w:tc>
        <w:tc>
          <w:tcPr>
            <w:tcW w:w="7229" w:type="dxa"/>
            <w:gridSpan w:val="2"/>
            <w:tcBorders>
              <w:top w:val="nil"/>
              <w:left w:val="nil"/>
              <w:bottom w:val="single" w:color="auto" w:sz="4" w:space="0"/>
              <w:right w:val="single" w:color="auto" w:sz="4" w:space="0"/>
            </w:tcBorders>
            <w:shd w:val="clear" w:color="auto" w:fill="auto"/>
            <w:vAlign w:val="center"/>
          </w:tcPr>
          <w:p w14:paraId="1AB3CAA5">
            <w:pPr>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董事长：罗开全</w:t>
            </w:r>
          </w:p>
          <w:p w14:paraId="1D18B546">
            <w:pPr>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董事会秘书</w:t>
            </w:r>
            <w:bookmarkStart w:id="0" w:name="_GoBack"/>
            <w:r>
              <w:rPr>
                <w:rFonts w:hint="eastAsia" w:ascii="宋体" w:hAnsi="宋体" w:eastAsia="宋体" w:cs="宋体"/>
                <w:color w:val="auto"/>
                <w:kern w:val="0"/>
                <w:sz w:val="24"/>
                <w:lang w:val="en-US" w:eastAsia="zh-CN"/>
              </w:rPr>
              <w:t>、总会计师</w:t>
            </w:r>
            <w:bookmarkEnd w:id="0"/>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李超</w:t>
            </w:r>
          </w:p>
          <w:p w14:paraId="4863DC6C">
            <w:pPr>
              <w:jc w:val="center"/>
              <w:rPr>
                <w:rFonts w:hint="default" w:ascii="宋体" w:hAnsi="宋体" w:eastAsia="宋体" w:cs="宋体"/>
                <w:color w:val="000000"/>
                <w:kern w:val="0"/>
                <w:sz w:val="24"/>
                <w:lang w:val="en-US" w:eastAsia="zh-CN"/>
              </w:rPr>
            </w:pPr>
            <w:r>
              <w:rPr>
                <w:rFonts w:hint="eastAsia" w:ascii="宋体" w:hAnsi="宋体" w:eastAsia="宋体" w:cs="宋体"/>
                <w:color w:val="auto"/>
                <w:kern w:val="0"/>
                <w:sz w:val="24"/>
                <w:lang w:val="en-US" w:eastAsia="zh-CN"/>
              </w:rPr>
              <w:t>规划与资产管理部（证券办）部长：陈向辉</w:t>
            </w:r>
          </w:p>
        </w:tc>
      </w:tr>
      <w:tr w14:paraId="5FDF3CB2">
        <w:tblPrEx>
          <w:tblCellMar>
            <w:top w:w="0" w:type="dxa"/>
            <w:left w:w="108" w:type="dxa"/>
            <w:bottom w:w="0" w:type="dxa"/>
            <w:right w:w="108" w:type="dxa"/>
          </w:tblCellMar>
        </w:tblPrEx>
        <w:trPr>
          <w:trHeight w:val="1134"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30089A97">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投资者活动</w:t>
            </w:r>
          </w:p>
          <w:p w14:paraId="56876892">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主要内容介绍</w:t>
            </w:r>
          </w:p>
        </w:tc>
        <w:tc>
          <w:tcPr>
            <w:tcW w:w="7229" w:type="dxa"/>
            <w:gridSpan w:val="2"/>
            <w:tcBorders>
              <w:top w:val="nil"/>
              <w:left w:val="nil"/>
              <w:bottom w:val="single" w:color="auto" w:sz="4" w:space="0"/>
              <w:right w:val="single" w:color="auto" w:sz="4" w:space="0"/>
            </w:tcBorders>
            <w:shd w:val="clear" w:color="auto" w:fill="auto"/>
            <w:vAlign w:val="center"/>
          </w:tcPr>
          <w:p w14:paraId="692F7A00">
            <w:pPr>
              <w:widowControl/>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“了解我的上市公司-走进地方特色”凌云股份专场活动</w:t>
            </w:r>
          </w:p>
        </w:tc>
      </w:tr>
      <w:tr w14:paraId="6298BD34">
        <w:tblPrEx>
          <w:tblCellMar>
            <w:top w:w="0" w:type="dxa"/>
            <w:left w:w="108" w:type="dxa"/>
            <w:bottom w:w="0" w:type="dxa"/>
            <w:right w:w="108" w:type="dxa"/>
          </w:tblCellMar>
        </w:tblPrEx>
        <w:trPr>
          <w:trHeight w:val="680"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28DFD313">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附件清单</w:t>
            </w:r>
          </w:p>
        </w:tc>
        <w:tc>
          <w:tcPr>
            <w:tcW w:w="7229" w:type="dxa"/>
            <w:gridSpan w:val="2"/>
            <w:tcBorders>
              <w:top w:val="nil"/>
              <w:left w:val="nil"/>
              <w:bottom w:val="single" w:color="auto" w:sz="4" w:space="0"/>
              <w:right w:val="single" w:color="auto" w:sz="4" w:space="0"/>
            </w:tcBorders>
            <w:shd w:val="clear" w:color="auto" w:fill="auto"/>
            <w:vAlign w:val="center"/>
          </w:tcPr>
          <w:p w14:paraId="56794EDE">
            <w:pPr>
              <w:widowControl/>
              <w:jc w:val="center"/>
              <w:rPr>
                <w:rFonts w:ascii="宋体" w:hAnsi="宋体" w:eastAsia="宋体" w:cs="宋体"/>
                <w:color w:val="000000"/>
                <w:kern w:val="0"/>
                <w:sz w:val="24"/>
              </w:rPr>
            </w:pPr>
            <w:r>
              <w:rPr>
                <w:rFonts w:hint="eastAsia" w:ascii="宋体" w:hAnsi="宋体" w:eastAsia="宋体" w:cs="宋体"/>
                <w:color w:val="000000"/>
                <w:kern w:val="0"/>
                <w:sz w:val="24"/>
                <w:lang w:val="en-US" w:eastAsia="zh-CN"/>
              </w:rPr>
              <w:t>“了解我的上市公司-走进地方特色”凌云股份专场活动</w:t>
            </w:r>
            <w:r>
              <w:rPr>
                <w:rFonts w:hint="eastAsia" w:ascii="宋体" w:hAnsi="宋体" w:eastAsia="宋体" w:cs="宋体"/>
                <w:color w:val="000000"/>
                <w:kern w:val="0"/>
                <w:sz w:val="24"/>
              </w:rPr>
              <w:t>会议纪要</w:t>
            </w:r>
          </w:p>
        </w:tc>
      </w:tr>
    </w:tbl>
    <w:p w14:paraId="0EE17C68">
      <w:pPr>
        <w:rPr>
          <w:sz w:val="22"/>
        </w:rPr>
      </w:pPr>
    </w:p>
    <w:p w14:paraId="62395178">
      <w:pPr>
        <w:pStyle w:val="2"/>
        <w:sectPr>
          <w:pgSz w:w="11906" w:h="16838"/>
          <w:pgMar w:top="1440" w:right="1800" w:bottom="1440" w:left="1800" w:header="851" w:footer="992" w:gutter="0"/>
          <w:cols w:space="425" w:num="1"/>
          <w:docGrid w:type="lines" w:linePitch="312" w:charSpace="0"/>
        </w:sectPr>
      </w:pPr>
    </w:p>
    <w:p w14:paraId="69E1923C">
      <w:pPr>
        <w:rPr>
          <w:rFonts w:ascii="宋体" w:hAnsi="宋体" w:eastAsia="宋体" w:cs="宋体"/>
          <w:b w:val="0"/>
          <w:bCs/>
          <w:color w:val="000000" w:themeColor="text1"/>
          <w:kern w:val="0"/>
          <w:sz w:val="28"/>
          <w:szCs w:val="28"/>
          <w14:textFill>
            <w14:solidFill>
              <w14:schemeClr w14:val="tx1"/>
            </w14:solidFill>
          </w14:textFill>
        </w:rPr>
      </w:pPr>
      <w:r>
        <w:rPr>
          <w:rFonts w:hint="eastAsia" w:ascii="宋体" w:hAnsi="宋体" w:eastAsia="宋体" w:cs="宋体"/>
          <w:b w:val="0"/>
          <w:bCs/>
          <w:color w:val="000000" w:themeColor="text1"/>
          <w:kern w:val="0"/>
          <w:sz w:val="28"/>
          <w:szCs w:val="28"/>
          <w14:textFill>
            <w14:solidFill>
              <w14:schemeClr w14:val="tx1"/>
            </w14:solidFill>
          </w14:textFill>
        </w:rPr>
        <w:t>附件：</w:t>
      </w:r>
    </w:p>
    <w:p w14:paraId="04D9F53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Times New Roman" w:eastAsia="方正小标宋简体" w:cs="Times New Roman"/>
          <w:color w:val="FF0000"/>
          <w:sz w:val="36"/>
          <w:szCs w:val="36"/>
        </w:rPr>
      </w:pPr>
      <w:r>
        <w:rPr>
          <w:rFonts w:hint="eastAsia" w:ascii="方正小标宋简体" w:hAnsi="Times New Roman" w:eastAsia="方正小标宋简体" w:cs="Times New Roman"/>
          <w:color w:val="FF0000"/>
          <w:sz w:val="36"/>
          <w:szCs w:val="36"/>
        </w:rPr>
        <w:t>“了解我的上市公司-走进地方特色”</w:t>
      </w:r>
    </w:p>
    <w:p w14:paraId="05208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FF0000"/>
          <w:sz w:val="36"/>
          <w:szCs w:val="36"/>
        </w:rPr>
      </w:pPr>
      <w:r>
        <w:rPr>
          <w:rFonts w:hint="eastAsia" w:ascii="方正小标宋简体" w:hAnsi="Times New Roman" w:eastAsia="方正小标宋简体" w:cs="Times New Roman"/>
          <w:color w:val="FF0000"/>
          <w:sz w:val="36"/>
          <w:szCs w:val="36"/>
        </w:rPr>
        <w:t>凌云股份专场活动会议纪要</w:t>
      </w:r>
    </w:p>
    <w:p w14:paraId="1A78B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FF0000"/>
          <w:sz w:val="32"/>
          <w:szCs w:val="32"/>
        </w:rPr>
      </w:pPr>
    </w:p>
    <w:p w14:paraId="5AB8E112">
      <w:pPr>
        <w:spacing w:before="156" w:beforeLines="50" w:line="560" w:lineRule="exact"/>
        <w:ind w:firstLine="643" w:firstLineChars="200"/>
        <w:rPr>
          <w:rFonts w:ascii="仿宋_GB2312" w:hAnsi="Times New Roman" w:eastAsia="仿宋_GB2312" w:cs="Times New Roman"/>
          <w:color w:val="2E2E2E"/>
          <w:sz w:val="32"/>
          <w:szCs w:val="32"/>
        </w:rPr>
      </w:pPr>
      <w:r>
        <w:rPr>
          <w:rFonts w:hint="eastAsia" w:ascii="仿宋_GB2312" w:hAnsi="Times New Roman" w:eastAsia="仿宋_GB2312" w:cs="Times New Roman"/>
          <w:b/>
          <w:color w:val="2E2E2E"/>
          <w:sz w:val="32"/>
          <w:szCs w:val="32"/>
        </w:rPr>
        <w:t>时间：</w:t>
      </w:r>
      <w:r>
        <w:rPr>
          <w:rFonts w:hint="eastAsia" w:ascii="仿宋_GB2312" w:hAnsi="Times New Roman" w:eastAsia="仿宋_GB2312" w:cs="Times New Roman"/>
          <w:color w:val="2E2E2E"/>
          <w:sz w:val="32"/>
          <w:szCs w:val="32"/>
        </w:rPr>
        <w:t>2024年9月</w:t>
      </w:r>
      <w:r>
        <w:rPr>
          <w:rFonts w:hint="eastAsia" w:ascii="仿宋_GB2312" w:hAnsi="Times New Roman" w:eastAsia="仿宋_GB2312" w:cs="Times New Roman"/>
          <w:color w:val="2E2E2E"/>
          <w:sz w:val="32"/>
          <w:szCs w:val="32"/>
          <w:lang w:val="en-US" w:eastAsia="zh-CN"/>
        </w:rPr>
        <w:t>24</w:t>
      </w:r>
      <w:r>
        <w:rPr>
          <w:rFonts w:hint="eastAsia" w:ascii="仿宋_GB2312" w:hAnsi="Times New Roman" w:eastAsia="仿宋_GB2312" w:cs="Times New Roman"/>
          <w:color w:val="2E2E2E"/>
          <w:sz w:val="32"/>
          <w:szCs w:val="32"/>
        </w:rPr>
        <w:t>日</w:t>
      </w:r>
    </w:p>
    <w:p w14:paraId="623D2DDF">
      <w:pPr>
        <w:spacing w:before="156" w:beforeLines="50" w:line="560" w:lineRule="exact"/>
        <w:ind w:firstLine="643" w:firstLineChars="200"/>
        <w:rPr>
          <w:rFonts w:hint="default" w:ascii="仿宋_GB2312" w:hAnsi="Times New Roman" w:eastAsia="仿宋_GB2312" w:cs="Times New Roman"/>
          <w:color w:val="2E2E2E"/>
          <w:sz w:val="32"/>
          <w:szCs w:val="32"/>
          <w:lang w:val="en-US" w:eastAsia="zh-CN"/>
        </w:rPr>
      </w:pPr>
      <w:r>
        <w:rPr>
          <w:rFonts w:hint="eastAsia" w:ascii="仿宋_GB2312" w:hAnsi="Times New Roman" w:eastAsia="仿宋_GB2312" w:cs="Times New Roman"/>
          <w:b/>
          <w:color w:val="2E2E2E"/>
          <w:sz w:val="32"/>
          <w:szCs w:val="32"/>
        </w:rPr>
        <w:t>地点：</w:t>
      </w:r>
      <w:r>
        <w:rPr>
          <w:rFonts w:hint="eastAsia" w:ascii="仿宋_GB2312" w:hAnsi="Arial" w:eastAsia="仿宋_GB2312" w:cs="Arial"/>
          <w:color w:val="000000"/>
          <w:sz w:val="32"/>
          <w:szCs w:val="32"/>
          <w:lang w:val="en-US" w:eastAsia="zh-CN"/>
        </w:rPr>
        <w:t>河北省涿州市</w:t>
      </w:r>
    </w:p>
    <w:p w14:paraId="443FAE67">
      <w:pPr>
        <w:spacing w:before="156" w:beforeLines="50" w:line="560" w:lineRule="exact"/>
        <w:ind w:right="-92" w:rightChars="-44" w:firstLine="643" w:firstLineChars="200"/>
        <w:rPr>
          <w:rFonts w:hint="default" w:ascii="仿宋_GB2312" w:hAnsi="Times New Roman" w:eastAsia="仿宋_GB2312" w:cs="Times New Roman"/>
          <w:b/>
          <w:color w:val="2E2E2E"/>
          <w:sz w:val="32"/>
          <w:szCs w:val="32"/>
          <w:lang w:val="en-US" w:eastAsia="zh-CN"/>
        </w:rPr>
      </w:pPr>
      <w:r>
        <w:rPr>
          <w:rFonts w:hint="eastAsia" w:ascii="仿宋_GB2312" w:hAnsi="Times New Roman" w:eastAsia="仿宋_GB2312" w:cs="Times New Roman"/>
          <w:b/>
          <w:color w:val="2E2E2E"/>
          <w:sz w:val="32"/>
          <w:szCs w:val="32"/>
        </w:rPr>
        <w:t>内容：</w:t>
      </w:r>
      <w:r>
        <w:rPr>
          <w:rFonts w:hint="eastAsia" w:ascii="仿宋_GB2312" w:hAnsi="Arial" w:eastAsia="仿宋_GB2312" w:cs="Arial"/>
          <w:color w:val="000000"/>
          <w:sz w:val="32"/>
          <w:szCs w:val="32"/>
          <w:lang w:val="en-US" w:eastAsia="zh-CN"/>
        </w:rPr>
        <w:t>参观汽车尼龙管路系统产线和新能源电池壳产线；介绍公司整体情况，并</w:t>
      </w:r>
      <w:r>
        <w:rPr>
          <w:rFonts w:hint="eastAsia" w:ascii="仿宋_GB2312" w:hAnsi="宋体" w:eastAsia="仿宋_GB2312" w:cs="宋体"/>
          <w:color w:val="000000"/>
          <w:kern w:val="0"/>
          <w:sz w:val="32"/>
          <w:szCs w:val="32"/>
        </w:rPr>
        <w:t>就投资者</w:t>
      </w:r>
      <w:r>
        <w:rPr>
          <w:rFonts w:hint="eastAsia" w:ascii="仿宋_GB2312" w:hAnsi="宋体" w:eastAsia="仿宋_GB2312" w:cs="宋体"/>
          <w:color w:val="000000"/>
          <w:kern w:val="0"/>
          <w:sz w:val="32"/>
          <w:szCs w:val="32"/>
          <w:lang w:val="en-US" w:eastAsia="zh-CN"/>
        </w:rPr>
        <w:t>及媒体等</w:t>
      </w:r>
      <w:r>
        <w:rPr>
          <w:rFonts w:hint="eastAsia" w:ascii="仿宋_GB2312" w:hAnsi="宋体" w:eastAsia="仿宋_GB2312" w:cs="宋体"/>
          <w:color w:val="000000"/>
          <w:kern w:val="0"/>
          <w:sz w:val="32"/>
          <w:szCs w:val="32"/>
        </w:rPr>
        <w:t>关心的问题进行</w:t>
      </w:r>
      <w:r>
        <w:rPr>
          <w:rFonts w:hint="eastAsia" w:ascii="仿宋_GB2312" w:hAnsi="Arial" w:eastAsia="仿宋_GB2312" w:cs="Arial"/>
          <w:color w:val="000000"/>
          <w:sz w:val="32"/>
          <w:szCs w:val="32"/>
          <w:lang w:val="en-US" w:eastAsia="zh-CN"/>
        </w:rPr>
        <w:t>座谈交流。</w:t>
      </w:r>
    </w:p>
    <w:p w14:paraId="7DC082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sz w:val="32"/>
          <w:szCs w:val="32"/>
        </w:rPr>
      </w:pPr>
    </w:p>
    <w:p w14:paraId="08E21E02">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问题1、凌云股份近年来持续分红，请介绍下公司未来现金分红计划。</w:t>
      </w:r>
    </w:p>
    <w:p w14:paraId="33C6FCBB">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b/>
          <w:bCs w:val="0"/>
          <w:sz w:val="32"/>
          <w:szCs w:val="32"/>
        </w:rPr>
        <w:t>：</w:t>
      </w:r>
      <w:r>
        <w:rPr>
          <w:rFonts w:hint="eastAsia" w:ascii="仿宋_GB2312" w:hAnsi="宋体" w:eastAsia="仿宋_GB2312" w:cs="宋体"/>
          <w:color w:val="000000"/>
          <w:kern w:val="0"/>
          <w:sz w:val="32"/>
          <w:szCs w:val="32"/>
        </w:rPr>
        <w:t>公司有了好的业绩和经营性现金流，一方面支持企业再发展，另一方面要回报股东。公司现金分红，确保按国务院国资委、证监会有关要求，保证分红基本机制，只要有好的业绩、好的现金流，公司还是要让大家得到实实在在的回报。</w:t>
      </w:r>
    </w:p>
    <w:p w14:paraId="4F72B35E">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：德国子公司收购以来持续亏损，现金流出较大。近期，公司发布增资5500万欧元的公告，请介绍资金的主要用途，必要性？</w:t>
      </w:r>
    </w:p>
    <w:p w14:paraId="65BA2FB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157" w:afterLines="50" w:line="560" w:lineRule="exact"/>
        <w:ind w:firstLine="643" w:firstLineChars="2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b/>
          <w:bCs w:val="0"/>
          <w:sz w:val="32"/>
          <w:szCs w:val="32"/>
          <w:lang w:val="en-US" w:eastAsia="zh-CN"/>
        </w:rPr>
        <w:t>回复：</w:t>
      </w:r>
      <w:r>
        <w:rPr>
          <w:rFonts w:hint="eastAsia" w:ascii="仿宋_GB2312" w:hAnsi="宋体" w:eastAsia="仿宋_GB2312" w:cs="宋体"/>
          <w:color w:val="000000"/>
          <w:kern w:val="0"/>
          <w:sz w:val="32"/>
          <w:szCs w:val="32"/>
          <w:lang w:val="en-US" w:eastAsia="zh-CN"/>
        </w:rPr>
        <w:t>德国WAG是公司2015年收购的一家德国汽车零部件企业，其车身结构件、新能源电池壳在德国供应商体系中有一定优势。通过收购，公司很快进入德国三大汽车集团供应商体系，建立起与德系主机厂的合作关系，改进了成本和运营竞争力，获得了主机厂高度信任。通过对德国WAG提供“技术、人员、品牌”支撑等多方面改进，2022年以来德国WAG运营绩效得到了较大改善。</w:t>
      </w:r>
    </w:p>
    <w:p w14:paraId="5C0E251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157" w:afterLines="5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本次增资5500万欧元，改善德国WAG资本结构，客户愿意与公司一起解决现有困难，对德国WAG提供原材料涨价补偿、工装模具投资等支持；作为股东，提供管理或者资金等支持，实现德国WAG健康发展。</w:t>
      </w:r>
    </w:p>
    <w:p w14:paraId="35ACC11B">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：2020年以来，公司经营指标呈现快速增长趋势，归母净利润1亿元增长至超过6亿元。请公司介绍在行业变革压力下，采取哪些举措，实现了规模效益大幅提升。</w:t>
      </w:r>
    </w:p>
    <w:p w14:paraId="34DF3CB7">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b/>
          <w:bCs w:val="0"/>
          <w:sz w:val="32"/>
          <w:szCs w:val="32"/>
          <w:lang w:val="en-US" w:eastAsia="zh-CN"/>
        </w:rPr>
        <w:t>回复：</w:t>
      </w:r>
      <w:r>
        <w:rPr>
          <w:rFonts w:hint="eastAsia" w:ascii="仿宋_GB2312" w:hAnsi="宋体" w:eastAsia="仿宋_GB2312" w:cs="宋体"/>
          <w:color w:val="000000"/>
          <w:kern w:val="0"/>
          <w:sz w:val="32"/>
          <w:szCs w:val="32"/>
          <w:lang w:val="en-US" w:eastAsia="zh-CN"/>
        </w:rPr>
        <w:t>根据现代化主机厂流程化体系要求，对公司四大标准化流程进行优化、标准化，从市场开发、产品开发、采购供应链管理和生产运营管理，降低产品、项目风险，降低投资、开发、采购、营销等成本；持续开展提质增效，应收尽收、应降尽降、应减尽减。从长期可持续发展来讲，把科研、技术创新，体系、（人才）队伍等建设好，做好战新产业布局等。</w:t>
      </w:r>
    </w:p>
    <w:p w14:paraId="3B72AFE5">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近年来，公司抢占了新能源市场优势赛道，传统结构件业务保持了技术和成本优势，同时公司加速布局了新能源电池壳、冷却管路系统等新产品。请介绍新业务目前的市场战略布局、主要客户、在手订单和重要项目发展方向，未来是否能作为公司重要板块业务。</w:t>
      </w:r>
    </w:p>
    <w:p w14:paraId="6DDB7977">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近几年公司在新能源市场投入力度加大，加大了对电池壳、储能产品的科研投入力度，保证技术上领先；产品布局上，选择北美新能源头部车企、国内新能源车企</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优质客户开展合作，并同时在国内、国外进行布局，满足客户需求。2024年1-6月公司汽车金属板块累计定点项目137个，汽车管路板块累计定点项目243个，新能源产品占比与国内新能源车渗透率基本一致。</w:t>
      </w:r>
    </w:p>
    <w:p w14:paraId="7D5DB0EA">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：现在无论是燃油车市场还是新能源市场的价格战竞争都比较激烈，我们有受到市场价格竞争的波及吗？目前新能源市场竞争激烈，车型迭代加快，对我们有哪些挑战，如何应对？</w:t>
      </w:r>
    </w:p>
    <w:p w14:paraId="587E976C">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把现有优势产品成本竞争力做到极致；适当延长产品价值链，传统零件向部件、系统拓展，向一体化、模块化供货拓展，提高价值创造能力；公司具备与主机厂同步开发能力，与国内自主品牌企业建立联合创新机构，缩短开发时间。</w:t>
      </w:r>
    </w:p>
    <w:p w14:paraId="711011D4">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：作为央企控股的上市公司，凌云股份将通过哪些具体的举措推进市值管理表现？</w:t>
      </w:r>
    </w:p>
    <w:p w14:paraId="082EC10F">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b w:val="0"/>
          <w:bCs/>
          <w:color w:val="auto"/>
          <w:sz w:val="32"/>
          <w:szCs w:val="32"/>
          <w:lang w:val="en-US" w:eastAsia="zh-CN"/>
        </w:rPr>
        <w:t>利用上市平台，2022年募集资金13.8亿，推动了公司快速发展，特别是热成型产业和新能源电池壳的发展；2023年实施股权激励，技术人员、技能人员、市场人员和管理层融为一体，共同推动公司发展；</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加大与投资者交流，通过业绩说明会等多种推介方式使投资者充分了解公司；及时准确披露公司重大信息，让投资人看到一个透明的公司；依靠业绩提升市值；做好产业、技术革新筹备安排等。</w:t>
      </w:r>
    </w:p>
    <w:p w14:paraId="64FDD8B8">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：凌云股份在海外市场的布局现状如何？未来有哪些国际化发展的规划？请介绍一下公司在海外市场的投资、并购、建厂等方面的具体行动和未来目标。</w:t>
      </w:r>
    </w:p>
    <w:p w14:paraId="4704002F">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kern w:val="2"/>
          <w:sz w:val="32"/>
          <w:szCs w:val="32"/>
          <w:lang w:val="en-US" w:eastAsia="zh-CN" w:bidi="ar"/>
        </w:rPr>
        <w:t>适应汽车产业重构趋势，在亚洲、欧洲、北美三大重点市场,根据客户需求实施全球化配套，同时要有竞争力。以公司全球战略为前提，进行海外市场布局，在德国做好高端制造基地，面对北美、欧洲，在墨西哥、摩洛哥等低成本国家实现零部件产业链竞争力。</w:t>
      </w:r>
    </w:p>
    <w:p w14:paraId="40D1F929">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问题</w:t>
      </w: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：公司提及将重点开展新能源汽车、新能源、人工智能三类战新产业布局，请介绍一下在储能市场和智能制造的布局规划？</w:t>
      </w:r>
    </w:p>
    <w:p w14:paraId="7F7878C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3" w:firstLineChars="200"/>
        <w:textAlignment w:val="auto"/>
        <w:rPr>
          <w:rFonts w:hint="eastAsia"/>
        </w:rPr>
      </w:pPr>
      <w:r>
        <w:rPr>
          <w:rFonts w:hint="eastAsia" w:ascii="仿宋_GB2312" w:hAnsi="仿宋_GB2312" w:eastAsia="仿宋_GB2312" w:cs="仿宋_GB2312"/>
          <w:b/>
          <w:bCs w:val="0"/>
          <w:sz w:val="32"/>
          <w:szCs w:val="32"/>
          <w:lang w:val="en-US" w:eastAsia="zh-CN"/>
        </w:rPr>
        <w:t>回复：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目前储能客户主要有北美新能源头部车企和全球领先的通信设备企业，公司将积极跟踪储能市场发展。智能智造布局主要有：线控转向、传感器项目，目前处于前期预研阶段，还需要</w:t>
      </w:r>
      <w:r>
        <w:rPr>
          <w:rFonts w:hint="eastAsia" w:ascii="仿宋_GB2312" w:hAnsi="仿宋_GB2312" w:eastAsia="仿宋_GB2312" w:cs="仿宋_GB2312"/>
          <w:color w:val="auto"/>
          <w:sz w:val="32"/>
          <w:szCs w:val="32"/>
          <w:lang w:val="en-US" w:eastAsia="zh-CN"/>
        </w:rPr>
        <w:t>工厂化、市场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开发过程；智能智造产线，公司已成立合资公司，培育智能智造能力。</w:t>
      </w:r>
    </w:p>
    <w:p w14:paraId="569EC7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sz w:val="24"/>
          <w:szCs w:val="24"/>
        </w:rPr>
      </w:pPr>
    </w:p>
    <w:p w14:paraId="4A7B5410">
      <w:pPr>
        <w:pStyle w:val="2"/>
        <w:keepNext w:val="0"/>
        <w:keepLines w:val="0"/>
        <w:pageBreakBefore w:val="0"/>
        <w:widowControl w:val="0"/>
        <w:kinsoku/>
        <w:wordWrap/>
        <w:overflowPunct/>
        <w:topLinePunct w:val="0"/>
        <w:autoSpaceDE/>
        <w:autoSpaceDN/>
        <w:bidi w:val="0"/>
        <w:spacing w:after="0" w:line="56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zNTFkMzg2ODQ0Y2ZiZmMwMmZlOGVhMDUwNTA5MzYifQ=="/>
  </w:docVars>
  <w:rsids>
    <w:rsidRoot w:val="00687AE7"/>
    <w:rsid w:val="000052FC"/>
    <w:rsid w:val="000074AF"/>
    <w:rsid w:val="000161F7"/>
    <w:rsid w:val="000423C8"/>
    <w:rsid w:val="0004433A"/>
    <w:rsid w:val="00044722"/>
    <w:rsid w:val="000449FA"/>
    <w:rsid w:val="00046C5F"/>
    <w:rsid w:val="000510A0"/>
    <w:rsid w:val="00060333"/>
    <w:rsid w:val="0006150D"/>
    <w:rsid w:val="00064BBB"/>
    <w:rsid w:val="000669F2"/>
    <w:rsid w:val="00072EA5"/>
    <w:rsid w:val="00074ACF"/>
    <w:rsid w:val="00077B6B"/>
    <w:rsid w:val="00080E49"/>
    <w:rsid w:val="00084D94"/>
    <w:rsid w:val="0009025D"/>
    <w:rsid w:val="000967BD"/>
    <w:rsid w:val="00097567"/>
    <w:rsid w:val="000A2E9D"/>
    <w:rsid w:val="000A3F0E"/>
    <w:rsid w:val="000B298A"/>
    <w:rsid w:val="000D6646"/>
    <w:rsid w:val="000E5177"/>
    <w:rsid w:val="000F3911"/>
    <w:rsid w:val="00106848"/>
    <w:rsid w:val="001118C3"/>
    <w:rsid w:val="0012185D"/>
    <w:rsid w:val="00132BAE"/>
    <w:rsid w:val="0013431A"/>
    <w:rsid w:val="00137E68"/>
    <w:rsid w:val="00142E10"/>
    <w:rsid w:val="00156BBF"/>
    <w:rsid w:val="00166C8E"/>
    <w:rsid w:val="00172C03"/>
    <w:rsid w:val="00177FC0"/>
    <w:rsid w:val="0018434E"/>
    <w:rsid w:val="00186B93"/>
    <w:rsid w:val="0019069D"/>
    <w:rsid w:val="00190C16"/>
    <w:rsid w:val="00191191"/>
    <w:rsid w:val="001920A3"/>
    <w:rsid w:val="001934CA"/>
    <w:rsid w:val="00193B39"/>
    <w:rsid w:val="001976C5"/>
    <w:rsid w:val="001D1A9E"/>
    <w:rsid w:val="001E4BDF"/>
    <w:rsid w:val="002003D9"/>
    <w:rsid w:val="0020178C"/>
    <w:rsid w:val="0020221F"/>
    <w:rsid w:val="00206EFD"/>
    <w:rsid w:val="002070A7"/>
    <w:rsid w:val="00210101"/>
    <w:rsid w:val="00214963"/>
    <w:rsid w:val="002164AF"/>
    <w:rsid w:val="0024244F"/>
    <w:rsid w:val="00243562"/>
    <w:rsid w:val="00244454"/>
    <w:rsid w:val="002476D5"/>
    <w:rsid w:val="00254EA8"/>
    <w:rsid w:val="0025626B"/>
    <w:rsid w:val="002613CD"/>
    <w:rsid w:val="00261922"/>
    <w:rsid w:val="00273D08"/>
    <w:rsid w:val="00296E14"/>
    <w:rsid w:val="002A572A"/>
    <w:rsid w:val="002A5FCC"/>
    <w:rsid w:val="002B336D"/>
    <w:rsid w:val="002C3070"/>
    <w:rsid w:val="002D296A"/>
    <w:rsid w:val="002D5A26"/>
    <w:rsid w:val="002E1027"/>
    <w:rsid w:val="002E35A4"/>
    <w:rsid w:val="002E6299"/>
    <w:rsid w:val="002F2821"/>
    <w:rsid w:val="00306DDA"/>
    <w:rsid w:val="00310254"/>
    <w:rsid w:val="003116D5"/>
    <w:rsid w:val="00320DB8"/>
    <w:rsid w:val="00345314"/>
    <w:rsid w:val="003574BF"/>
    <w:rsid w:val="0037493A"/>
    <w:rsid w:val="00383DDA"/>
    <w:rsid w:val="00391CE3"/>
    <w:rsid w:val="00394A18"/>
    <w:rsid w:val="003A2ACD"/>
    <w:rsid w:val="003A5081"/>
    <w:rsid w:val="003A594C"/>
    <w:rsid w:val="003B6430"/>
    <w:rsid w:val="003C23CA"/>
    <w:rsid w:val="003D1904"/>
    <w:rsid w:val="003D2D83"/>
    <w:rsid w:val="003E7976"/>
    <w:rsid w:val="003F0DBD"/>
    <w:rsid w:val="00404F1E"/>
    <w:rsid w:val="00407E13"/>
    <w:rsid w:val="004208FA"/>
    <w:rsid w:val="004252B8"/>
    <w:rsid w:val="00452FE0"/>
    <w:rsid w:val="0045686C"/>
    <w:rsid w:val="0046742F"/>
    <w:rsid w:val="00482E07"/>
    <w:rsid w:val="00487641"/>
    <w:rsid w:val="0049274A"/>
    <w:rsid w:val="004930FB"/>
    <w:rsid w:val="004933CF"/>
    <w:rsid w:val="004967AB"/>
    <w:rsid w:val="0049720D"/>
    <w:rsid w:val="004A7C17"/>
    <w:rsid w:val="004A7FFB"/>
    <w:rsid w:val="004B6895"/>
    <w:rsid w:val="004B7B92"/>
    <w:rsid w:val="004C1D25"/>
    <w:rsid w:val="004C56C7"/>
    <w:rsid w:val="004E3EFB"/>
    <w:rsid w:val="004E4E63"/>
    <w:rsid w:val="004E533A"/>
    <w:rsid w:val="0051060C"/>
    <w:rsid w:val="00521A08"/>
    <w:rsid w:val="00523D1C"/>
    <w:rsid w:val="005327E5"/>
    <w:rsid w:val="00535AC9"/>
    <w:rsid w:val="00535F34"/>
    <w:rsid w:val="00536638"/>
    <w:rsid w:val="0054007B"/>
    <w:rsid w:val="0054424D"/>
    <w:rsid w:val="005567BF"/>
    <w:rsid w:val="0055681B"/>
    <w:rsid w:val="00557090"/>
    <w:rsid w:val="0056199E"/>
    <w:rsid w:val="005667C3"/>
    <w:rsid w:val="00585790"/>
    <w:rsid w:val="005979E9"/>
    <w:rsid w:val="005A2944"/>
    <w:rsid w:val="005A3577"/>
    <w:rsid w:val="005A3FFA"/>
    <w:rsid w:val="005A4878"/>
    <w:rsid w:val="005A70D4"/>
    <w:rsid w:val="005B79A7"/>
    <w:rsid w:val="005E0EE9"/>
    <w:rsid w:val="005F1B25"/>
    <w:rsid w:val="00601810"/>
    <w:rsid w:val="00606771"/>
    <w:rsid w:val="00617781"/>
    <w:rsid w:val="0062144E"/>
    <w:rsid w:val="006252B3"/>
    <w:rsid w:val="0063029E"/>
    <w:rsid w:val="006363B2"/>
    <w:rsid w:val="0063669B"/>
    <w:rsid w:val="006603B2"/>
    <w:rsid w:val="006722E5"/>
    <w:rsid w:val="00673157"/>
    <w:rsid w:val="006755D0"/>
    <w:rsid w:val="00680061"/>
    <w:rsid w:val="006833BE"/>
    <w:rsid w:val="00686D69"/>
    <w:rsid w:val="00687AE7"/>
    <w:rsid w:val="006973AB"/>
    <w:rsid w:val="00697DBA"/>
    <w:rsid w:val="006A2E3D"/>
    <w:rsid w:val="006A41F6"/>
    <w:rsid w:val="006A639B"/>
    <w:rsid w:val="006B63DC"/>
    <w:rsid w:val="006C3806"/>
    <w:rsid w:val="006D4311"/>
    <w:rsid w:val="006E60CA"/>
    <w:rsid w:val="006F3B45"/>
    <w:rsid w:val="006F64CD"/>
    <w:rsid w:val="006F6AD5"/>
    <w:rsid w:val="00702CCC"/>
    <w:rsid w:val="007156B6"/>
    <w:rsid w:val="00734485"/>
    <w:rsid w:val="0073638C"/>
    <w:rsid w:val="007448DB"/>
    <w:rsid w:val="00765DED"/>
    <w:rsid w:val="007675CE"/>
    <w:rsid w:val="00770FA0"/>
    <w:rsid w:val="00771877"/>
    <w:rsid w:val="0077541C"/>
    <w:rsid w:val="00776401"/>
    <w:rsid w:val="00791949"/>
    <w:rsid w:val="00793E4A"/>
    <w:rsid w:val="00795661"/>
    <w:rsid w:val="007A31FB"/>
    <w:rsid w:val="007B5641"/>
    <w:rsid w:val="007E1183"/>
    <w:rsid w:val="007F51FE"/>
    <w:rsid w:val="00823F25"/>
    <w:rsid w:val="0083083F"/>
    <w:rsid w:val="00832448"/>
    <w:rsid w:val="00836CE5"/>
    <w:rsid w:val="00840638"/>
    <w:rsid w:val="008427D2"/>
    <w:rsid w:val="008507D6"/>
    <w:rsid w:val="00851BE2"/>
    <w:rsid w:val="00853B21"/>
    <w:rsid w:val="00856B27"/>
    <w:rsid w:val="008570BB"/>
    <w:rsid w:val="008638F9"/>
    <w:rsid w:val="008745CE"/>
    <w:rsid w:val="0089608D"/>
    <w:rsid w:val="008A4B41"/>
    <w:rsid w:val="008B608C"/>
    <w:rsid w:val="008D4871"/>
    <w:rsid w:val="008D48C4"/>
    <w:rsid w:val="008D4941"/>
    <w:rsid w:val="008E5A5D"/>
    <w:rsid w:val="008F0B43"/>
    <w:rsid w:val="00904E16"/>
    <w:rsid w:val="00913CA1"/>
    <w:rsid w:val="00916FA2"/>
    <w:rsid w:val="00920796"/>
    <w:rsid w:val="00920F82"/>
    <w:rsid w:val="0093090B"/>
    <w:rsid w:val="009350FB"/>
    <w:rsid w:val="0094211A"/>
    <w:rsid w:val="009545EA"/>
    <w:rsid w:val="00965E1A"/>
    <w:rsid w:val="00987332"/>
    <w:rsid w:val="00997E1D"/>
    <w:rsid w:val="009A53A6"/>
    <w:rsid w:val="009A63BD"/>
    <w:rsid w:val="009A6AE4"/>
    <w:rsid w:val="009B24A3"/>
    <w:rsid w:val="009C71D4"/>
    <w:rsid w:val="009D14E5"/>
    <w:rsid w:val="009E0646"/>
    <w:rsid w:val="009F7475"/>
    <w:rsid w:val="00A037CF"/>
    <w:rsid w:val="00A0698A"/>
    <w:rsid w:val="00A1494E"/>
    <w:rsid w:val="00A31372"/>
    <w:rsid w:val="00A470C0"/>
    <w:rsid w:val="00A547D6"/>
    <w:rsid w:val="00A561D3"/>
    <w:rsid w:val="00A575AC"/>
    <w:rsid w:val="00A61E5D"/>
    <w:rsid w:val="00A667B4"/>
    <w:rsid w:val="00AA13B8"/>
    <w:rsid w:val="00AC5DD9"/>
    <w:rsid w:val="00AD169D"/>
    <w:rsid w:val="00AD290F"/>
    <w:rsid w:val="00AD4D39"/>
    <w:rsid w:val="00AF16F4"/>
    <w:rsid w:val="00AF37B5"/>
    <w:rsid w:val="00AF3C98"/>
    <w:rsid w:val="00AF632D"/>
    <w:rsid w:val="00B0038F"/>
    <w:rsid w:val="00B0241F"/>
    <w:rsid w:val="00B046ED"/>
    <w:rsid w:val="00B13097"/>
    <w:rsid w:val="00B243B9"/>
    <w:rsid w:val="00B3106A"/>
    <w:rsid w:val="00B332F8"/>
    <w:rsid w:val="00B40500"/>
    <w:rsid w:val="00B51921"/>
    <w:rsid w:val="00B554DD"/>
    <w:rsid w:val="00B57FB8"/>
    <w:rsid w:val="00B613D7"/>
    <w:rsid w:val="00B633DF"/>
    <w:rsid w:val="00B70A6B"/>
    <w:rsid w:val="00B86F72"/>
    <w:rsid w:val="00B95256"/>
    <w:rsid w:val="00BB2A3E"/>
    <w:rsid w:val="00BC5DF7"/>
    <w:rsid w:val="00BD7B88"/>
    <w:rsid w:val="00BD7DD2"/>
    <w:rsid w:val="00BE40C6"/>
    <w:rsid w:val="00C03241"/>
    <w:rsid w:val="00C05F3C"/>
    <w:rsid w:val="00C129AF"/>
    <w:rsid w:val="00C14DDA"/>
    <w:rsid w:val="00C14E8E"/>
    <w:rsid w:val="00C17698"/>
    <w:rsid w:val="00C20CB5"/>
    <w:rsid w:val="00C27145"/>
    <w:rsid w:val="00C3132C"/>
    <w:rsid w:val="00C47189"/>
    <w:rsid w:val="00C55E49"/>
    <w:rsid w:val="00C62B1E"/>
    <w:rsid w:val="00C62E0C"/>
    <w:rsid w:val="00C662D8"/>
    <w:rsid w:val="00C66B81"/>
    <w:rsid w:val="00C765A9"/>
    <w:rsid w:val="00C86DD4"/>
    <w:rsid w:val="00C90451"/>
    <w:rsid w:val="00C90CB6"/>
    <w:rsid w:val="00C93E50"/>
    <w:rsid w:val="00C9430E"/>
    <w:rsid w:val="00C94761"/>
    <w:rsid w:val="00CA33C8"/>
    <w:rsid w:val="00CA5448"/>
    <w:rsid w:val="00CC12DA"/>
    <w:rsid w:val="00CD557C"/>
    <w:rsid w:val="00CD790F"/>
    <w:rsid w:val="00D05710"/>
    <w:rsid w:val="00D21E7A"/>
    <w:rsid w:val="00D21F02"/>
    <w:rsid w:val="00D258D3"/>
    <w:rsid w:val="00D27445"/>
    <w:rsid w:val="00D36BD3"/>
    <w:rsid w:val="00D427C9"/>
    <w:rsid w:val="00D42C87"/>
    <w:rsid w:val="00D56CE8"/>
    <w:rsid w:val="00D60095"/>
    <w:rsid w:val="00D61DF0"/>
    <w:rsid w:val="00D71D9B"/>
    <w:rsid w:val="00D7331D"/>
    <w:rsid w:val="00DA2539"/>
    <w:rsid w:val="00DA2CFC"/>
    <w:rsid w:val="00DA3CCA"/>
    <w:rsid w:val="00DB06B9"/>
    <w:rsid w:val="00DB594D"/>
    <w:rsid w:val="00DC219F"/>
    <w:rsid w:val="00DC6121"/>
    <w:rsid w:val="00DF30A2"/>
    <w:rsid w:val="00E2378D"/>
    <w:rsid w:val="00E35000"/>
    <w:rsid w:val="00E43434"/>
    <w:rsid w:val="00E4434A"/>
    <w:rsid w:val="00E44B1D"/>
    <w:rsid w:val="00E472FF"/>
    <w:rsid w:val="00E5126A"/>
    <w:rsid w:val="00E531FD"/>
    <w:rsid w:val="00E66791"/>
    <w:rsid w:val="00E779BB"/>
    <w:rsid w:val="00E81E90"/>
    <w:rsid w:val="00E84D39"/>
    <w:rsid w:val="00EA64A5"/>
    <w:rsid w:val="00EC265B"/>
    <w:rsid w:val="00EC4453"/>
    <w:rsid w:val="00ED0CA4"/>
    <w:rsid w:val="00ED0D26"/>
    <w:rsid w:val="00ED1467"/>
    <w:rsid w:val="00ED472B"/>
    <w:rsid w:val="00EE0D5E"/>
    <w:rsid w:val="00EE10BC"/>
    <w:rsid w:val="00EF151E"/>
    <w:rsid w:val="00F03F01"/>
    <w:rsid w:val="00F0753F"/>
    <w:rsid w:val="00F132CB"/>
    <w:rsid w:val="00F1607D"/>
    <w:rsid w:val="00F17FA9"/>
    <w:rsid w:val="00F27DB6"/>
    <w:rsid w:val="00F547C5"/>
    <w:rsid w:val="00F572CF"/>
    <w:rsid w:val="00F8449F"/>
    <w:rsid w:val="00F9038A"/>
    <w:rsid w:val="00F90DEE"/>
    <w:rsid w:val="00FA3F72"/>
    <w:rsid w:val="00FA6DCF"/>
    <w:rsid w:val="00FB1875"/>
    <w:rsid w:val="00FC1D4E"/>
    <w:rsid w:val="00FC5952"/>
    <w:rsid w:val="00FD3D88"/>
    <w:rsid w:val="00FD488A"/>
    <w:rsid w:val="00FF03A5"/>
    <w:rsid w:val="01207B0A"/>
    <w:rsid w:val="01D857E9"/>
    <w:rsid w:val="02693733"/>
    <w:rsid w:val="026B44EA"/>
    <w:rsid w:val="02915780"/>
    <w:rsid w:val="048D4A4C"/>
    <w:rsid w:val="052B6F24"/>
    <w:rsid w:val="05EF2BE7"/>
    <w:rsid w:val="06146D96"/>
    <w:rsid w:val="069A3EBB"/>
    <w:rsid w:val="075C5614"/>
    <w:rsid w:val="07AE3F64"/>
    <w:rsid w:val="0962533A"/>
    <w:rsid w:val="0BAD228F"/>
    <w:rsid w:val="0CC31A6C"/>
    <w:rsid w:val="0EBD2371"/>
    <w:rsid w:val="0F4F5258"/>
    <w:rsid w:val="143A033F"/>
    <w:rsid w:val="148F5C31"/>
    <w:rsid w:val="14C52821"/>
    <w:rsid w:val="193671D9"/>
    <w:rsid w:val="1ADD3E4A"/>
    <w:rsid w:val="1BAF77EC"/>
    <w:rsid w:val="1C4F52EF"/>
    <w:rsid w:val="1CF025A9"/>
    <w:rsid w:val="1D8C2FD2"/>
    <w:rsid w:val="1E127F44"/>
    <w:rsid w:val="20126BD3"/>
    <w:rsid w:val="24E810AC"/>
    <w:rsid w:val="27932D69"/>
    <w:rsid w:val="27AD6986"/>
    <w:rsid w:val="28756B07"/>
    <w:rsid w:val="290A1F5D"/>
    <w:rsid w:val="2BD20150"/>
    <w:rsid w:val="2C55425C"/>
    <w:rsid w:val="2C8E761A"/>
    <w:rsid w:val="2DD35A9F"/>
    <w:rsid w:val="2DD43858"/>
    <w:rsid w:val="2F5F6440"/>
    <w:rsid w:val="30774BB8"/>
    <w:rsid w:val="31AC6D75"/>
    <w:rsid w:val="31E77D87"/>
    <w:rsid w:val="32DB706C"/>
    <w:rsid w:val="331C4409"/>
    <w:rsid w:val="37007420"/>
    <w:rsid w:val="37A23659"/>
    <w:rsid w:val="3A9034BA"/>
    <w:rsid w:val="3A967D0A"/>
    <w:rsid w:val="3B3A2CB7"/>
    <w:rsid w:val="3BD31641"/>
    <w:rsid w:val="3EA763FA"/>
    <w:rsid w:val="400E37AE"/>
    <w:rsid w:val="41B12486"/>
    <w:rsid w:val="41D43A1D"/>
    <w:rsid w:val="421F79B3"/>
    <w:rsid w:val="48AA455C"/>
    <w:rsid w:val="495D7CF3"/>
    <w:rsid w:val="4A186A03"/>
    <w:rsid w:val="4C0A34C1"/>
    <w:rsid w:val="4CAB19BD"/>
    <w:rsid w:val="4D48186B"/>
    <w:rsid w:val="4EC92523"/>
    <w:rsid w:val="4F0477B8"/>
    <w:rsid w:val="4F9B6910"/>
    <w:rsid w:val="50634240"/>
    <w:rsid w:val="51E11C0A"/>
    <w:rsid w:val="52C41CCE"/>
    <w:rsid w:val="54BC628D"/>
    <w:rsid w:val="56371DD9"/>
    <w:rsid w:val="575D5A56"/>
    <w:rsid w:val="575D5EA9"/>
    <w:rsid w:val="58450EFE"/>
    <w:rsid w:val="59186541"/>
    <w:rsid w:val="5B1F15F5"/>
    <w:rsid w:val="5CCA278C"/>
    <w:rsid w:val="5E093ED4"/>
    <w:rsid w:val="602C4CF9"/>
    <w:rsid w:val="618943CD"/>
    <w:rsid w:val="61C35DE3"/>
    <w:rsid w:val="62E01DCA"/>
    <w:rsid w:val="633937B4"/>
    <w:rsid w:val="63B970B3"/>
    <w:rsid w:val="65A36D1C"/>
    <w:rsid w:val="68397197"/>
    <w:rsid w:val="68A05566"/>
    <w:rsid w:val="68F14D31"/>
    <w:rsid w:val="695960B1"/>
    <w:rsid w:val="6C034C6E"/>
    <w:rsid w:val="6C517CEA"/>
    <w:rsid w:val="6CA81D9E"/>
    <w:rsid w:val="6ED93E30"/>
    <w:rsid w:val="6EDC1070"/>
    <w:rsid w:val="6FB8189D"/>
    <w:rsid w:val="71347EB1"/>
    <w:rsid w:val="715F1190"/>
    <w:rsid w:val="73107C5C"/>
    <w:rsid w:val="73273C73"/>
    <w:rsid w:val="74771DA1"/>
    <w:rsid w:val="78B617F7"/>
    <w:rsid w:val="78C209C4"/>
    <w:rsid w:val="792C73C7"/>
    <w:rsid w:val="7A7F2B18"/>
    <w:rsid w:val="7BA6682C"/>
    <w:rsid w:val="7EE33139"/>
    <w:rsid w:val="7F35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宋体"/>
      <w:szCs w:val="24"/>
    </w:rPr>
  </w:style>
  <w:style w:type="paragraph" w:styleId="3">
    <w:name w:val="Title"/>
    <w:next w:val="1"/>
    <w:qFormat/>
    <w:uiPriority w:val="0"/>
    <w:pPr>
      <w:widowControl w:val="0"/>
      <w:spacing w:before="240" w:after="60"/>
      <w:jc w:val="center"/>
      <w:outlineLvl w:val="0"/>
    </w:pPr>
    <w:rPr>
      <w:rFonts w:ascii="Arial" w:hAnsi="Arial" w:eastAsiaTheme="minorEastAsia" w:cstheme="minorBidi"/>
      <w:b/>
      <w:kern w:val="2"/>
      <w:sz w:val="32"/>
      <w:szCs w:val="24"/>
      <w:lang w:val="en-US" w:eastAsia="zh-CN" w:bidi="ar-SA"/>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Body Text First Indent"/>
    <w:basedOn w:val="2"/>
    <w:qFormat/>
    <w:uiPriority w:val="0"/>
    <w:pPr>
      <w:spacing w:after="0" w:line="560" w:lineRule="exact"/>
      <w:ind w:firstLine="640"/>
    </w:pPr>
    <w:rPr>
      <w:rFonts w:ascii="仿宋_GB2312" w:hAnsi="仿宋" w:eastAsia="仿宋_GB2312" w:cs="宋体"/>
      <w:sz w:val="32"/>
      <w:szCs w:val="32"/>
    </w:rPr>
  </w:style>
  <w:style w:type="character" w:styleId="11">
    <w:name w:val="Emphasis"/>
    <w:basedOn w:val="10"/>
    <w:qFormat/>
    <w:uiPriority w:val="20"/>
    <w:rPr>
      <w:i/>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1A55-27FC-4D4A-8F7E-8985C267CAE0}">
  <ds:schemaRefs/>
</ds:datastoreItem>
</file>

<file path=docProps/app.xml><?xml version="1.0" encoding="utf-8"?>
<Properties xmlns="http://schemas.openxmlformats.org/officeDocument/2006/extended-properties" xmlns:vt="http://schemas.openxmlformats.org/officeDocument/2006/docPropsVTypes">
  <Template>Normal</Template>
  <Pages>5</Pages>
  <Words>2120</Words>
  <Characters>2178</Characters>
  <Lines>9</Lines>
  <Paragraphs>2</Paragraphs>
  <TotalTime>14</TotalTime>
  <ScaleCrop>false</ScaleCrop>
  <LinksUpToDate>false</LinksUpToDate>
  <CharactersWithSpaces>2198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2024-06-14T07:24:00Z</dcterms:created>
  <dc:creator>qy</dc:creator>
  <cp:lastModifiedBy>王海霞</cp:lastModifiedBy>
  <cp:lastPrinted>2024-01-10T05:53:00Z</cp:lastPrinted>
  <dcterms:modified xsi:type="dcterms:W3CDTF">2024-09-25T06:44:59Z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1A48A497E2D24434A569B5F6D0B42E18_13</vt:lpwstr>
  </property>
</Properties>
</file>