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2024年</w:t>
      </w:r>
      <w:r>
        <w:rPr>
          <w:rFonts w:hint="eastAsia" w:ascii="黑体" w:hAnsi="黑体" w:eastAsia="黑体"/>
          <w:b/>
          <w:sz w:val="36"/>
          <w:szCs w:val="32"/>
          <w:lang w:val="en-US" w:eastAsia="zh-CN"/>
        </w:rPr>
        <w:t>8</w:t>
      </w:r>
      <w:r>
        <w:rPr>
          <w:rFonts w:hint="eastAsia" w:ascii="黑体" w:hAnsi="黑体" w:eastAsia="黑体"/>
          <w:b/>
          <w:sz w:val="36"/>
          <w:szCs w:val="32"/>
          <w:lang w:eastAsia="zh-CN"/>
        </w:rPr>
        <w:t>月投资者关系活动记录</w:t>
      </w:r>
    </w:p>
    <w:p>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8</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8</w:t>
      </w:r>
      <w:r>
        <w:rPr>
          <w:rFonts w:hint="eastAsia" w:ascii="宋体" w:eastAsia="宋体" w:cs="宋体"/>
          <w:color w:val="000000"/>
          <w:sz w:val="24"/>
          <w:szCs w:val="24"/>
          <w:lang w:eastAsia="zh-CN"/>
        </w:rPr>
        <w:t>次，其中，通过电话、上证e互动等方式与投资者交流</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参加华福证券、浙商证券策略会开展</w:t>
      </w:r>
      <w:r>
        <w:rPr>
          <w:rFonts w:hint="eastAsia" w:ascii="宋体" w:eastAsia="宋体" w:cs="宋体"/>
          <w:color w:val="000000"/>
          <w:sz w:val="24"/>
          <w:szCs w:val="24"/>
          <w:lang w:eastAsia="zh-CN"/>
        </w:rPr>
        <w:t>投资者关系活动</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次。公司在遵守信息披露相关规定的前提下进行交流，交流内容不涉及未披露的重大信息。2024年</w:t>
      </w:r>
      <w:r>
        <w:rPr>
          <w:rFonts w:hint="eastAsia" w:ascii="宋体" w:eastAsia="宋体" w:cs="宋体"/>
          <w:color w:val="000000"/>
          <w:sz w:val="24"/>
          <w:szCs w:val="24"/>
          <w:lang w:val="en-US" w:eastAsia="zh-CN"/>
        </w:rPr>
        <w:t>8</w:t>
      </w:r>
      <w:r>
        <w:rPr>
          <w:rFonts w:hint="eastAsia" w:ascii="宋体" w:eastAsia="宋体" w:cs="宋体"/>
          <w:color w:val="000000"/>
          <w:sz w:val="24"/>
          <w:szCs w:val="24"/>
          <w:lang w:eastAsia="zh-CN"/>
        </w:rPr>
        <w:t>月，公司主要投资者关系活动记录如下：</w:t>
      </w:r>
    </w:p>
    <w:tbl>
      <w:tblPr>
        <w:tblStyle w:val="10"/>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autoSpaceDE w:val="0"/>
              <w:autoSpaceDN w:val="0"/>
              <w:adjustRightInd w:val="0"/>
              <w:spacing w:after="0" w:line="240" w:lineRule="auto"/>
              <w:rPr>
                <w:rFonts w:ascii="宋体" w:eastAsia="宋体" w:cs="宋体"/>
                <w:b/>
                <w:color w:val="000000"/>
                <w:sz w:val="24"/>
                <w:szCs w:val="24"/>
              </w:rPr>
            </w:pPr>
            <w:r>
              <w:rPr>
                <w:rFonts w:ascii="宋体" w:eastAsia="宋体" w:cs="宋体"/>
                <w:b/>
                <w:color w:val="000000"/>
                <w:sz w:val="24"/>
                <w:szCs w:val="24"/>
              </w:rPr>
              <w:t>投资者关系活动类别</w:t>
            </w:r>
          </w:p>
        </w:tc>
        <w:tc>
          <w:tcPr>
            <w:tcW w:w="7622" w:type="dxa"/>
            <w:vAlign w:val="center"/>
          </w:tcPr>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b/>
                <w:color w:val="000000"/>
                <w:sz w:val="24"/>
                <w:szCs w:val="24"/>
                <w:lang w:eastAsia="zh-CN"/>
              </w:rPr>
              <w:t>时间</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29</w:t>
            </w:r>
            <w:r>
              <w:rPr>
                <w:rFonts w:hint="eastAsia" w:ascii="宋体" w:hAnsi="宋体" w:eastAsia="宋体"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上市公司接待人员</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董事会秘书</w:t>
            </w:r>
            <w:r>
              <w:rPr>
                <w:rFonts w:hint="eastAsia" w:ascii="宋体" w:eastAsia="宋体" w:cs="宋体"/>
                <w:color w:val="000000"/>
                <w:sz w:val="24"/>
                <w:szCs w:val="24"/>
                <w:lang w:val="en-US" w:eastAsia="zh-CN"/>
              </w:rPr>
              <w:t>张颖</w:t>
            </w:r>
            <w:r>
              <w:rPr>
                <w:rFonts w:hint="eastAsia" w:ascii="宋体" w:eastAsia="宋体" w:cs="宋体"/>
                <w:color w:val="000000"/>
                <w:sz w:val="24"/>
                <w:szCs w:val="24"/>
                <w:lang w:eastAsia="zh-CN"/>
              </w:rPr>
              <w:t>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pPr>
              <w:autoSpaceDE w:val="0"/>
              <w:autoSpaceDN w:val="0"/>
              <w:adjustRightInd w:val="0"/>
              <w:spacing w:after="0" w:line="240" w:lineRule="auto"/>
              <w:jc w:val="center"/>
              <w:rPr>
                <w:rFonts w:ascii="宋体" w:eastAsia="宋体" w:cs="宋体"/>
                <w:b/>
                <w:color w:val="000000"/>
                <w:sz w:val="24"/>
                <w:szCs w:val="24"/>
                <w:lang w:eastAsia="zh-CN"/>
              </w:rPr>
            </w:pPr>
          </w:p>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投资者关系活动主要内容介绍</w:t>
            </w:r>
          </w:p>
        </w:tc>
        <w:tc>
          <w:tcPr>
            <w:tcW w:w="7622" w:type="dxa"/>
          </w:tcPr>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2" w:firstLineChars="200"/>
              <w:jc w:val="left"/>
              <w:rPr>
                <w:rFonts w:hint="eastAsia" w:ascii="宋体" w:hAnsi="宋体" w:eastAsia="宋体" w:cs="Times New Roman"/>
                <w:b/>
                <w:kern w:val="0"/>
                <w:sz w:val="24"/>
                <w:szCs w:val="24"/>
                <w:lang w:val="en-US" w:eastAsia="zh-CN"/>
              </w:rPr>
            </w:pPr>
            <w:r>
              <w:rPr>
                <w:rFonts w:hint="eastAsia" w:ascii="宋体" w:hAnsi="宋体" w:eastAsia="宋体" w:cs="Times New Roman"/>
                <w:b/>
                <w:kern w:val="0"/>
                <w:sz w:val="24"/>
                <w:szCs w:val="24"/>
                <w:lang w:val="en-US" w:eastAsia="zh-CN"/>
              </w:rPr>
              <w:t>1、问：近日，公司发布关于生物质项目资产转让的公告，该交易主要目的是什么？</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2" w:firstLineChars="200"/>
              <w:jc w:val="left"/>
              <w:rPr>
                <w:rFonts w:hint="eastAsia" w:ascii="宋体" w:hAnsi="宋体" w:eastAsia="宋体" w:cs="Times New Roman"/>
                <w:b/>
                <w:kern w:val="0"/>
                <w:sz w:val="24"/>
                <w:szCs w:val="24"/>
                <w:lang w:val="en-US" w:eastAsia="zh-CN"/>
              </w:rPr>
            </w:pPr>
            <w:r>
              <w:rPr>
                <w:rFonts w:hint="eastAsia" w:ascii="宋体" w:hAnsi="宋体" w:eastAsia="宋体" w:cs="Times New Roman"/>
                <w:b/>
                <w:kern w:val="0"/>
                <w:sz w:val="24"/>
                <w:szCs w:val="24"/>
                <w:lang w:val="en-US" w:eastAsia="zh-CN"/>
              </w:rPr>
              <w:t>答：</w:t>
            </w:r>
            <w:r>
              <w:rPr>
                <w:rFonts w:hint="eastAsia" w:ascii="宋体" w:hAnsi="宋体" w:eastAsia="宋体" w:cs="Times New Roman"/>
                <w:b w:val="0"/>
                <w:bCs/>
                <w:kern w:val="0"/>
                <w:sz w:val="24"/>
                <w:szCs w:val="24"/>
                <w:lang w:val="en-US" w:eastAsia="zh-CN"/>
              </w:rPr>
              <w:t>为充分盘活存量资产，优化资源配置，公司全资子公司江苏国信淮安生物质发电有限公司将其位于淮安市淮安区山阳大道的土地使用权等资产转让给江苏淮安国信热电有限公司，具体详见公司披露的《关于公司全资子公司出售资产暨关</w:t>
            </w:r>
            <w:bookmarkStart w:id="0" w:name="_GoBack"/>
            <w:bookmarkEnd w:id="0"/>
            <w:r>
              <w:rPr>
                <w:rFonts w:hint="eastAsia" w:ascii="宋体" w:hAnsi="宋体" w:eastAsia="宋体" w:cs="Times New Roman"/>
                <w:b w:val="0"/>
                <w:bCs/>
                <w:kern w:val="0"/>
                <w:sz w:val="24"/>
                <w:szCs w:val="24"/>
                <w:lang w:val="en-US" w:eastAsia="zh-CN"/>
              </w:rPr>
              <w:t>联交易的公告》（公告编号：2024-031）。</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2" w:firstLineChars="200"/>
              <w:jc w:val="left"/>
              <w:rPr>
                <w:rFonts w:hint="eastAsia" w:ascii="宋体" w:hAnsi="宋体" w:eastAsia="宋体" w:cs="Times New Roman"/>
                <w:b/>
                <w:kern w:val="0"/>
                <w:sz w:val="24"/>
                <w:szCs w:val="24"/>
                <w:lang w:val="en-US" w:eastAsia="zh-CN"/>
              </w:rPr>
            </w:pPr>
            <w:r>
              <w:rPr>
                <w:rFonts w:hint="eastAsia" w:ascii="宋体" w:hAnsi="宋体" w:eastAsia="宋体" w:cs="Times New Roman"/>
                <w:b/>
                <w:kern w:val="0"/>
                <w:sz w:val="24"/>
                <w:szCs w:val="24"/>
                <w:lang w:val="en-US" w:eastAsia="zh-CN"/>
              </w:rPr>
              <w:t>2、问：公司最近两年新增控股装机容量是多少，主要是投产了哪些项目？</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Cs/>
                <w:kern w:val="0"/>
                <w:sz w:val="24"/>
                <w:szCs w:val="24"/>
              </w:rPr>
            </w:pPr>
            <w:r>
              <w:rPr>
                <w:rFonts w:hint="eastAsia" w:ascii="宋体" w:hAnsi="宋体" w:eastAsia="宋体" w:cs="Times New Roman"/>
                <w:b/>
                <w:bCs w:val="0"/>
                <w:kern w:val="0"/>
                <w:sz w:val="24"/>
                <w:szCs w:val="24"/>
              </w:rPr>
              <w:t>答：</w:t>
            </w:r>
            <w:r>
              <w:rPr>
                <w:rFonts w:hint="eastAsia" w:ascii="宋体" w:hAnsi="宋体" w:eastAsia="宋体" w:cs="Times New Roman"/>
                <w:bCs/>
                <w:kern w:val="0"/>
                <w:sz w:val="24"/>
                <w:szCs w:val="24"/>
              </w:rPr>
              <w:t>截至2024年6月30日，公司新能源发电控股装机容量170万千瓦，比2023年初增加了约15万千瓦。近两年山西平鲁70MW光伏项目、信悦南高齿等分布式光伏项目、国信扬电厂区光伏项目等陆续投产。</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
                <w:bCs w:val="0"/>
                <w:kern w:val="0"/>
                <w:sz w:val="24"/>
                <w:szCs w:val="24"/>
              </w:rPr>
            </w:pPr>
            <w:r>
              <w:rPr>
                <w:rFonts w:hint="eastAsia" w:ascii="宋体" w:hAnsi="宋体" w:eastAsia="宋体" w:cs="Times New Roman"/>
                <w:b/>
                <w:bCs w:val="0"/>
                <w:kern w:val="0"/>
                <w:sz w:val="24"/>
                <w:szCs w:val="24"/>
                <w:lang w:val="en-US" w:eastAsia="zh-CN"/>
              </w:rPr>
              <w:t>3</w:t>
            </w:r>
            <w:r>
              <w:rPr>
                <w:rFonts w:hint="eastAsia" w:ascii="宋体" w:hAnsi="宋体" w:eastAsia="宋体" w:cs="Times New Roman"/>
                <w:b/>
                <w:bCs w:val="0"/>
                <w:kern w:val="0"/>
                <w:sz w:val="24"/>
                <w:szCs w:val="24"/>
              </w:rPr>
              <w:t>、问：新建新能源发电项目平价上网后，对公司新投资风力发电、光伏项目的收益率有多大影响？</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Cs/>
                <w:kern w:val="0"/>
                <w:sz w:val="24"/>
                <w:szCs w:val="24"/>
              </w:rPr>
            </w:pPr>
            <w:r>
              <w:rPr>
                <w:rFonts w:hint="eastAsia" w:ascii="宋体" w:hAnsi="宋体" w:eastAsia="宋体" w:cs="Times New Roman"/>
                <w:b/>
                <w:bCs w:val="0"/>
                <w:kern w:val="0"/>
                <w:sz w:val="24"/>
                <w:szCs w:val="24"/>
              </w:rPr>
              <w:t>答：</w:t>
            </w:r>
            <w:r>
              <w:rPr>
                <w:rFonts w:hint="eastAsia" w:ascii="宋体" w:hAnsi="宋体" w:eastAsia="宋体" w:cs="Times New Roman"/>
                <w:bCs/>
                <w:kern w:val="0"/>
                <w:sz w:val="24"/>
                <w:szCs w:val="24"/>
              </w:rPr>
              <w:t>平价上网后，若风电、光伏等项目的单位发电成本未能同步下降，新项目的收益率将受到影响。对此，公司积极储备优质平价项目资源，合理控制工程造价，努力降低投资成本，保障项目投资收益，同时认真研究政策变动，做好随时参与市场化交易的准备，多举措降低电价政策变化可能带来的影响。</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
                <w:bCs w:val="0"/>
                <w:kern w:val="0"/>
                <w:sz w:val="24"/>
                <w:szCs w:val="24"/>
              </w:rPr>
            </w:pPr>
            <w:r>
              <w:rPr>
                <w:rFonts w:hint="eastAsia" w:ascii="宋体" w:hAnsi="宋体" w:eastAsia="宋体" w:cs="Times New Roman"/>
                <w:b/>
                <w:bCs w:val="0"/>
                <w:kern w:val="0"/>
                <w:sz w:val="24"/>
                <w:szCs w:val="24"/>
                <w:lang w:val="en-US" w:eastAsia="zh-CN"/>
              </w:rPr>
              <w:t>4</w:t>
            </w:r>
            <w:r>
              <w:rPr>
                <w:rFonts w:hint="eastAsia" w:ascii="宋体" w:hAnsi="宋体" w:eastAsia="宋体" w:cs="Times New Roman"/>
                <w:b/>
                <w:bCs w:val="0"/>
                <w:kern w:val="0"/>
                <w:sz w:val="24"/>
                <w:szCs w:val="24"/>
              </w:rPr>
              <w:t>、问：公司业绩受风资源波动影响明显，目前有什么应对策略？</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Cs/>
                <w:kern w:val="0"/>
                <w:sz w:val="24"/>
                <w:szCs w:val="24"/>
              </w:rPr>
            </w:pPr>
            <w:r>
              <w:rPr>
                <w:rFonts w:hint="eastAsia" w:ascii="宋体" w:hAnsi="宋体" w:eastAsia="宋体" w:cs="Times New Roman"/>
                <w:bCs/>
                <w:kern w:val="0"/>
                <w:sz w:val="24"/>
                <w:szCs w:val="24"/>
              </w:rPr>
              <w:t>答：公司风电项目的盈利状况与项目所在地的风速、风向等气候条件高度相关，由于风资源具有一定的随机性、不可预测性，公司存在经营业绩受自然资源以及天气和气候条件的变化而波动的风险。对此，公司一方面通过加大投资前的可行性研究深度，充分评估资源变动对项目投资效益的影响；另一方面，日常管理中加强运营维护和应急预案管理，保障项目运营效率，尽力使项目在既定的资源条件下“应发尽发”。另外，公司积极拓展新型能源业务布局，寻求全国优质项目资源，通过业务类型、投资区域的多样化，降低特定地区自然条件变化对公司整体业绩的影响。</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1"/>
              <w:jc w:val="left"/>
              <w:textAlignment w:val="auto"/>
              <w:rPr>
                <w:rFonts w:hint="eastAsia" w:ascii="宋体" w:hAnsi="宋体" w:eastAsia="宋体" w:cs="Times New Roman"/>
                <w:b/>
                <w:bCs w:val="0"/>
                <w:kern w:val="0"/>
                <w:sz w:val="24"/>
                <w:szCs w:val="24"/>
              </w:rPr>
            </w:pPr>
            <w:r>
              <w:rPr>
                <w:rFonts w:hint="eastAsia" w:ascii="宋体" w:hAnsi="宋体" w:eastAsia="宋体" w:cs="Times New Roman"/>
                <w:b/>
                <w:bCs w:val="0"/>
                <w:kern w:val="0"/>
                <w:sz w:val="24"/>
                <w:szCs w:val="24"/>
                <w:lang w:val="en-US" w:eastAsia="zh-CN"/>
              </w:rPr>
              <w:t>5</w:t>
            </w:r>
            <w:r>
              <w:rPr>
                <w:rFonts w:hint="eastAsia" w:ascii="宋体" w:hAnsi="宋体" w:eastAsia="宋体" w:cs="Times New Roman"/>
                <w:b/>
                <w:bCs w:val="0"/>
                <w:kern w:val="0"/>
                <w:sz w:val="24"/>
                <w:szCs w:val="24"/>
              </w:rPr>
              <w:t>、问：江苏地区目前市场化交易的电价在什么水平？</w:t>
            </w:r>
          </w:p>
          <w:p>
            <w:pPr>
              <w:keepNext w:val="0"/>
              <w:keepLines w:val="0"/>
              <w:pageBreakBefore w:val="0"/>
              <w:widowControl/>
              <w:numPr>
                <w:ilvl w:val="255"/>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Times New Roman"/>
                <w:bCs/>
                <w:kern w:val="0"/>
                <w:sz w:val="24"/>
                <w:szCs w:val="24"/>
                <w:lang w:eastAsia="zh-CN"/>
              </w:rPr>
            </w:pPr>
            <w:r>
              <w:rPr>
                <w:rFonts w:hint="eastAsia" w:ascii="宋体" w:hAnsi="宋体" w:eastAsia="宋体" w:cs="Times New Roman"/>
                <w:bCs/>
                <w:kern w:val="0"/>
                <w:sz w:val="24"/>
                <w:szCs w:val="24"/>
              </w:rPr>
              <w:t>答：根据《2024年6月江苏电力市场月内连续挂牌交易结果公示》，2024年6月成交均价428.67元/兆瓦时。根据《2024年江苏电力市场年度交易结果公示》，2024年年度交易总成交电量加权均价452.94元/兆瓦时，其中年度绿电成交加权均价464.44元/兆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附件</w:t>
            </w:r>
          </w:p>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清单</w:t>
            </w:r>
          </w:p>
        </w:tc>
        <w:tc>
          <w:tcPr>
            <w:tcW w:w="7622"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4"/>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6F3FD"/>
    <w:multiLevelType w:val="singleLevel"/>
    <w:tmpl w:val="6A06F3FD"/>
    <w:lvl w:ilvl="0" w:tentative="0">
      <w:start w:val="1"/>
      <w:numFmt w:val="decimal"/>
      <w:pStyle w:val="6"/>
      <w:suff w:val="nothing"/>
      <w:lvlText w:val="%1．"/>
      <w:lvlJc w:val="left"/>
      <w:pPr>
        <w:ind w:left="25"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ED0253"/>
    <w:rsid w:val="039447DF"/>
    <w:rsid w:val="039F04DE"/>
    <w:rsid w:val="04D01847"/>
    <w:rsid w:val="0926126E"/>
    <w:rsid w:val="09534007"/>
    <w:rsid w:val="09AA14C8"/>
    <w:rsid w:val="0A854D0D"/>
    <w:rsid w:val="0B68541F"/>
    <w:rsid w:val="0DB937C0"/>
    <w:rsid w:val="0F3924B5"/>
    <w:rsid w:val="14765E23"/>
    <w:rsid w:val="14F7363C"/>
    <w:rsid w:val="187B3106"/>
    <w:rsid w:val="192E77AB"/>
    <w:rsid w:val="1A402B0B"/>
    <w:rsid w:val="1BC82032"/>
    <w:rsid w:val="1C2A3766"/>
    <w:rsid w:val="1C5715A6"/>
    <w:rsid w:val="1C9012F0"/>
    <w:rsid w:val="1C9846E4"/>
    <w:rsid w:val="1CBA7BDA"/>
    <w:rsid w:val="1D99384E"/>
    <w:rsid w:val="21B35837"/>
    <w:rsid w:val="22BB6D4C"/>
    <w:rsid w:val="23604265"/>
    <w:rsid w:val="23CB213F"/>
    <w:rsid w:val="273450F7"/>
    <w:rsid w:val="294A6D1A"/>
    <w:rsid w:val="29B3565E"/>
    <w:rsid w:val="2C500483"/>
    <w:rsid w:val="2D3601CB"/>
    <w:rsid w:val="304A07DA"/>
    <w:rsid w:val="31380BC3"/>
    <w:rsid w:val="32F64CAC"/>
    <w:rsid w:val="33F516C9"/>
    <w:rsid w:val="368A3234"/>
    <w:rsid w:val="37290AF1"/>
    <w:rsid w:val="37515F68"/>
    <w:rsid w:val="380C78E5"/>
    <w:rsid w:val="394F13FC"/>
    <w:rsid w:val="3B456DB7"/>
    <w:rsid w:val="40894A65"/>
    <w:rsid w:val="40F83CD9"/>
    <w:rsid w:val="42A722F8"/>
    <w:rsid w:val="46873C1F"/>
    <w:rsid w:val="47484C91"/>
    <w:rsid w:val="47C12B1D"/>
    <w:rsid w:val="4D6635B4"/>
    <w:rsid w:val="4DE05294"/>
    <w:rsid w:val="4EDE0EB4"/>
    <w:rsid w:val="4F663D26"/>
    <w:rsid w:val="53C904EB"/>
    <w:rsid w:val="544873BE"/>
    <w:rsid w:val="551F57F2"/>
    <w:rsid w:val="573B7F57"/>
    <w:rsid w:val="597475D5"/>
    <w:rsid w:val="5A201118"/>
    <w:rsid w:val="5F4E7A37"/>
    <w:rsid w:val="5FE87DDD"/>
    <w:rsid w:val="61AA0545"/>
    <w:rsid w:val="65432A59"/>
    <w:rsid w:val="662034EF"/>
    <w:rsid w:val="66DB11B2"/>
    <w:rsid w:val="68FE2FAA"/>
    <w:rsid w:val="6AEB61C5"/>
    <w:rsid w:val="6C357853"/>
    <w:rsid w:val="6CD31B48"/>
    <w:rsid w:val="6DA615F0"/>
    <w:rsid w:val="6DC37FF3"/>
    <w:rsid w:val="6FE81A79"/>
    <w:rsid w:val="70531492"/>
    <w:rsid w:val="70877807"/>
    <w:rsid w:val="73740AD4"/>
    <w:rsid w:val="74FF304A"/>
    <w:rsid w:val="77A25AEB"/>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alloon Text"/>
    <w:basedOn w:val="1"/>
    <w:link w:val="17"/>
    <w:semiHidden/>
    <w:unhideWhenUsed/>
    <w:qFormat/>
    <w:uiPriority w:val="99"/>
    <w:pPr>
      <w:spacing w:after="0" w:line="240" w:lineRule="auto"/>
    </w:pPr>
    <w:rPr>
      <w:sz w:val="18"/>
      <w:szCs w:val="18"/>
    </w:rPr>
  </w:style>
  <w:style w:type="paragraph" w:styleId="4">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7">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5">
    <w:name w:val="页眉 字符"/>
    <w:basedOn w:val="11"/>
    <w:link w:val="5"/>
    <w:qFormat/>
    <w:uiPriority w:val="99"/>
    <w:rPr>
      <w:sz w:val="18"/>
      <w:szCs w:val="18"/>
    </w:rPr>
  </w:style>
  <w:style w:type="character" w:customStyle="1" w:styleId="16">
    <w:name w:val="页脚 字符"/>
    <w:basedOn w:val="11"/>
    <w:link w:val="4"/>
    <w:qFormat/>
    <w:uiPriority w:val="99"/>
    <w:rPr>
      <w:sz w:val="18"/>
      <w:szCs w:val="18"/>
    </w:rPr>
  </w:style>
  <w:style w:type="character" w:customStyle="1" w:styleId="17">
    <w:name w:val="批注框文本 字符"/>
    <w:basedOn w:val="11"/>
    <w:link w:val="3"/>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216</Words>
  <Characters>1236</Characters>
  <Lines>10</Lines>
  <Paragraphs>2</Paragraphs>
  <TotalTime>0</TotalTime>
  <ScaleCrop>false</ScaleCrop>
  <LinksUpToDate>false</LinksUpToDate>
  <CharactersWithSpaces>1450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2024-09-24T09:12:07Z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3275B986403341EAB10619EF43FE38B9_13</vt:lpwstr>
  </property>
</Properties>
</file>