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321A5A8E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>
        <w:rPr>
          <w:rFonts w:ascii="宋体" w:hAnsi="宋体" w:hint="eastAsia"/>
          <w:bCs/>
          <w:iCs/>
          <w:color w:val="000000"/>
          <w:sz w:val="24"/>
        </w:rPr>
        <w:t>900</w:t>
      </w:r>
      <w:r w:rsidR="00090C17">
        <w:rPr>
          <w:rFonts w:ascii="宋体" w:hAnsi="宋体" w:hint="eastAsia"/>
          <w:bCs/>
          <w:iCs/>
          <w:color w:val="000000"/>
          <w:sz w:val="24"/>
        </w:rPr>
        <w:t>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37CDC867" w:rsidR="006223DF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090C1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其他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4E6E281A" w:rsidR="006223DF" w:rsidRDefault="00D473BB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银河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15135E6D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982EF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日（星期四）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09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5BC1FE58" w:rsidR="006223DF" w:rsidRDefault="00BE7C44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宁波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11F44B73" w14:textId="77777777" w:rsidR="006223DF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07EB5A7" w14:textId="77777777" w:rsidR="000D3964" w:rsidRPr="000D3964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曹雨超先生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80BAE8B" w:rsidR="006223DF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林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欣女士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8D01255" w14:textId="7995FDC7" w:rsidR="006223DF" w:rsidRDefault="00D2245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00000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E075A">
              <w:rPr>
                <w:rFonts w:hint="eastAsia"/>
                <w:b/>
                <w:bCs/>
                <w:kern w:val="0"/>
                <w:sz w:val="24"/>
              </w:rPr>
              <w:t>主品牌在年轻化方面的规划</w:t>
            </w:r>
            <w:r w:rsidR="00EE0B6A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15BF903" w14:textId="0D36EE75" w:rsidR="006223DF" w:rsidRDefault="00DE075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 w:rsidR="00705CD9">
              <w:rPr>
                <w:rFonts w:hint="eastAsia"/>
                <w:kern w:val="0"/>
                <w:sz w:val="24"/>
              </w:rPr>
              <w:t>保持</w:t>
            </w:r>
            <w:r w:rsidR="00705CD9" w:rsidRPr="00705CD9">
              <w:rPr>
                <w:rFonts w:hint="eastAsia"/>
                <w:kern w:val="0"/>
                <w:sz w:val="24"/>
              </w:rPr>
              <w:t>商务行政系列、婚庆系列绝对额稳定，加速提升休闲系列的占比</w:t>
            </w:r>
            <w:r w:rsidR="00705CD9">
              <w:rPr>
                <w:rFonts w:hint="eastAsia"/>
                <w:kern w:val="0"/>
                <w:sz w:val="24"/>
              </w:rPr>
              <w:t>。</w:t>
            </w:r>
            <w:r w:rsidR="00D2245B">
              <w:rPr>
                <w:rFonts w:hint="eastAsia"/>
                <w:kern w:val="0"/>
                <w:sz w:val="24"/>
              </w:rPr>
              <w:t>②</w:t>
            </w:r>
            <w:r w:rsidR="007D75E3">
              <w:rPr>
                <w:rFonts w:hint="eastAsia"/>
                <w:kern w:val="0"/>
                <w:sz w:val="24"/>
              </w:rPr>
              <w:t>企划设计年轻化</w:t>
            </w:r>
            <w:r w:rsidR="00D2245B">
              <w:rPr>
                <w:rFonts w:hint="eastAsia"/>
                <w:kern w:val="0"/>
                <w:sz w:val="24"/>
              </w:rPr>
              <w:t>。③</w:t>
            </w:r>
            <w:r w:rsidR="007D75E3">
              <w:rPr>
                <w:rFonts w:hint="eastAsia"/>
                <w:kern w:val="0"/>
                <w:sz w:val="24"/>
              </w:rPr>
              <w:t>拉宽价格带。</w:t>
            </w:r>
          </w:p>
          <w:p w14:paraId="24E878EC" w14:textId="46B80A3B" w:rsidR="00051935" w:rsidRDefault="00D2245B" w:rsidP="00051935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051935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E5CAA">
              <w:rPr>
                <w:rFonts w:hint="eastAsia"/>
                <w:b/>
                <w:bCs/>
                <w:kern w:val="0"/>
                <w:sz w:val="24"/>
              </w:rPr>
              <w:t>存量地产</w:t>
            </w:r>
            <w:r w:rsidR="00B26E0C">
              <w:rPr>
                <w:rFonts w:hint="eastAsia"/>
                <w:b/>
                <w:bCs/>
                <w:kern w:val="0"/>
                <w:sz w:val="24"/>
              </w:rPr>
              <w:t>项目</w:t>
            </w:r>
            <w:r w:rsidR="005E5CAA">
              <w:rPr>
                <w:rFonts w:hint="eastAsia"/>
                <w:b/>
                <w:bCs/>
                <w:kern w:val="0"/>
                <w:sz w:val="24"/>
              </w:rPr>
              <w:t>的区域分布</w:t>
            </w:r>
            <w:r w:rsidR="00875877">
              <w:rPr>
                <w:rFonts w:hint="eastAsia"/>
                <w:b/>
                <w:bCs/>
                <w:kern w:val="0"/>
                <w:sz w:val="24"/>
              </w:rPr>
              <w:t>及结转节奏</w:t>
            </w:r>
            <w:r w:rsidR="00051935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F0B3406" w14:textId="5AA3363E" w:rsidR="00FB0638" w:rsidRDefault="00875877" w:rsidP="00051935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 w:rsidRPr="00875877">
              <w:rPr>
                <w:rFonts w:hint="eastAsia"/>
                <w:kern w:val="0"/>
                <w:sz w:val="24"/>
              </w:rPr>
              <w:t>存量项目</w:t>
            </w:r>
            <w:r>
              <w:rPr>
                <w:rFonts w:hint="eastAsia"/>
                <w:kern w:val="0"/>
                <w:sz w:val="24"/>
              </w:rPr>
              <w:t>主要分布于宁波、</w:t>
            </w:r>
            <w:r w:rsidR="009E235A">
              <w:rPr>
                <w:rFonts w:hint="eastAsia"/>
                <w:kern w:val="0"/>
                <w:sz w:val="24"/>
              </w:rPr>
              <w:t>杭州湾、温州、珠海等地，</w:t>
            </w:r>
            <w:r w:rsidRPr="00875877">
              <w:rPr>
                <w:rFonts w:hint="eastAsia"/>
                <w:kern w:val="0"/>
                <w:sz w:val="24"/>
              </w:rPr>
              <w:t>将于</w:t>
            </w:r>
            <w:r w:rsidRPr="00875877">
              <w:rPr>
                <w:rFonts w:hint="eastAsia"/>
                <w:kern w:val="0"/>
                <w:sz w:val="24"/>
              </w:rPr>
              <w:t>2024</w:t>
            </w:r>
            <w:r w:rsidRPr="00875877">
              <w:rPr>
                <w:rFonts w:hint="eastAsia"/>
                <w:kern w:val="0"/>
                <w:sz w:val="24"/>
              </w:rPr>
              <w:t>至</w:t>
            </w:r>
            <w:r w:rsidRPr="00875877">
              <w:rPr>
                <w:rFonts w:hint="eastAsia"/>
                <w:kern w:val="0"/>
                <w:sz w:val="24"/>
              </w:rPr>
              <w:t>2025</w:t>
            </w:r>
            <w:r w:rsidRPr="00875877">
              <w:rPr>
                <w:rFonts w:hint="eastAsia"/>
                <w:kern w:val="0"/>
                <w:sz w:val="24"/>
              </w:rPr>
              <w:t>年集中结转。</w:t>
            </w:r>
          </w:p>
          <w:p w14:paraId="46B24DFB" w14:textId="060C5703" w:rsidR="006223DF" w:rsidRDefault="00D2245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7031AC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031AC" w:rsidRPr="007031AC">
              <w:rPr>
                <w:rFonts w:hint="eastAsia"/>
                <w:b/>
                <w:bCs/>
                <w:kern w:val="0"/>
                <w:sz w:val="24"/>
              </w:rPr>
              <w:t>时尚体验馆的开店规划</w:t>
            </w:r>
            <w:r w:rsidR="007031AC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6BBD737" w14:textId="13A683D9" w:rsidR="007031AC" w:rsidRDefault="007031AC" w:rsidP="00B075D7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近两年南宁店、赣州店、</w:t>
            </w:r>
            <w:r w:rsidRPr="007031AC">
              <w:rPr>
                <w:rFonts w:hint="eastAsia"/>
                <w:kern w:val="0"/>
                <w:sz w:val="24"/>
              </w:rPr>
              <w:t>南昌店、济南店、郑州店、长春店</w:t>
            </w:r>
            <w:r>
              <w:rPr>
                <w:rFonts w:hint="eastAsia"/>
                <w:kern w:val="0"/>
                <w:sz w:val="24"/>
              </w:rPr>
              <w:t>、贵阳店、太原店</w:t>
            </w:r>
            <w:r w:rsidR="00A807B4">
              <w:rPr>
                <w:rFonts w:hint="eastAsia"/>
                <w:kern w:val="0"/>
                <w:sz w:val="24"/>
              </w:rPr>
              <w:t>、温州店、上海店、武汉店</w:t>
            </w:r>
            <w:r>
              <w:rPr>
                <w:rFonts w:hint="eastAsia"/>
                <w:kern w:val="0"/>
                <w:sz w:val="24"/>
              </w:rPr>
              <w:t>已陆续开业</w:t>
            </w:r>
            <w:r>
              <w:rPr>
                <w:kern w:val="0"/>
                <w:sz w:val="24"/>
              </w:rPr>
              <w:t>，</w:t>
            </w:r>
            <w:r w:rsidRPr="007031AC">
              <w:rPr>
                <w:rFonts w:hint="eastAsia"/>
                <w:kern w:val="0"/>
                <w:sz w:val="24"/>
              </w:rPr>
              <w:t>其余在</w:t>
            </w:r>
            <w:r w:rsidRPr="007031AC">
              <w:rPr>
                <w:rFonts w:hint="eastAsia"/>
                <w:kern w:val="0"/>
                <w:sz w:val="24"/>
              </w:rPr>
              <w:t>2024</w:t>
            </w:r>
            <w:r w:rsidRPr="007031AC">
              <w:rPr>
                <w:rFonts w:hint="eastAsia"/>
                <w:kern w:val="0"/>
                <w:sz w:val="24"/>
              </w:rPr>
              <w:t>年计划开设的时尚体验馆</w:t>
            </w:r>
            <w:r>
              <w:rPr>
                <w:rFonts w:hint="eastAsia"/>
                <w:kern w:val="0"/>
                <w:sz w:val="24"/>
              </w:rPr>
              <w:t>也</w:t>
            </w:r>
            <w:r w:rsidRPr="007031AC">
              <w:rPr>
                <w:rFonts w:hint="eastAsia"/>
                <w:kern w:val="0"/>
                <w:sz w:val="24"/>
              </w:rPr>
              <w:t>将集中在</w:t>
            </w:r>
            <w:r w:rsidRPr="007031AC">
              <w:rPr>
                <w:rFonts w:hint="eastAsia"/>
                <w:kern w:val="0"/>
                <w:sz w:val="24"/>
              </w:rPr>
              <w:t>9</w:t>
            </w:r>
            <w:r w:rsidRPr="007031AC">
              <w:rPr>
                <w:rFonts w:hint="eastAsia"/>
                <w:kern w:val="0"/>
                <w:sz w:val="24"/>
              </w:rPr>
              <w:t>月至</w:t>
            </w:r>
            <w:r w:rsidRPr="007031AC">
              <w:rPr>
                <w:rFonts w:hint="eastAsia"/>
                <w:kern w:val="0"/>
                <w:sz w:val="24"/>
              </w:rPr>
              <w:t>10</w:t>
            </w:r>
            <w:r w:rsidRPr="007031A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开业。</w:t>
            </w:r>
          </w:p>
          <w:p w14:paraId="411C2435" w14:textId="25FA5A8D" w:rsidR="006223DF" w:rsidRDefault="00D2245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000000">
              <w:rPr>
                <w:rFonts w:hint="eastAsia"/>
                <w:b/>
                <w:bCs/>
                <w:kern w:val="0"/>
                <w:sz w:val="24"/>
              </w:rPr>
              <w:t>、分红政策的情况？</w:t>
            </w:r>
            <w:r w:rsidR="00000000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7090CB19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</w:t>
            </w:r>
            <w:r w:rsidRPr="002478D4">
              <w:rPr>
                <w:rFonts w:hint="eastAsia"/>
                <w:kern w:val="0"/>
                <w:sz w:val="24"/>
              </w:rPr>
              <w:t>公司已</w:t>
            </w:r>
            <w:r w:rsidR="00B06B8A">
              <w:rPr>
                <w:rFonts w:hint="eastAsia"/>
                <w:kern w:val="0"/>
                <w:sz w:val="24"/>
              </w:rPr>
              <w:t>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</w:t>
            </w:r>
            <w:r w:rsidR="002478D4">
              <w:rPr>
                <w:rFonts w:hint="eastAsia"/>
                <w:kern w:val="0"/>
                <w:sz w:val="24"/>
              </w:rPr>
              <w:t>2024</w:t>
            </w:r>
            <w:r w:rsidR="002478D4">
              <w:rPr>
                <w:rFonts w:hint="eastAsia"/>
                <w:kern w:val="0"/>
                <w:sz w:val="24"/>
              </w:rPr>
              <w:t>年第</w:t>
            </w:r>
            <w:r w:rsidR="00B06B8A">
              <w:rPr>
                <w:kern w:val="0"/>
                <w:sz w:val="24"/>
              </w:rPr>
              <w:t>一季度现金红利分派</w:t>
            </w:r>
            <w:r>
              <w:rPr>
                <w:rFonts w:hint="eastAsia"/>
                <w:kern w:val="0"/>
                <w:sz w:val="24"/>
              </w:rPr>
              <w:t>，半年度分红预案请关注后续公告。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721C8A96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年9月</w:t>
            </w:r>
            <w:r w:rsidR="00090C1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27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  <w:rPr>
          <w:rFonts w:hint="eastAsia"/>
        </w:rPr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034B3" w14:textId="77777777" w:rsidR="00F170D8" w:rsidRDefault="00F170D8" w:rsidP="00AF10EF">
      <w:r>
        <w:separator/>
      </w:r>
    </w:p>
  </w:endnote>
  <w:endnote w:type="continuationSeparator" w:id="0">
    <w:p w14:paraId="1BC9273A" w14:textId="77777777" w:rsidR="00F170D8" w:rsidRDefault="00F170D8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9F74" w14:textId="77777777" w:rsidR="00F170D8" w:rsidRDefault="00F170D8" w:rsidP="00AF10EF">
      <w:r>
        <w:separator/>
      </w:r>
    </w:p>
  </w:footnote>
  <w:footnote w:type="continuationSeparator" w:id="0">
    <w:p w14:paraId="58CE73AD" w14:textId="77777777" w:rsidR="00F170D8" w:rsidRDefault="00F170D8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0BC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65BF"/>
    <w:rsid w:val="0006688A"/>
    <w:rsid w:val="00067997"/>
    <w:rsid w:val="000728C1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B541B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940E2"/>
    <w:rsid w:val="00394CCB"/>
    <w:rsid w:val="003A08A6"/>
    <w:rsid w:val="003A23A0"/>
    <w:rsid w:val="003A4255"/>
    <w:rsid w:val="003B7A04"/>
    <w:rsid w:val="003C0C8D"/>
    <w:rsid w:val="003C3C01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509A"/>
    <w:rsid w:val="00425892"/>
    <w:rsid w:val="004270A7"/>
    <w:rsid w:val="00427E0E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263C"/>
    <w:rsid w:val="00982EF9"/>
    <w:rsid w:val="009845FE"/>
    <w:rsid w:val="009860D3"/>
    <w:rsid w:val="00987363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2EA"/>
    <w:rsid w:val="00A1486A"/>
    <w:rsid w:val="00A17032"/>
    <w:rsid w:val="00A176F0"/>
    <w:rsid w:val="00A1793B"/>
    <w:rsid w:val="00A22A95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7C44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66A87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DA9"/>
    <w:rsid w:val="00CA6F70"/>
    <w:rsid w:val="00CA7346"/>
    <w:rsid w:val="00CB21D8"/>
    <w:rsid w:val="00CB4085"/>
    <w:rsid w:val="00CB7159"/>
    <w:rsid w:val="00CB748F"/>
    <w:rsid w:val="00CB7519"/>
    <w:rsid w:val="00CD1039"/>
    <w:rsid w:val="00CD1A4E"/>
    <w:rsid w:val="00CD5D19"/>
    <w:rsid w:val="00CD6384"/>
    <w:rsid w:val="00CD6ECD"/>
    <w:rsid w:val="00CE2FF0"/>
    <w:rsid w:val="00CE610F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A7F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34A5"/>
    <w:rsid w:val="00DD4775"/>
    <w:rsid w:val="00DE075A"/>
    <w:rsid w:val="00DE1F95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0106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70D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124</Words>
  <Characters>709</Characters>
  <Application>Microsoft Office Word</Application>
  <DocSecurity>0</DocSecurity>
  <Lines>5</Lines>
  <Paragraphs>1</Paragraphs>
  <ScaleCrop>false</ScaleCrop>
  <Company>acer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250</cp:revision>
  <cp:lastPrinted>2022-06-02T07:44:00Z</cp:lastPrinted>
  <dcterms:created xsi:type="dcterms:W3CDTF">2024-06-11T05:16:00Z</dcterms:created>
  <dcterms:modified xsi:type="dcterms:W3CDTF">2024-09-27T04:25:00Z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