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83B34" w14:textId="77777777" w:rsidR="00BE0AE9" w:rsidRPr="00BE0AE9" w:rsidRDefault="00BE0AE9" w:rsidP="00156344">
      <w:pPr>
        <w:spacing w:beforeLines="50" w:before="156" w:afterLines="50" w:after="156" w:line="360" w:lineRule="auto"/>
        <w:rPr>
          <w:rFonts w:eastAsiaTheme="minorEastAsia"/>
          <w:b/>
          <w:bCs/>
          <w:iCs/>
          <w:color w:val="000000"/>
          <w:szCs w:val="21"/>
        </w:rPr>
      </w:pPr>
      <w:r w:rsidRPr="00BE0AE9">
        <w:rPr>
          <w:rFonts w:hint="eastAsia"/>
          <w:b/>
          <w:bCs/>
          <w:iCs/>
          <w:color w:val="000000"/>
          <w:szCs w:val="21"/>
        </w:rPr>
        <w:t>证券代码：</w:t>
      </w:r>
      <w:r w:rsidRPr="00BE0AE9">
        <w:rPr>
          <w:b/>
          <w:bCs/>
          <w:iCs/>
          <w:color w:val="000000"/>
          <w:szCs w:val="21"/>
        </w:rPr>
        <w:t>603</w:t>
      </w:r>
      <w:r w:rsidRPr="00BE0AE9">
        <w:rPr>
          <w:rFonts w:eastAsiaTheme="minorEastAsia"/>
          <w:b/>
          <w:bCs/>
          <w:iCs/>
          <w:color w:val="000000"/>
          <w:szCs w:val="21"/>
        </w:rPr>
        <w:t>758</w:t>
      </w:r>
      <w:r w:rsidRPr="00BE0AE9">
        <w:rPr>
          <w:b/>
          <w:bCs/>
          <w:iCs/>
          <w:color w:val="000000"/>
          <w:szCs w:val="21"/>
        </w:rPr>
        <w:t xml:space="preserve">                                             </w:t>
      </w:r>
      <w:r w:rsidRPr="00BE0AE9">
        <w:rPr>
          <w:rFonts w:hint="eastAsia"/>
          <w:b/>
          <w:bCs/>
          <w:iCs/>
          <w:color w:val="000000"/>
          <w:szCs w:val="21"/>
        </w:rPr>
        <w:t>证券简称：</w:t>
      </w:r>
      <w:r>
        <w:rPr>
          <w:rFonts w:eastAsiaTheme="minorEastAsia" w:hint="eastAsia"/>
          <w:b/>
          <w:bCs/>
          <w:iCs/>
          <w:color w:val="000000"/>
          <w:szCs w:val="21"/>
        </w:rPr>
        <w:t>秦安股份</w:t>
      </w:r>
    </w:p>
    <w:p w14:paraId="3CD3ED5E" w14:textId="77777777" w:rsidR="00BE0AE9" w:rsidRPr="00BE0AE9" w:rsidRDefault="00BE0AE9" w:rsidP="00BE0AE9">
      <w:pPr>
        <w:jc w:val="center"/>
        <w:rPr>
          <w:rFonts w:eastAsiaTheme="minorEastAsia"/>
          <w:b/>
          <w:sz w:val="36"/>
          <w:szCs w:val="36"/>
        </w:rPr>
      </w:pPr>
      <w:r w:rsidRPr="00BE0AE9">
        <w:rPr>
          <w:rFonts w:eastAsiaTheme="minorEastAsia" w:hint="eastAsia"/>
          <w:b/>
          <w:sz w:val="36"/>
          <w:szCs w:val="36"/>
        </w:rPr>
        <w:t>重庆秦安机电股份有限公司</w:t>
      </w:r>
      <w:r w:rsidRPr="00BE0AE9">
        <w:rPr>
          <w:rFonts w:eastAsiaTheme="minorEastAsia"/>
          <w:b/>
          <w:sz w:val="36"/>
          <w:szCs w:val="36"/>
        </w:rPr>
        <w:t xml:space="preserve"> </w:t>
      </w:r>
    </w:p>
    <w:p w14:paraId="294600D2" w14:textId="77777777" w:rsidR="00BE0AE9" w:rsidRPr="00BE0AE9" w:rsidRDefault="00BE0AE9" w:rsidP="00BE0AE9">
      <w:pPr>
        <w:jc w:val="center"/>
        <w:rPr>
          <w:rFonts w:eastAsiaTheme="minorEastAsia"/>
          <w:b/>
          <w:sz w:val="36"/>
          <w:szCs w:val="36"/>
        </w:rPr>
      </w:pPr>
      <w:r w:rsidRPr="00BE0AE9">
        <w:rPr>
          <w:rFonts w:eastAsiaTheme="minorEastAsia" w:hint="eastAsia"/>
          <w:b/>
          <w:sz w:val="36"/>
          <w:szCs w:val="36"/>
        </w:rPr>
        <w:t>投资者关系活动记录表</w:t>
      </w:r>
    </w:p>
    <w:p w14:paraId="7D9A51AD" w14:textId="6054C7BA" w:rsidR="00BE0AE9" w:rsidRPr="00D87737" w:rsidRDefault="00BE0AE9" w:rsidP="00156344">
      <w:pPr>
        <w:spacing w:beforeLines="50" w:before="156" w:afterLines="50" w:after="156" w:line="276" w:lineRule="auto"/>
        <w:ind w:firstLineChars="2850" w:firstLine="6867"/>
        <w:rPr>
          <w:rFonts w:eastAsiaTheme="minorEastAsia"/>
          <w:b/>
          <w:bCs/>
          <w:iCs/>
          <w:color w:val="000000"/>
          <w:szCs w:val="21"/>
        </w:rPr>
      </w:pPr>
      <w:r w:rsidRPr="00D87737">
        <w:rPr>
          <w:rFonts w:eastAsiaTheme="minorEastAsia" w:hint="eastAsia"/>
          <w:b/>
          <w:bCs/>
          <w:iCs/>
          <w:color w:val="000000"/>
          <w:sz w:val="24"/>
        </w:rPr>
        <w:t>编号</w:t>
      </w:r>
      <w:r w:rsidRPr="00D87737">
        <w:rPr>
          <w:rFonts w:eastAsiaTheme="minorEastAsia" w:hint="eastAsia"/>
          <w:b/>
          <w:bCs/>
          <w:iCs/>
          <w:color w:val="000000"/>
          <w:szCs w:val="21"/>
        </w:rPr>
        <w:t>：</w:t>
      </w:r>
      <w:r w:rsidRPr="00D87737">
        <w:rPr>
          <w:rFonts w:eastAsiaTheme="minorEastAsia"/>
          <w:b/>
          <w:bCs/>
          <w:iCs/>
          <w:color w:val="000000"/>
          <w:szCs w:val="21"/>
        </w:rPr>
        <w:t>20</w:t>
      </w:r>
      <w:r w:rsidR="007C42D0">
        <w:rPr>
          <w:rFonts w:eastAsiaTheme="minorEastAsia"/>
          <w:b/>
          <w:bCs/>
          <w:iCs/>
          <w:color w:val="000000"/>
          <w:szCs w:val="21"/>
        </w:rPr>
        <w:t>2</w:t>
      </w:r>
      <w:r w:rsidR="00A02C82">
        <w:rPr>
          <w:rFonts w:eastAsiaTheme="minorEastAsia" w:hint="eastAsia"/>
          <w:b/>
          <w:bCs/>
          <w:iCs/>
          <w:color w:val="000000"/>
          <w:szCs w:val="21"/>
        </w:rPr>
        <w:t>4</w:t>
      </w:r>
      <w:r w:rsidRPr="00D87737">
        <w:rPr>
          <w:rFonts w:eastAsiaTheme="minorEastAsia"/>
          <w:b/>
          <w:bCs/>
          <w:iCs/>
          <w:color w:val="000000"/>
          <w:szCs w:val="21"/>
        </w:rPr>
        <w:t>-</w:t>
      </w:r>
      <w:r w:rsidR="00822265">
        <w:rPr>
          <w:rFonts w:eastAsiaTheme="minorEastAsia"/>
          <w:b/>
          <w:bCs/>
          <w:iCs/>
          <w:color w:val="000000"/>
          <w:szCs w:val="21"/>
        </w:rPr>
        <w:t>0</w:t>
      </w:r>
      <w:r w:rsidR="00F272B6">
        <w:rPr>
          <w:rFonts w:eastAsiaTheme="minorEastAsia"/>
          <w:b/>
          <w:bCs/>
          <w:iCs/>
          <w:color w:val="000000"/>
          <w:szCs w:val="21"/>
        </w:rPr>
        <w:t>0</w:t>
      </w:r>
      <w:r w:rsidR="002E1C77">
        <w:rPr>
          <w:rFonts w:eastAsiaTheme="minorEastAsia" w:hint="eastAsia"/>
          <w:b/>
          <w:bCs/>
          <w:iCs/>
          <w:color w:val="000000"/>
          <w:szCs w:val="21"/>
        </w:rPr>
        <w:t>2</w:t>
      </w:r>
    </w:p>
    <w:tbl>
      <w:tblPr>
        <w:tblW w:w="10535" w:type="dxa"/>
        <w:jc w:val="center"/>
        <w:tblLayout w:type="fixed"/>
        <w:tblLook w:val="04A0" w:firstRow="1" w:lastRow="0" w:firstColumn="1" w:lastColumn="0" w:noHBand="0" w:noVBand="1"/>
      </w:tblPr>
      <w:tblGrid>
        <w:gridCol w:w="1560"/>
        <w:gridCol w:w="4219"/>
        <w:gridCol w:w="1780"/>
        <w:gridCol w:w="2976"/>
      </w:tblGrid>
      <w:tr w:rsidR="00BE0AE9" w:rsidRPr="00BE0AE9" w14:paraId="7A92A81D" w14:textId="77777777" w:rsidTr="0020089D">
        <w:trPr>
          <w:trHeight w:val="330"/>
          <w:jc w:val="center"/>
        </w:trPr>
        <w:tc>
          <w:tcPr>
            <w:tcW w:w="1560" w:type="dxa"/>
            <w:vMerge w:val="restart"/>
            <w:tcBorders>
              <w:top w:val="single" w:sz="4" w:space="0" w:color="auto"/>
              <w:left w:val="single" w:sz="4" w:space="0" w:color="auto"/>
              <w:bottom w:val="single" w:sz="4" w:space="0" w:color="auto"/>
              <w:right w:val="nil"/>
            </w:tcBorders>
            <w:shd w:val="clear" w:color="auto" w:fill="auto"/>
            <w:vAlign w:val="center"/>
            <w:hideMark/>
          </w:tcPr>
          <w:p w14:paraId="243C4E70" w14:textId="77777777" w:rsidR="00BE0AE9" w:rsidRPr="00BE0AE9" w:rsidRDefault="00BE0AE9" w:rsidP="00BE0AE9">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投资者关系活动类别</w:t>
            </w:r>
          </w:p>
        </w:tc>
        <w:tc>
          <w:tcPr>
            <w:tcW w:w="4219" w:type="dxa"/>
            <w:tcBorders>
              <w:top w:val="single" w:sz="4" w:space="0" w:color="auto"/>
              <w:left w:val="single" w:sz="4" w:space="0" w:color="auto"/>
              <w:bottom w:val="nil"/>
              <w:right w:val="nil"/>
            </w:tcBorders>
            <w:shd w:val="clear" w:color="auto" w:fill="auto"/>
            <w:noWrap/>
            <w:vAlign w:val="center"/>
            <w:hideMark/>
          </w:tcPr>
          <w:p w14:paraId="3899EA71" w14:textId="5ACC8789" w:rsidR="00BE0AE9" w:rsidRPr="00BE0AE9" w:rsidRDefault="005D1635" w:rsidP="00BE0AE9">
            <w:pPr>
              <w:widowControl/>
              <w:jc w:val="left"/>
              <w:rPr>
                <w:rFonts w:ascii="宋体" w:hAnsi="宋体" w:cs="宋体"/>
                <w:color w:val="000000"/>
                <w:kern w:val="0"/>
                <w:sz w:val="22"/>
                <w:szCs w:val="22"/>
              </w:rPr>
            </w:pPr>
            <w:r>
              <w:rPr>
                <w:rFonts w:ascii="宋体" w:hAnsi="宋体" w:cs="宋体" w:hint="eastAsia"/>
                <w:color w:val="000000"/>
                <w:kern w:val="0"/>
                <w:sz w:val="22"/>
                <w:szCs w:val="22"/>
              </w:rPr>
              <w:t>√</w:t>
            </w:r>
            <w:r w:rsidR="00BE0AE9" w:rsidRPr="00BE0AE9">
              <w:rPr>
                <w:rFonts w:ascii="宋体" w:hAnsi="宋体" w:cs="宋体" w:hint="eastAsia"/>
                <w:color w:val="000000"/>
                <w:kern w:val="0"/>
                <w:sz w:val="22"/>
                <w:szCs w:val="22"/>
              </w:rPr>
              <w:t>特定对象调研</w:t>
            </w:r>
          </w:p>
        </w:tc>
        <w:tc>
          <w:tcPr>
            <w:tcW w:w="1780" w:type="dxa"/>
            <w:tcBorders>
              <w:top w:val="single" w:sz="4" w:space="0" w:color="auto"/>
              <w:left w:val="nil"/>
              <w:bottom w:val="nil"/>
              <w:right w:val="nil"/>
            </w:tcBorders>
            <w:shd w:val="clear" w:color="auto" w:fill="auto"/>
            <w:noWrap/>
            <w:vAlign w:val="center"/>
            <w:hideMark/>
          </w:tcPr>
          <w:p w14:paraId="03C3BD08"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□分析师会议</w:t>
            </w:r>
          </w:p>
        </w:tc>
        <w:tc>
          <w:tcPr>
            <w:tcW w:w="2976" w:type="dxa"/>
            <w:tcBorders>
              <w:top w:val="single" w:sz="4" w:space="0" w:color="auto"/>
              <w:left w:val="nil"/>
              <w:bottom w:val="nil"/>
              <w:right w:val="single" w:sz="4" w:space="0" w:color="auto"/>
            </w:tcBorders>
            <w:shd w:val="clear" w:color="auto" w:fill="auto"/>
            <w:noWrap/>
            <w:vAlign w:val="center"/>
            <w:hideMark/>
          </w:tcPr>
          <w:p w14:paraId="0737966E"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 xml:space="preserve">　</w:t>
            </w:r>
          </w:p>
        </w:tc>
      </w:tr>
      <w:tr w:rsidR="00BE0AE9" w:rsidRPr="00BE0AE9" w14:paraId="4F948789" w14:textId="77777777" w:rsidTr="0020089D">
        <w:trPr>
          <w:trHeight w:val="330"/>
          <w:jc w:val="center"/>
        </w:trPr>
        <w:tc>
          <w:tcPr>
            <w:tcW w:w="1560" w:type="dxa"/>
            <w:vMerge/>
            <w:tcBorders>
              <w:top w:val="single" w:sz="4" w:space="0" w:color="auto"/>
              <w:left w:val="single" w:sz="4" w:space="0" w:color="auto"/>
              <w:bottom w:val="single" w:sz="4" w:space="0" w:color="auto"/>
              <w:right w:val="nil"/>
            </w:tcBorders>
            <w:vAlign w:val="center"/>
            <w:hideMark/>
          </w:tcPr>
          <w:p w14:paraId="67485C8A" w14:textId="77777777" w:rsidR="00BE0AE9" w:rsidRPr="00BE0AE9" w:rsidRDefault="00BE0AE9" w:rsidP="00BE0AE9">
            <w:pPr>
              <w:widowControl/>
              <w:jc w:val="left"/>
              <w:rPr>
                <w:rFonts w:ascii="宋体" w:hAnsi="宋体" w:cs="宋体"/>
                <w:b/>
                <w:bCs/>
                <w:color w:val="000000"/>
                <w:kern w:val="0"/>
                <w:sz w:val="22"/>
                <w:szCs w:val="22"/>
              </w:rPr>
            </w:pPr>
          </w:p>
        </w:tc>
        <w:tc>
          <w:tcPr>
            <w:tcW w:w="4219" w:type="dxa"/>
            <w:tcBorders>
              <w:top w:val="nil"/>
              <w:left w:val="single" w:sz="4" w:space="0" w:color="auto"/>
              <w:bottom w:val="nil"/>
              <w:right w:val="nil"/>
            </w:tcBorders>
            <w:shd w:val="clear" w:color="auto" w:fill="auto"/>
            <w:noWrap/>
            <w:vAlign w:val="center"/>
            <w:hideMark/>
          </w:tcPr>
          <w:p w14:paraId="5E130BA6"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□媒体采访</w:t>
            </w:r>
          </w:p>
        </w:tc>
        <w:tc>
          <w:tcPr>
            <w:tcW w:w="1780" w:type="dxa"/>
            <w:tcBorders>
              <w:top w:val="nil"/>
              <w:left w:val="nil"/>
              <w:bottom w:val="nil"/>
              <w:right w:val="nil"/>
            </w:tcBorders>
            <w:shd w:val="clear" w:color="auto" w:fill="auto"/>
            <w:noWrap/>
            <w:vAlign w:val="center"/>
            <w:hideMark/>
          </w:tcPr>
          <w:p w14:paraId="1BB2C044" w14:textId="560F2F8D" w:rsidR="00BE0AE9" w:rsidRPr="00BE0AE9" w:rsidRDefault="005D1635"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w:t>
            </w:r>
            <w:r w:rsidR="00BE0AE9" w:rsidRPr="00BE0AE9">
              <w:rPr>
                <w:rFonts w:ascii="宋体" w:hAnsi="宋体" w:cs="宋体" w:hint="eastAsia"/>
                <w:color w:val="000000"/>
                <w:kern w:val="0"/>
                <w:sz w:val="22"/>
                <w:szCs w:val="22"/>
              </w:rPr>
              <w:t>业绩说明会</w:t>
            </w:r>
          </w:p>
        </w:tc>
        <w:tc>
          <w:tcPr>
            <w:tcW w:w="2976" w:type="dxa"/>
            <w:tcBorders>
              <w:top w:val="nil"/>
              <w:left w:val="nil"/>
              <w:bottom w:val="nil"/>
              <w:right w:val="single" w:sz="4" w:space="0" w:color="auto"/>
            </w:tcBorders>
            <w:shd w:val="clear" w:color="auto" w:fill="auto"/>
            <w:noWrap/>
            <w:vAlign w:val="center"/>
            <w:hideMark/>
          </w:tcPr>
          <w:p w14:paraId="3386A5D4"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 xml:space="preserve">　</w:t>
            </w:r>
          </w:p>
        </w:tc>
      </w:tr>
      <w:tr w:rsidR="00BE0AE9" w:rsidRPr="00BE0AE9" w14:paraId="210CF423" w14:textId="77777777" w:rsidTr="0020089D">
        <w:trPr>
          <w:trHeight w:val="330"/>
          <w:jc w:val="center"/>
        </w:trPr>
        <w:tc>
          <w:tcPr>
            <w:tcW w:w="1560" w:type="dxa"/>
            <w:vMerge/>
            <w:tcBorders>
              <w:top w:val="single" w:sz="4" w:space="0" w:color="auto"/>
              <w:left w:val="single" w:sz="4" w:space="0" w:color="auto"/>
              <w:bottom w:val="single" w:sz="4" w:space="0" w:color="auto"/>
              <w:right w:val="nil"/>
            </w:tcBorders>
            <w:vAlign w:val="center"/>
            <w:hideMark/>
          </w:tcPr>
          <w:p w14:paraId="10208497" w14:textId="77777777" w:rsidR="00BE0AE9" w:rsidRPr="00BE0AE9" w:rsidRDefault="00BE0AE9" w:rsidP="00BE0AE9">
            <w:pPr>
              <w:widowControl/>
              <w:jc w:val="left"/>
              <w:rPr>
                <w:rFonts w:ascii="宋体" w:hAnsi="宋体" w:cs="宋体"/>
                <w:b/>
                <w:bCs/>
                <w:color w:val="000000"/>
                <w:kern w:val="0"/>
                <w:sz w:val="22"/>
                <w:szCs w:val="22"/>
              </w:rPr>
            </w:pPr>
          </w:p>
        </w:tc>
        <w:tc>
          <w:tcPr>
            <w:tcW w:w="4219" w:type="dxa"/>
            <w:tcBorders>
              <w:top w:val="nil"/>
              <w:left w:val="single" w:sz="4" w:space="0" w:color="auto"/>
              <w:bottom w:val="nil"/>
              <w:right w:val="nil"/>
            </w:tcBorders>
            <w:shd w:val="clear" w:color="auto" w:fill="auto"/>
            <w:noWrap/>
            <w:vAlign w:val="center"/>
            <w:hideMark/>
          </w:tcPr>
          <w:p w14:paraId="4A8B44F6"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□新闻发布会</w:t>
            </w:r>
          </w:p>
        </w:tc>
        <w:tc>
          <w:tcPr>
            <w:tcW w:w="1780" w:type="dxa"/>
            <w:tcBorders>
              <w:top w:val="nil"/>
              <w:left w:val="nil"/>
              <w:bottom w:val="nil"/>
              <w:right w:val="nil"/>
            </w:tcBorders>
            <w:shd w:val="clear" w:color="auto" w:fill="auto"/>
            <w:noWrap/>
            <w:vAlign w:val="center"/>
            <w:hideMark/>
          </w:tcPr>
          <w:p w14:paraId="5BE15C5E"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□路演活动</w:t>
            </w:r>
          </w:p>
        </w:tc>
        <w:tc>
          <w:tcPr>
            <w:tcW w:w="2976" w:type="dxa"/>
            <w:tcBorders>
              <w:top w:val="nil"/>
              <w:left w:val="nil"/>
              <w:bottom w:val="nil"/>
              <w:right w:val="single" w:sz="4" w:space="0" w:color="auto"/>
            </w:tcBorders>
            <w:shd w:val="clear" w:color="auto" w:fill="auto"/>
            <w:noWrap/>
            <w:vAlign w:val="center"/>
            <w:hideMark/>
          </w:tcPr>
          <w:p w14:paraId="6FA17B88"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 xml:space="preserve">　</w:t>
            </w:r>
          </w:p>
        </w:tc>
      </w:tr>
      <w:tr w:rsidR="00BE0AE9" w:rsidRPr="00BE0AE9" w14:paraId="03846C5A" w14:textId="77777777" w:rsidTr="0020089D">
        <w:trPr>
          <w:trHeight w:val="330"/>
          <w:jc w:val="center"/>
        </w:trPr>
        <w:tc>
          <w:tcPr>
            <w:tcW w:w="1560" w:type="dxa"/>
            <w:vMerge/>
            <w:tcBorders>
              <w:top w:val="single" w:sz="4" w:space="0" w:color="auto"/>
              <w:left w:val="single" w:sz="4" w:space="0" w:color="auto"/>
              <w:bottom w:val="single" w:sz="4" w:space="0" w:color="auto"/>
              <w:right w:val="nil"/>
            </w:tcBorders>
            <w:vAlign w:val="center"/>
            <w:hideMark/>
          </w:tcPr>
          <w:p w14:paraId="08FEB391" w14:textId="77777777" w:rsidR="00BE0AE9" w:rsidRPr="00BE0AE9" w:rsidRDefault="00BE0AE9" w:rsidP="00BE0AE9">
            <w:pPr>
              <w:widowControl/>
              <w:jc w:val="left"/>
              <w:rPr>
                <w:rFonts w:ascii="宋体" w:hAnsi="宋体" w:cs="宋体"/>
                <w:b/>
                <w:bCs/>
                <w:color w:val="000000"/>
                <w:kern w:val="0"/>
                <w:sz w:val="22"/>
                <w:szCs w:val="22"/>
              </w:rPr>
            </w:pPr>
          </w:p>
        </w:tc>
        <w:tc>
          <w:tcPr>
            <w:tcW w:w="4219" w:type="dxa"/>
            <w:tcBorders>
              <w:top w:val="nil"/>
              <w:left w:val="single" w:sz="4" w:space="0" w:color="auto"/>
              <w:bottom w:val="nil"/>
              <w:right w:val="nil"/>
            </w:tcBorders>
            <w:shd w:val="clear" w:color="auto" w:fill="auto"/>
            <w:noWrap/>
            <w:vAlign w:val="center"/>
            <w:hideMark/>
          </w:tcPr>
          <w:p w14:paraId="2E3B74C7" w14:textId="5367749E" w:rsidR="00BE0AE9" w:rsidRPr="00BE0AE9" w:rsidRDefault="005D1635" w:rsidP="00BE0AE9">
            <w:pPr>
              <w:widowControl/>
              <w:jc w:val="left"/>
              <w:rPr>
                <w:rFonts w:ascii="宋体" w:hAnsi="宋体" w:cs="宋体"/>
                <w:color w:val="000000"/>
                <w:kern w:val="0"/>
                <w:sz w:val="22"/>
                <w:szCs w:val="22"/>
              </w:rPr>
            </w:pPr>
            <w:r>
              <w:rPr>
                <w:rFonts w:ascii="宋体" w:hAnsi="宋体" w:cs="宋体" w:hint="eastAsia"/>
                <w:color w:val="000000"/>
                <w:kern w:val="0"/>
                <w:sz w:val="22"/>
                <w:szCs w:val="22"/>
              </w:rPr>
              <w:t>√走进上市公司活动</w:t>
            </w:r>
          </w:p>
        </w:tc>
        <w:tc>
          <w:tcPr>
            <w:tcW w:w="1780" w:type="dxa"/>
            <w:tcBorders>
              <w:top w:val="nil"/>
              <w:left w:val="nil"/>
              <w:bottom w:val="nil"/>
              <w:right w:val="nil"/>
            </w:tcBorders>
            <w:shd w:val="clear" w:color="auto" w:fill="auto"/>
            <w:noWrap/>
            <w:vAlign w:val="center"/>
            <w:hideMark/>
          </w:tcPr>
          <w:p w14:paraId="39FBCB7D" w14:textId="1C3D0319" w:rsidR="00BE0AE9" w:rsidRPr="00BE0AE9" w:rsidRDefault="007F7C2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w:t>
            </w:r>
            <w:r w:rsidR="00B93791" w:rsidRPr="00BE0AE9">
              <w:rPr>
                <w:rFonts w:ascii="宋体" w:hAnsi="宋体" w:cs="宋体" w:hint="eastAsia"/>
                <w:color w:val="000000"/>
                <w:kern w:val="0"/>
                <w:sz w:val="22"/>
                <w:szCs w:val="22"/>
              </w:rPr>
              <w:t>其他</w:t>
            </w:r>
          </w:p>
        </w:tc>
        <w:tc>
          <w:tcPr>
            <w:tcW w:w="2976" w:type="dxa"/>
            <w:tcBorders>
              <w:top w:val="nil"/>
              <w:left w:val="nil"/>
              <w:bottom w:val="nil"/>
              <w:right w:val="single" w:sz="4" w:space="0" w:color="auto"/>
            </w:tcBorders>
            <w:shd w:val="clear" w:color="auto" w:fill="auto"/>
            <w:noWrap/>
            <w:vAlign w:val="center"/>
            <w:hideMark/>
          </w:tcPr>
          <w:p w14:paraId="0BBA420C"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 xml:space="preserve">　</w:t>
            </w:r>
          </w:p>
        </w:tc>
      </w:tr>
      <w:tr w:rsidR="00066C32" w:rsidRPr="00BE0AE9" w14:paraId="08AC6849" w14:textId="77777777" w:rsidTr="00023FC4">
        <w:trPr>
          <w:trHeight w:val="756"/>
          <w:jc w:val="center"/>
        </w:trPr>
        <w:tc>
          <w:tcPr>
            <w:tcW w:w="1560" w:type="dxa"/>
            <w:tcBorders>
              <w:top w:val="nil"/>
              <w:left w:val="single" w:sz="4" w:space="0" w:color="auto"/>
              <w:bottom w:val="single" w:sz="4" w:space="0" w:color="auto"/>
              <w:right w:val="single" w:sz="4" w:space="0" w:color="auto"/>
            </w:tcBorders>
            <w:shd w:val="clear" w:color="auto" w:fill="auto"/>
            <w:vAlign w:val="center"/>
          </w:tcPr>
          <w:p w14:paraId="0A3D6FB2" w14:textId="77777777" w:rsidR="00066C32" w:rsidRDefault="00066C32" w:rsidP="00BE0AE9">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参与单位名称及</w:t>
            </w:r>
            <w:r w:rsidRPr="004B1797">
              <w:rPr>
                <w:rFonts w:ascii="宋体" w:hAnsi="宋体" w:cs="宋体" w:hint="eastAsia"/>
                <w:b/>
                <w:bCs/>
                <w:color w:val="000000"/>
                <w:kern w:val="0"/>
                <w:sz w:val="22"/>
                <w:szCs w:val="22"/>
              </w:rPr>
              <w:t>人员姓名</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tcPr>
          <w:p w14:paraId="71F2BF93" w14:textId="0688CCC7" w:rsidR="00E617C0" w:rsidRPr="00461CDB" w:rsidRDefault="00CC4503" w:rsidP="00F443E4">
            <w:pPr>
              <w:widowControl/>
              <w:spacing w:afterLines="25" w:after="78"/>
              <w:jc w:val="left"/>
              <w:rPr>
                <w:rFonts w:ascii="宋体" w:hAnsi="宋体" w:cs="宋体"/>
                <w:color w:val="000000"/>
                <w:kern w:val="0"/>
                <w:sz w:val="22"/>
                <w:szCs w:val="22"/>
              </w:rPr>
            </w:pPr>
            <w:r w:rsidRPr="00CC4503">
              <w:rPr>
                <w:rFonts w:ascii="宋体" w:hAnsi="宋体" w:cs="宋体" w:hint="eastAsia"/>
                <w:color w:val="000000"/>
                <w:kern w:val="0"/>
                <w:sz w:val="22"/>
                <w:szCs w:val="22"/>
              </w:rPr>
              <w:t>平安养老保险</w:t>
            </w:r>
            <w:r w:rsidR="00B8773E">
              <w:rPr>
                <w:rFonts w:ascii="宋体" w:hAnsi="宋体" w:cs="宋体" w:hint="eastAsia"/>
                <w:color w:val="000000"/>
                <w:kern w:val="0"/>
                <w:sz w:val="22"/>
                <w:szCs w:val="22"/>
              </w:rPr>
              <w:t>研究经理吴伯珩</w:t>
            </w:r>
            <w:r w:rsidRPr="00CC4503">
              <w:rPr>
                <w:rFonts w:ascii="宋体" w:hAnsi="宋体" w:cs="宋体" w:hint="eastAsia"/>
                <w:color w:val="000000"/>
                <w:kern w:val="0"/>
                <w:sz w:val="22"/>
                <w:szCs w:val="22"/>
              </w:rPr>
              <w:t>、中信建投</w:t>
            </w:r>
            <w:r w:rsidR="00B8773E">
              <w:rPr>
                <w:rFonts w:ascii="宋体" w:hAnsi="宋体" w:cs="宋体" w:hint="eastAsia"/>
                <w:color w:val="000000"/>
                <w:kern w:val="0"/>
                <w:sz w:val="22"/>
                <w:szCs w:val="22"/>
              </w:rPr>
              <w:t>研究员胡天贶</w:t>
            </w:r>
            <w:r w:rsidRPr="00CC4503">
              <w:rPr>
                <w:rFonts w:ascii="宋体" w:hAnsi="宋体" w:cs="宋体" w:hint="eastAsia"/>
                <w:color w:val="000000"/>
                <w:kern w:val="0"/>
                <w:sz w:val="22"/>
                <w:szCs w:val="22"/>
              </w:rPr>
              <w:t>、</w:t>
            </w:r>
            <w:r w:rsidR="00B8773E" w:rsidRPr="00CC4503">
              <w:rPr>
                <w:rFonts w:ascii="宋体" w:hAnsi="宋体" w:cs="宋体" w:hint="eastAsia"/>
                <w:color w:val="000000"/>
                <w:kern w:val="0"/>
                <w:sz w:val="22"/>
                <w:szCs w:val="22"/>
              </w:rPr>
              <w:t>文储基金</w:t>
            </w:r>
            <w:r w:rsidR="00B8773E">
              <w:rPr>
                <w:rFonts w:ascii="宋体" w:hAnsi="宋体" w:cs="宋体" w:hint="eastAsia"/>
                <w:color w:val="000000"/>
                <w:kern w:val="0"/>
                <w:sz w:val="22"/>
                <w:szCs w:val="22"/>
              </w:rPr>
              <w:t>投资经理肖上华、</w:t>
            </w:r>
            <w:r w:rsidRPr="00CC4503">
              <w:rPr>
                <w:rFonts w:ascii="宋体" w:hAnsi="宋体" w:cs="宋体" w:hint="eastAsia"/>
                <w:color w:val="000000"/>
                <w:kern w:val="0"/>
                <w:sz w:val="22"/>
                <w:szCs w:val="22"/>
              </w:rPr>
              <w:t>洪运基金</w:t>
            </w:r>
            <w:r w:rsidR="00B8773E">
              <w:rPr>
                <w:rFonts w:ascii="宋体" w:hAnsi="宋体" w:cs="宋体" w:hint="eastAsia"/>
                <w:color w:val="000000"/>
                <w:kern w:val="0"/>
                <w:sz w:val="22"/>
                <w:szCs w:val="22"/>
              </w:rPr>
              <w:t>董事/合伙人温锋华等</w:t>
            </w:r>
            <w:r w:rsidR="00B8773E">
              <w:rPr>
                <w:rFonts w:ascii="宋体" w:hAnsi="宋体" w:cs="宋体"/>
                <w:color w:val="000000"/>
                <w:kern w:val="0"/>
                <w:sz w:val="22"/>
                <w:szCs w:val="22"/>
              </w:rPr>
              <w:t>20</w:t>
            </w:r>
            <w:r w:rsidRPr="00CC4503">
              <w:rPr>
                <w:rFonts w:ascii="宋体" w:hAnsi="宋体" w:cs="宋体" w:hint="eastAsia"/>
                <w:color w:val="000000"/>
                <w:kern w:val="0"/>
                <w:sz w:val="22"/>
                <w:szCs w:val="22"/>
              </w:rPr>
              <w:t>名</w:t>
            </w:r>
            <w:r w:rsidR="00BF42C0">
              <w:rPr>
                <w:rFonts w:ascii="宋体" w:hAnsi="宋体" w:cs="宋体" w:hint="eastAsia"/>
                <w:color w:val="000000"/>
                <w:kern w:val="0"/>
                <w:sz w:val="22"/>
                <w:szCs w:val="22"/>
              </w:rPr>
              <w:t>投资</w:t>
            </w:r>
            <w:r w:rsidRPr="00CC4503">
              <w:rPr>
                <w:rFonts w:ascii="宋体" w:hAnsi="宋体" w:cs="宋体" w:hint="eastAsia"/>
                <w:color w:val="000000"/>
                <w:kern w:val="0"/>
                <w:sz w:val="22"/>
                <w:szCs w:val="22"/>
              </w:rPr>
              <w:t>机构</w:t>
            </w:r>
            <w:r w:rsidR="00BF42C0">
              <w:rPr>
                <w:rFonts w:ascii="宋体" w:hAnsi="宋体" w:cs="宋体" w:hint="eastAsia"/>
                <w:color w:val="000000"/>
                <w:kern w:val="0"/>
                <w:sz w:val="22"/>
                <w:szCs w:val="22"/>
              </w:rPr>
              <w:t>及证券机构</w:t>
            </w:r>
            <w:r>
              <w:rPr>
                <w:rFonts w:ascii="宋体" w:hAnsi="宋体" w:cs="宋体" w:hint="eastAsia"/>
                <w:color w:val="000000"/>
                <w:kern w:val="0"/>
                <w:sz w:val="22"/>
                <w:szCs w:val="22"/>
              </w:rPr>
              <w:t>代表</w:t>
            </w:r>
            <w:r w:rsidRPr="00CC4503">
              <w:rPr>
                <w:rFonts w:ascii="宋体" w:hAnsi="宋体" w:cs="宋体" w:hint="eastAsia"/>
                <w:color w:val="000000"/>
                <w:kern w:val="0"/>
                <w:sz w:val="22"/>
                <w:szCs w:val="22"/>
              </w:rPr>
              <w:t>。</w:t>
            </w:r>
          </w:p>
        </w:tc>
      </w:tr>
      <w:tr w:rsidR="00BE0AE9" w:rsidRPr="00BE0AE9" w14:paraId="7057B257" w14:textId="77777777" w:rsidTr="0077153F">
        <w:trPr>
          <w:trHeight w:val="573"/>
          <w:jc w:val="center"/>
        </w:trPr>
        <w:tc>
          <w:tcPr>
            <w:tcW w:w="1560" w:type="dxa"/>
            <w:tcBorders>
              <w:top w:val="nil"/>
              <w:left w:val="single" w:sz="4" w:space="0" w:color="auto"/>
              <w:bottom w:val="single" w:sz="4" w:space="0" w:color="auto"/>
              <w:right w:val="single" w:sz="4" w:space="0" w:color="auto"/>
            </w:tcBorders>
            <w:shd w:val="clear" w:color="auto" w:fill="auto"/>
            <w:vAlign w:val="center"/>
          </w:tcPr>
          <w:p w14:paraId="592971FD" w14:textId="77777777" w:rsidR="00BE0AE9" w:rsidRPr="00BE0AE9" w:rsidRDefault="0087700E" w:rsidP="00066C32">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时间</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tcPr>
          <w:p w14:paraId="2606DCF7" w14:textId="6D452E72" w:rsidR="0087700E" w:rsidRPr="004C2F38" w:rsidRDefault="0087700E" w:rsidP="00156344">
            <w:pPr>
              <w:widowControl/>
              <w:spacing w:afterLines="25" w:after="78"/>
              <w:jc w:val="left"/>
              <w:rPr>
                <w:rFonts w:ascii="宋体" w:hAnsi="宋体" w:cs="宋体"/>
                <w:color w:val="000000"/>
                <w:kern w:val="0"/>
                <w:sz w:val="22"/>
                <w:szCs w:val="22"/>
              </w:rPr>
            </w:pPr>
            <w:r w:rsidRPr="004B1797">
              <w:rPr>
                <w:rFonts w:ascii="宋体" w:hAnsi="宋体" w:cs="宋体" w:hint="eastAsia"/>
                <w:color w:val="000000"/>
                <w:kern w:val="0"/>
                <w:sz w:val="22"/>
                <w:szCs w:val="22"/>
              </w:rPr>
              <w:t>2</w:t>
            </w:r>
            <w:r w:rsidRPr="004B1797">
              <w:rPr>
                <w:rFonts w:ascii="宋体" w:hAnsi="宋体" w:cs="宋体"/>
                <w:color w:val="000000"/>
                <w:kern w:val="0"/>
                <w:sz w:val="22"/>
                <w:szCs w:val="22"/>
              </w:rPr>
              <w:t>02</w:t>
            </w:r>
            <w:r w:rsidR="00C50577">
              <w:rPr>
                <w:rFonts w:ascii="宋体" w:hAnsi="宋体" w:cs="宋体" w:hint="eastAsia"/>
                <w:color w:val="000000"/>
                <w:kern w:val="0"/>
                <w:sz w:val="22"/>
                <w:szCs w:val="22"/>
              </w:rPr>
              <w:t>4</w:t>
            </w:r>
            <w:r w:rsidRPr="004B1797">
              <w:rPr>
                <w:rFonts w:ascii="宋体" w:hAnsi="宋体" w:cs="宋体" w:hint="eastAsia"/>
                <w:color w:val="000000"/>
                <w:kern w:val="0"/>
                <w:sz w:val="22"/>
                <w:szCs w:val="22"/>
              </w:rPr>
              <w:t>年</w:t>
            </w:r>
            <w:r w:rsidR="005D1635">
              <w:rPr>
                <w:rFonts w:ascii="宋体" w:hAnsi="宋体" w:cs="宋体" w:hint="eastAsia"/>
                <w:color w:val="000000"/>
                <w:kern w:val="0"/>
                <w:sz w:val="22"/>
                <w:szCs w:val="22"/>
              </w:rPr>
              <w:t>9</w:t>
            </w:r>
            <w:r w:rsidRPr="004B1797">
              <w:rPr>
                <w:rFonts w:ascii="宋体" w:hAnsi="宋体" w:cs="宋体" w:hint="eastAsia"/>
                <w:color w:val="000000"/>
                <w:kern w:val="0"/>
                <w:sz w:val="22"/>
                <w:szCs w:val="22"/>
              </w:rPr>
              <w:t>月</w:t>
            </w:r>
            <w:r w:rsidR="005D1635">
              <w:rPr>
                <w:rFonts w:ascii="宋体" w:hAnsi="宋体" w:cs="宋体" w:hint="eastAsia"/>
                <w:color w:val="000000"/>
                <w:kern w:val="0"/>
                <w:sz w:val="22"/>
                <w:szCs w:val="22"/>
              </w:rPr>
              <w:t>26</w:t>
            </w:r>
            <w:r w:rsidRPr="004B1797">
              <w:rPr>
                <w:rFonts w:ascii="宋体" w:hAnsi="宋体" w:cs="宋体" w:hint="eastAsia"/>
                <w:color w:val="000000"/>
                <w:kern w:val="0"/>
                <w:sz w:val="22"/>
                <w:szCs w:val="22"/>
              </w:rPr>
              <w:t xml:space="preserve">日 </w:t>
            </w:r>
            <w:r w:rsidR="005D1635">
              <w:rPr>
                <w:rFonts w:ascii="宋体" w:hAnsi="宋体" w:cs="宋体" w:hint="eastAsia"/>
                <w:color w:val="000000"/>
                <w:kern w:val="0"/>
                <w:sz w:val="22"/>
                <w:szCs w:val="22"/>
              </w:rPr>
              <w:t>9</w:t>
            </w:r>
            <w:r w:rsidRPr="004B1797">
              <w:rPr>
                <w:rFonts w:ascii="宋体" w:hAnsi="宋体" w:cs="宋体" w:hint="eastAsia"/>
                <w:color w:val="000000"/>
                <w:kern w:val="0"/>
                <w:sz w:val="22"/>
                <w:szCs w:val="22"/>
              </w:rPr>
              <w:t>:</w:t>
            </w:r>
            <w:r w:rsidR="005D1635">
              <w:rPr>
                <w:rFonts w:ascii="宋体" w:hAnsi="宋体" w:cs="宋体" w:hint="eastAsia"/>
                <w:color w:val="000000"/>
                <w:kern w:val="0"/>
                <w:sz w:val="22"/>
                <w:szCs w:val="22"/>
              </w:rPr>
              <w:t>3</w:t>
            </w:r>
            <w:r>
              <w:rPr>
                <w:rFonts w:ascii="宋体" w:hAnsi="宋体" w:cs="宋体"/>
                <w:color w:val="000000"/>
                <w:kern w:val="0"/>
                <w:sz w:val="22"/>
                <w:szCs w:val="22"/>
              </w:rPr>
              <w:t>0</w:t>
            </w:r>
            <w:r w:rsidRPr="004B1797">
              <w:rPr>
                <w:rFonts w:ascii="宋体" w:hAnsi="宋体" w:cs="宋体" w:hint="eastAsia"/>
                <w:color w:val="000000"/>
                <w:kern w:val="0"/>
                <w:sz w:val="22"/>
                <w:szCs w:val="22"/>
              </w:rPr>
              <w:t>-</w:t>
            </w:r>
            <w:r w:rsidR="005D1635">
              <w:rPr>
                <w:rFonts w:ascii="宋体" w:hAnsi="宋体" w:cs="宋体" w:hint="eastAsia"/>
                <w:color w:val="000000"/>
                <w:kern w:val="0"/>
                <w:sz w:val="22"/>
                <w:szCs w:val="22"/>
              </w:rPr>
              <w:t>11</w:t>
            </w:r>
            <w:r w:rsidRPr="004B1797">
              <w:rPr>
                <w:rFonts w:ascii="宋体" w:hAnsi="宋体" w:cs="宋体" w:hint="eastAsia"/>
                <w:color w:val="000000"/>
                <w:kern w:val="0"/>
                <w:sz w:val="22"/>
                <w:szCs w:val="22"/>
              </w:rPr>
              <w:t>:</w:t>
            </w:r>
            <w:r w:rsidR="005D1635">
              <w:rPr>
                <w:rFonts w:ascii="宋体" w:hAnsi="宋体" w:cs="宋体" w:hint="eastAsia"/>
                <w:color w:val="000000"/>
                <w:kern w:val="0"/>
                <w:sz w:val="22"/>
                <w:szCs w:val="22"/>
              </w:rPr>
              <w:t>3</w:t>
            </w:r>
            <w:r>
              <w:rPr>
                <w:rFonts w:ascii="宋体" w:hAnsi="宋体" w:cs="宋体"/>
                <w:color w:val="000000"/>
                <w:kern w:val="0"/>
                <w:sz w:val="22"/>
                <w:szCs w:val="22"/>
              </w:rPr>
              <w:t>0</w:t>
            </w:r>
            <w:r w:rsidR="00456E5B">
              <w:rPr>
                <w:rFonts w:ascii="宋体" w:hAnsi="宋体" w:cs="宋体" w:hint="eastAsia"/>
                <w:color w:val="000000"/>
                <w:kern w:val="0"/>
                <w:sz w:val="22"/>
                <w:szCs w:val="22"/>
              </w:rPr>
              <w:t>、16:00-17:00</w:t>
            </w:r>
          </w:p>
        </w:tc>
      </w:tr>
      <w:tr w:rsidR="00677677" w:rsidRPr="00677677" w14:paraId="1A4B1CAC" w14:textId="77777777" w:rsidTr="00677677">
        <w:trPr>
          <w:trHeight w:val="489"/>
          <w:jc w:val="center"/>
        </w:trPr>
        <w:tc>
          <w:tcPr>
            <w:tcW w:w="1560" w:type="dxa"/>
            <w:tcBorders>
              <w:top w:val="nil"/>
              <w:left w:val="single" w:sz="4" w:space="0" w:color="auto"/>
              <w:bottom w:val="single" w:sz="4" w:space="0" w:color="auto"/>
              <w:right w:val="single" w:sz="4" w:space="0" w:color="auto"/>
            </w:tcBorders>
            <w:shd w:val="clear" w:color="auto" w:fill="auto"/>
            <w:vAlign w:val="center"/>
          </w:tcPr>
          <w:p w14:paraId="6F619FCD" w14:textId="77777777" w:rsidR="00677677" w:rsidRPr="00BE0AE9" w:rsidRDefault="00677677" w:rsidP="00677677">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地点</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tcPr>
          <w:p w14:paraId="0F3C6068" w14:textId="37E83772" w:rsidR="00677677" w:rsidRPr="00677677" w:rsidRDefault="005D1635" w:rsidP="00677677">
            <w:pPr>
              <w:widowControl/>
              <w:jc w:val="left"/>
              <w:rPr>
                <w:rFonts w:ascii="宋体" w:hAnsi="宋体" w:cs="宋体"/>
                <w:b/>
                <w:bCs/>
                <w:color w:val="000000"/>
                <w:kern w:val="0"/>
                <w:sz w:val="22"/>
                <w:szCs w:val="22"/>
              </w:rPr>
            </w:pPr>
            <w:r>
              <w:rPr>
                <w:rFonts w:ascii="宋体" w:hAnsi="宋体" w:cs="宋体" w:hint="eastAsia"/>
                <w:color w:val="000000"/>
                <w:kern w:val="0"/>
                <w:sz w:val="22"/>
                <w:szCs w:val="22"/>
              </w:rPr>
              <w:t>公司现场</w:t>
            </w:r>
          </w:p>
        </w:tc>
      </w:tr>
      <w:tr w:rsidR="00677677" w:rsidRPr="00BE0AE9" w14:paraId="30FDB6D4" w14:textId="77777777" w:rsidTr="00A04353">
        <w:trPr>
          <w:trHeight w:val="930"/>
          <w:jc w:val="center"/>
        </w:trPr>
        <w:tc>
          <w:tcPr>
            <w:tcW w:w="1560" w:type="dxa"/>
            <w:tcBorders>
              <w:top w:val="nil"/>
              <w:left w:val="single" w:sz="4" w:space="0" w:color="auto"/>
              <w:bottom w:val="single" w:sz="4" w:space="0" w:color="auto"/>
              <w:right w:val="single" w:sz="4" w:space="0" w:color="auto"/>
            </w:tcBorders>
            <w:shd w:val="clear" w:color="auto" w:fill="auto"/>
            <w:vAlign w:val="center"/>
          </w:tcPr>
          <w:p w14:paraId="4E97B060" w14:textId="77777777" w:rsidR="00677677" w:rsidRPr="00BE0AE9" w:rsidRDefault="00677677" w:rsidP="00677677">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上市公司接待人员姓名</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tcPr>
          <w:p w14:paraId="0131F7D4" w14:textId="365AE611" w:rsidR="00677677" w:rsidRDefault="00C50577" w:rsidP="00677677">
            <w:pPr>
              <w:widowControl/>
              <w:jc w:val="left"/>
              <w:rPr>
                <w:rFonts w:ascii="宋体" w:hAnsi="宋体" w:cs="宋体"/>
                <w:color w:val="000000"/>
                <w:kern w:val="0"/>
                <w:sz w:val="22"/>
                <w:szCs w:val="22"/>
              </w:rPr>
            </w:pPr>
            <w:r>
              <w:rPr>
                <w:rFonts w:ascii="宋体" w:hAnsi="宋体" w:cs="宋体" w:hint="eastAsia"/>
                <w:color w:val="000000"/>
                <w:kern w:val="0"/>
                <w:sz w:val="22"/>
                <w:szCs w:val="22"/>
              </w:rPr>
              <w:t>董事兼总经理</w:t>
            </w:r>
            <w:r w:rsidR="00677677">
              <w:rPr>
                <w:rFonts w:ascii="宋体" w:hAnsi="宋体" w:cs="宋体" w:hint="eastAsia"/>
                <w:color w:val="000000"/>
                <w:kern w:val="0"/>
                <w:sz w:val="22"/>
                <w:szCs w:val="22"/>
              </w:rPr>
              <w:t>：余洋</w:t>
            </w:r>
          </w:p>
          <w:p w14:paraId="74FD3596" w14:textId="4E05E8DB" w:rsidR="001C08AD" w:rsidRDefault="00C50577" w:rsidP="00677677">
            <w:pPr>
              <w:widowControl/>
              <w:jc w:val="left"/>
              <w:rPr>
                <w:rFonts w:ascii="宋体" w:hAnsi="宋体" w:cs="宋体"/>
                <w:color w:val="000000"/>
                <w:kern w:val="0"/>
                <w:sz w:val="22"/>
                <w:szCs w:val="22"/>
              </w:rPr>
            </w:pPr>
            <w:r>
              <w:rPr>
                <w:rFonts w:ascii="宋体" w:hAnsi="宋体" w:cs="宋体" w:hint="eastAsia"/>
                <w:color w:val="000000"/>
                <w:kern w:val="0"/>
                <w:sz w:val="22"/>
                <w:szCs w:val="22"/>
              </w:rPr>
              <w:t>董事会秘书</w:t>
            </w:r>
            <w:r w:rsidR="001C08AD">
              <w:rPr>
                <w:rFonts w:ascii="宋体" w:hAnsi="宋体" w:cs="宋体" w:hint="eastAsia"/>
                <w:color w:val="000000"/>
                <w:kern w:val="0"/>
                <w:sz w:val="22"/>
                <w:szCs w:val="22"/>
              </w:rPr>
              <w:t>：许锐</w:t>
            </w:r>
          </w:p>
        </w:tc>
      </w:tr>
      <w:tr w:rsidR="00677677" w:rsidRPr="00BE0AE9" w14:paraId="7E1737C8" w14:textId="77777777" w:rsidTr="0020089D">
        <w:trPr>
          <w:trHeight w:val="794"/>
          <w:jc w:val="center"/>
        </w:trPr>
        <w:tc>
          <w:tcPr>
            <w:tcW w:w="1560" w:type="dxa"/>
            <w:tcBorders>
              <w:top w:val="nil"/>
              <w:left w:val="single" w:sz="4" w:space="0" w:color="auto"/>
              <w:bottom w:val="single" w:sz="4" w:space="0" w:color="auto"/>
              <w:right w:val="single" w:sz="4" w:space="0" w:color="auto"/>
            </w:tcBorders>
            <w:shd w:val="clear" w:color="auto" w:fill="auto"/>
            <w:vAlign w:val="center"/>
          </w:tcPr>
          <w:p w14:paraId="105BA149" w14:textId="77777777" w:rsidR="00677677" w:rsidRPr="00BE0AE9" w:rsidRDefault="00677677" w:rsidP="00677677">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投资者关系活动主要内容介绍</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tcPr>
          <w:p w14:paraId="26471ED3" w14:textId="77777777" w:rsidR="00533BA6" w:rsidRDefault="00533BA6" w:rsidP="00533BA6">
            <w:pPr>
              <w:widowControl/>
              <w:rPr>
                <w:rFonts w:ascii="宋体" w:hAnsi="宋体" w:cs="宋体"/>
                <w:kern w:val="0"/>
                <w:sz w:val="22"/>
                <w:szCs w:val="22"/>
              </w:rPr>
            </w:pPr>
            <w:r w:rsidRPr="00BE0AE9">
              <w:rPr>
                <w:rFonts w:ascii="宋体" w:hAnsi="宋体" w:cs="宋体" w:hint="eastAsia"/>
                <w:kern w:val="0"/>
                <w:sz w:val="22"/>
                <w:szCs w:val="22"/>
              </w:rPr>
              <w:t>活动主要内容如下：</w:t>
            </w:r>
          </w:p>
          <w:p w14:paraId="11764C10" w14:textId="3591DB13" w:rsidR="00533BA6" w:rsidRDefault="00533BA6" w:rsidP="00156344">
            <w:pPr>
              <w:pStyle w:val="a7"/>
              <w:numPr>
                <w:ilvl w:val="0"/>
                <w:numId w:val="7"/>
              </w:numPr>
              <w:spacing w:beforeLines="50" w:before="156" w:afterLines="50" w:after="156" w:line="360" w:lineRule="auto"/>
              <w:ind w:firstLineChars="0"/>
              <w:rPr>
                <w:b/>
              </w:rPr>
            </w:pPr>
            <w:r w:rsidRPr="00917521">
              <w:rPr>
                <w:rFonts w:hint="eastAsia"/>
                <w:b/>
              </w:rPr>
              <w:t>公司</w:t>
            </w:r>
            <w:r w:rsidR="00D86C06">
              <w:rPr>
                <w:rFonts w:hint="eastAsia"/>
                <w:b/>
              </w:rPr>
              <w:t>董秘</w:t>
            </w:r>
            <w:r w:rsidR="00C50577">
              <w:rPr>
                <w:rFonts w:hint="eastAsia"/>
                <w:b/>
              </w:rPr>
              <w:t>许锐</w:t>
            </w:r>
            <w:r w:rsidR="00E617C0">
              <w:rPr>
                <w:rFonts w:hint="eastAsia"/>
                <w:b/>
              </w:rPr>
              <w:t>向投资者介绍公司</w:t>
            </w:r>
            <w:r w:rsidR="00073323">
              <w:rPr>
                <w:rFonts w:hint="eastAsia"/>
                <w:b/>
              </w:rPr>
              <w:t>基本信息和</w:t>
            </w:r>
            <w:r w:rsidR="005D1635">
              <w:rPr>
                <w:rFonts w:hint="eastAsia"/>
                <w:b/>
              </w:rPr>
              <w:t>2024</w:t>
            </w:r>
            <w:r w:rsidR="00747E98">
              <w:rPr>
                <w:rFonts w:hint="eastAsia"/>
                <w:b/>
              </w:rPr>
              <w:t>年</w:t>
            </w:r>
            <w:r w:rsidR="005D1635" w:rsidRPr="005D1635">
              <w:rPr>
                <w:rFonts w:hint="eastAsia"/>
                <w:b/>
              </w:rPr>
              <w:t>半年度</w:t>
            </w:r>
            <w:r w:rsidR="00E617C0">
              <w:rPr>
                <w:rFonts w:hint="eastAsia"/>
                <w:b/>
              </w:rPr>
              <w:t>财务状况</w:t>
            </w:r>
            <w:r>
              <w:rPr>
                <w:rFonts w:hint="eastAsia"/>
                <w:b/>
              </w:rPr>
              <w:t>。</w:t>
            </w:r>
          </w:p>
          <w:p w14:paraId="0250B943" w14:textId="77777777" w:rsidR="00533BA6" w:rsidRPr="00917521" w:rsidRDefault="00533BA6" w:rsidP="00156344">
            <w:pPr>
              <w:pStyle w:val="a7"/>
              <w:numPr>
                <w:ilvl w:val="0"/>
                <w:numId w:val="7"/>
              </w:numPr>
              <w:spacing w:beforeLines="50" w:before="156" w:afterLines="50" w:after="156" w:line="360" w:lineRule="auto"/>
              <w:ind w:firstLineChars="0"/>
              <w:rPr>
                <w:b/>
              </w:rPr>
            </w:pPr>
            <w:r w:rsidRPr="00917521">
              <w:rPr>
                <w:rFonts w:hint="eastAsia"/>
                <w:b/>
              </w:rPr>
              <w:t>与</w:t>
            </w:r>
            <w:r w:rsidR="00E617C0">
              <w:rPr>
                <w:rFonts w:hint="eastAsia"/>
                <w:b/>
              </w:rPr>
              <w:t>投资者</w:t>
            </w:r>
            <w:r w:rsidRPr="00917521">
              <w:rPr>
                <w:rFonts w:hint="eastAsia"/>
                <w:b/>
              </w:rPr>
              <w:t>互动交流，具体交流问题如下：</w:t>
            </w:r>
          </w:p>
          <w:p w14:paraId="4D3DF676" w14:textId="02436D13" w:rsidR="00D12455" w:rsidRDefault="009C3A0A" w:rsidP="00156344">
            <w:pPr>
              <w:pStyle w:val="a7"/>
              <w:numPr>
                <w:ilvl w:val="0"/>
                <w:numId w:val="21"/>
              </w:numPr>
              <w:spacing w:beforeLines="50" w:before="156" w:afterLines="50" w:after="156" w:line="360" w:lineRule="auto"/>
              <w:ind w:firstLineChars="0"/>
              <w:rPr>
                <w:b/>
              </w:rPr>
            </w:pPr>
            <w:r>
              <w:rPr>
                <w:rFonts w:hint="eastAsia"/>
                <w:b/>
              </w:rPr>
              <w:t>公司当前经营</w:t>
            </w:r>
            <w:r w:rsidR="00811BBC" w:rsidRPr="00811BBC">
              <w:rPr>
                <w:rFonts w:hint="eastAsia"/>
                <w:b/>
              </w:rPr>
              <w:t>情况如何以及</w:t>
            </w:r>
            <w:r w:rsidR="00777C7C">
              <w:rPr>
                <w:rFonts w:hint="eastAsia"/>
                <w:b/>
              </w:rPr>
              <w:t>下半年</w:t>
            </w:r>
            <w:r w:rsidR="00811BBC" w:rsidRPr="00811BBC">
              <w:rPr>
                <w:rFonts w:hint="eastAsia"/>
                <w:b/>
              </w:rPr>
              <w:t>业绩展望</w:t>
            </w:r>
            <w:r w:rsidR="00961B86">
              <w:rPr>
                <w:rFonts w:hint="eastAsia"/>
                <w:b/>
              </w:rPr>
              <w:t>？</w:t>
            </w:r>
          </w:p>
          <w:p w14:paraId="13DFBFB1" w14:textId="035BFB0F" w:rsidR="00887F94" w:rsidRDefault="00811BBC" w:rsidP="004151E5">
            <w:pPr>
              <w:spacing w:beforeLines="50" w:before="156" w:afterLines="50" w:after="156" w:line="360" w:lineRule="auto"/>
              <w:ind w:firstLineChars="200" w:firstLine="420"/>
              <w:rPr>
                <w:szCs w:val="21"/>
              </w:rPr>
            </w:pPr>
            <w:r w:rsidRPr="00811BBC">
              <w:rPr>
                <w:rFonts w:hint="eastAsia"/>
                <w:szCs w:val="21"/>
              </w:rPr>
              <w:t>公司目前</w:t>
            </w:r>
            <w:r w:rsidR="0076682B">
              <w:rPr>
                <w:rFonts w:hint="eastAsia"/>
                <w:szCs w:val="21"/>
              </w:rPr>
              <w:t>生产经营</w:t>
            </w:r>
            <w:r w:rsidR="00E6171C">
              <w:rPr>
                <w:rFonts w:hint="eastAsia"/>
                <w:szCs w:val="21"/>
              </w:rPr>
              <w:t>正常</w:t>
            </w:r>
            <w:r w:rsidRPr="00811BBC">
              <w:rPr>
                <w:rFonts w:hint="eastAsia"/>
                <w:szCs w:val="21"/>
              </w:rPr>
              <w:t>。公司上半年</w:t>
            </w:r>
            <w:r w:rsidR="004151E5" w:rsidRPr="004151E5">
              <w:rPr>
                <w:rFonts w:hint="eastAsia"/>
                <w:szCs w:val="21"/>
              </w:rPr>
              <w:t>受大宗商品材料价格同比上涨、行业竞争加剧</w:t>
            </w:r>
            <w:r w:rsidR="00F47713">
              <w:rPr>
                <w:rFonts w:hint="eastAsia"/>
                <w:szCs w:val="21"/>
              </w:rPr>
              <w:t>、</w:t>
            </w:r>
            <w:r w:rsidR="004151E5">
              <w:rPr>
                <w:rFonts w:hint="eastAsia"/>
                <w:szCs w:val="21"/>
              </w:rPr>
              <w:t>公司员工持股计划股份支付费用</w:t>
            </w:r>
            <w:r w:rsidR="005C7E13">
              <w:rPr>
                <w:rFonts w:hint="eastAsia"/>
                <w:szCs w:val="21"/>
              </w:rPr>
              <w:t>同比</w:t>
            </w:r>
            <w:r w:rsidR="004151E5">
              <w:rPr>
                <w:rFonts w:hint="eastAsia"/>
                <w:szCs w:val="21"/>
              </w:rPr>
              <w:t>增加</w:t>
            </w:r>
            <w:r w:rsidR="005A08CC">
              <w:rPr>
                <w:rFonts w:hint="eastAsia"/>
                <w:szCs w:val="21"/>
              </w:rPr>
              <w:t>、证券投资浮亏</w:t>
            </w:r>
            <w:r w:rsidR="004151E5" w:rsidRPr="004151E5">
              <w:rPr>
                <w:rFonts w:hint="eastAsia"/>
                <w:szCs w:val="21"/>
              </w:rPr>
              <w:t>等多种因素影响</w:t>
            </w:r>
            <w:r w:rsidR="004151E5">
              <w:rPr>
                <w:rFonts w:hint="eastAsia"/>
                <w:szCs w:val="21"/>
              </w:rPr>
              <w:t>，</w:t>
            </w:r>
            <w:r w:rsidR="004151E5" w:rsidRPr="004151E5">
              <w:rPr>
                <w:rFonts w:hint="eastAsia"/>
                <w:szCs w:val="21"/>
              </w:rPr>
              <w:t>净利润同比有所下降，</w:t>
            </w:r>
            <w:r w:rsidR="004151E5">
              <w:rPr>
                <w:rFonts w:hint="eastAsia"/>
                <w:szCs w:val="21"/>
              </w:rPr>
              <w:t>但</w:t>
            </w:r>
            <w:r w:rsidR="004151E5" w:rsidRPr="00811BBC">
              <w:rPr>
                <w:rFonts w:hint="eastAsia"/>
                <w:szCs w:val="21"/>
              </w:rPr>
              <w:t>营业收入稳中有升</w:t>
            </w:r>
            <w:r w:rsidR="005A08CC">
              <w:rPr>
                <w:rFonts w:hint="eastAsia"/>
                <w:szCs w:val="21"/>
              </w:rPr>
              <w:t>。进入</w:t>
            </w:r>
            <w:r w:rsidRPr="00811BBC">
              <w:rPr>
                <w:rFonts w:hint="eastAsia"/>
                <w:szCs w:val="21"/>
              </w:rPr>
              <w:t>下</w:t>
            </w:r>
            <w:r>
              <w:rPr>
                <w:rFonts w:hint="eastAsia"/>
                <w:szCs w:val="21"/>
              </w:rPr>
              <w:t>半</w:t>
            </w:r>
            <w:r w:rsidRPr="00811BBC">
              <w:rPr>
                <w:rFonts w:hint="eastAsia"/>
                <w:szCs w:val="21"/>
              </w:rPr>
              <w:t>年</w:t>
            </w:r>
            <w:r w:rsidR="005A08CC">
              <w:rPr>
                <w:rFonts w:hint="eastAsia"/>
                <w:szCs w:val="21"/>
              </w:rPr>
              <w:t>，目前公司主要</w:t>
            </w:r>
            <w:r w:rsidRPr="00811BBC">
              <w:rPr>
                <w:rFonts w:hint="eastAsia"/>
                <w:szCs w:val="21"/>
              </w:rPr>
              <w:t>生产原材料价格</w:t>
            </w:r>
            <w:r w:rsidR="005A08CC">
              <w:rPr>
                <w:rFonts w:hint="eastAsia"/>
                <w:szCs w:val="21"/>
              </w:rPr>
              <w:t>已</w:t>
            </w:r>
            <w:r w:rsidRPr="00811BBC">
              <w:rPr>
                <w:rFonts w:hint="eastAsia"/>
                <w:szCs w:val="21"/>
              </w:rPr>
              <w:t>逐渐回落</w:t>
            </w:r>
            <w:r w:rsidR="005A08CC">
              <w:rPr>
                <w:rFonts w:hint="eastAsia"/>
                <w:szCs w:val="21"/>
              </w:rPr>
              <w:t>，</w:t>
            </w:r>
            <w:r w:rsidR="00F86FA8">
              <w:rPr>
                <w:rFonts w:hint="eastAsia"/>
                <w:szCs w:val="21"/>
              </w:rPr>
              <w:t>将</w:t>
            </w:r>
            <w:r w:rsidR="005A08CC">
              <w:rPr>
                <w:rFonts w:hint="eastAsia"/>
                <w:szCs w:val="21"/>
              </w:rPr>
              <w:t>减轻公司生产成本压力；公司员工持股计划股份支付费用</w:t>
            </w:r>
            <w:r w:rsidR="00CF5B57">
              <w:rPr>
                <w:rFonts w:hint="eastAsia"/>
                <w:szCs w:val="21"/>
              </w:rPr>
              <w:t>将较</w:t>
            </w:r>
            <w:r w:rsidR="005A08CC">
              <w:rPr>
                <w:rFonts w:hint="eastAsia"/>
                <w:szCs w:val="21"/>
              </w:rPr>
              <w:t>上半年</w:t>
            </w:r>
            <w:r w:rsidR="00CF5B57">
              <w:rPr>
                <w:rFonts w:hint="eastAsia"/>
                <w:szCs w:val="21"/>
              </w:rPr>
              <w:t>减少</w:t>
            </w:r>
            <w:r w:rsidR="002C0093">
              <w:rPr>
                <w:rFonts w:hint="eastAsia"/>
                <w:szCs w:val="21"/>
              </w:rPr>
              <w:t>约</w:t>
            </w:r>
            <w:r w:rsidR="002C0093">
              <w:rPr>
                <w:rFonts w:hint="eastAsia"/>
                <w:szCs w:val="21"/>
              </w:rPr>
              <w:t>9</w:t>
            </w:r>
            <w:r w:rsidR="002C0093">
              <w:rPr>
                <w:szCs w:val="21"/>
              </w:rPr>
              <w:t>00</w:t>
            </w:r>
            <w:r w:rsidR="002C0093">
              <w:rPr>
                <w:rFonts w:hint="eastAsia"/>
                <w:szCs w:val="21"/>
              </w:rPr>
              <w:t>万元，</w:t>
            </w:r>
            <w:bookmarkStart w:id="0" w:name="_GoBack"/>
            <w:bookmarkEnd w:id="0"/>
            <w:r w:rsidR="005A08CC">
              <w:rPr>
                <w:rFonts w:hint="eastAsia"/>
                <w:szCs w:val="21"/>
              </w:rPr>
              <w:t>且公司投资的</w:t>
            </w:r>
            <w:r w:rsidR="00CF5B57">
              <w:rPr>
                <w:rFonts w:hint="eastAsia"/>
                <w:szCs w:val="21"/>
              </w:rPr>
              <w:t>两只股票</w:t>
            </w:r>
            <w:r w:rsidR="005A08CC">
              <w:rPr>
                <w:rFonts w:hint="eastAsia"/>
                <w:szCs w:val="21"/>
              </w:rPr>
              <w:t>近期股价已经企稳回升。随着</w:t>
            </w:r>
            <w:r w:rsidR="00CF5B57">
              <w:rPr>
                <w:rFonts w:hint="eastAsia"/>
                <w:szCs w:val="21"/>
              </w:rPr>
              <w:t>前述对净利润产生负面影响的</w:t>
            </w:r>
            <w:r w:rsidR="005A08CC">
              <w:rPr>
                <w:rFonts w:hint="eastAsia"/>
                <w:szCs w:val="21"/>
              </w:rPr>
              <w:t>因素消除，叠加</w:t>
            </w:r>
            <w:r w:rsidRPr="00811BBC">
              <w:rPr>
                <w:rFonts w:hint="eastAsia"/>
                <w:szCs w:val="21"/>
              </w:rPr>
              <w:t>四季度</w:t>
            </w:r>
            <w:r w:rsidR="005A08CC">
              <w:rPr>
                <w:rFonts w:hint="eastAsia"/>
                <w:szCs w:val="21"/>
              </w:rPr>
              <w:t>属于</w:t>
            </w:r>
            <w:r w:rsidRPr="00811BBC">
              <w:rPr>
                <w:rFonts w:hint="eastAsia"/>
                <w:szCs w:val="21"/>
              </w:rPr>
              <w:t>汽车行业传统旺季，我们对公司</w:t>
            </w:r>
            <w:r w:rsidR="004151E5">
              <w:rPr>
                <w:rFonts w:hint="eastAsia"/>
                <w:szCs w:val="21"/>
              </w:rPr>
              <w:t>下半年</w:t>
            </w:r>
            <w:r w:rsidRPr="00811BBC">
              <w:rPr>
                <w:rFonts w:hint="eastAsia"/>
                <w:szCs w:val="21"/>
              </w:rPr>
              <w:t>整体的业绩十分有信心。</w:t>
            </w:r>
            <w:r w:rsidR="00887F94">
              <w:rPr>
                <w:rFonts w:hint="eastAsia"/>
                <w:szCs w:val="21"/>
              </w:rPr>
              <w:t>具体</w:t>
            </w:r>
            <w:r w:rsidRPr="00811BBC">
              <w:rPr>
                <w:rFonts w:hint="eastAsia"/>
                <w:szCs w:val="21"/>
              </w:rPr>
              <w:t>业绩情况敬请关注公司</w:t>
            </w:r>
            <w:r w:rsidR="00887F94">
              <w:rPr>
                <w:rFonts w:hint="eastAsia"/>
                <w:szCs w:val="21"/>
              </w:rPr>
              <w:t>后续</w:t>
            </w:r>
            <w:r w:rsidRPr="00811BBC">
              <w:rPr>
                <w:rFonts w:hint="eastAsia"/>
                <w:szCs w:val="21"/>
              </w:rPr>
              <w:t>披露的</w:t>
            </w:r>
            <w:r w:rsidR="00887F94">
              <w:rPr>
                <w:rFonts w:hint="eastAsia"/>
                <w:szCs w:val="21"/>
              </w:rPr>
              <w:t>定期报告。</w:t>
            </w:r>
            <w:r w:rsidR="005A08CC">
              <w:rPr>
                <w:szCs w:val="21"/>
              </w:rPr>
              <w:t xml:space="preserve"> </w:t>
            </w:r>
          </w:p>
          <w:p w14:paraId="440AEBFB" w14:textId="4DB96154" w:rsidR="001108AB" w:rsidRPr="00FB3B01" w:rsidRDefault="00811BBC" w:rsidP="00156344">
            <w:pPr>
              <w:pStyle w:val="a7"/>
              <w:numPr>
                <w:ilvl w:val="0"/>
                <w:numId w:val="21"/>
              </w:numPr>
              <w:spacing w:beforeLines="50" w:before="156" w:afterLines="50" w:after="156" w:line="360" w:lineRule="auto"/>
              <w:ind w:firstLineChars="0"/>
              <w:rPr>
                <w:b/>
              </w:rPr>
            </w:pPr>
            <w:r w:rsidRPr="002E1C77">
              <w:rPr>
                <w:rFonts w:hint="eastAsia"/>
                <w:b/>
              </w:rPr>
              <w:t>请介绍公司目前出口业务情况及</w:t>
            </w:r>
            <w:r w:rsidRPr="002E1C77">
              <w:rPr>
                <w:rFonts w:hint="eastAsia"/>
                <w:b/>
              </w:rPr>
              <w:t>2025</w:t>
            </w:r>
            <w:r w:rsidRPr="002E1C77">
              <w:rPr>
                <w:rFonts w:hint="eastAsia"/>
                <w:b/>
              </w:rPr>
              <w:t>年出口业务的展望</w:t>
            </w:r>
            <w:r w:rsidR="00961B86">
              <w:rPr>
                <w:rFonts w:hint="eastAsia"/>
                <w:b/>
              </w:rPr>
              <w:t>。</w:t>
            </w:r>
          </w:p>
          <w:p w14:paraId="43B9524B" w14:textId="7E9A015E" w:rsidR="005C735C" w:rsidRDefault="004402D0" w:rsidP="005C735C">
            <w:pPr>
              <w:spacing w:beforeLines="50" w:before="156" w:afterLines="50" w:after="156" w:line="360" w:lineRule="auto"/>
              <w:ind w:firstLineChars="200" w:firstLine="420"/>
              <w:rPr>
                <w:szCs w:val="21"/>
              </w:rPr>
            </w:pPr>
            <w:r w:rsidRPr="004402D0">
              <w:rPr>
                <w:szCs w:val="21"/>
              </w:rPr>
              <w:t>公司深耕汽车发动机核心零部件行业多年，</w:t>
            </w:r>
            <w:r w:rsidR="00924159">
              <w:rPr>
                <w:rFonts w:hint="eastAsia"/>
                <w:szCs w:val="21"/>
              </w:rPr>
              <w:t>一直</w:t>
            </w:r>
            <w:r w:rsidR="00811BBC" w:rsidRPr="002E1C77">
              <w:rPr>
                <w:rFonts w:hint="eastAsia"/>
                <w:szCs w:val="21"/>
              </w:rPr>
              <w:t>与</w:t>
            </w:r>
            <w:r w:rsidR="007150C9">
              <w:rPr>
                <w:rFonts w:hint="eastAsia"/>
                <w:szCs w:val="21"/>
              </w:rPr>
              <w:t>国内外客户</w:t>
            </w:r>
            <w:r w:rsidR="00811BBC" w:rsidRPr="002E1C77">
              <w:rPr>
                <w:rFonts w:hint="eastAsia"/>
                <w:szCs w:val="21"/>
              </w:rPr>
              <w:t>保持着良好</w:t>
            </w:r>
            <w:r w:rsidR="002502DD">
              <w:rPr>
                <w:rFonts w:hint="eastAsia"/>
                <w:szCs w:val="21"/>
              </w:rPr>
              <w:t>沟通及</w:t>
            </w:r>
            <w:r w:rsidR="00811BBC" w:rsidRPr="002E1C77">
              <w:rPr>
                <w:rFonts w:hint="eastAsia"/>
                <w:szCs w:val="21"/>
              </w:rPr>
              <w:t>合作关系</w:t>
            </w:r>
            <w:r w:rsidR="000058CD">
              <w:rPr>
                <w:rFonts w:hint="eastAsia"/>
                <w:szCs w:val="21"/>
              </w:rPr>
              <w:t>。</w:t>
            </w:r>
            <w:r w:rsidR="00744069">
              <w:rPr>
                <w:rFonts w:hint="eastAsia"/>
                <w:szCs w:val="21"/>
              </w:rPr>
              <w:lastRenderedPageBreak/>
              <w:t>公司于</w:t>
            </w:r>
            <w:r w:rsidR="00744069">
              <w:rPr>
                <w:rFonts w:hint="eastAsia"/>
                <w:szCs w:val="21"/>
              </w:rPr>
              <w:t>9</w:t>
            </w:r>
            <w:r w:rsidR="00744069">
              <w:rPr>
                <w:rFonts w:hint="eastAsia"/>
                <w:szCs w:val="21"/>
              </w:rPr>
              <w:t>月</w:t>
            </w:r>
            <w:r w:rsidR="00744069">
              <w:rPr>
                <w:rFonts w:hint="eastAsia"/>
                <w:szCs w:val="21"/>
              </w:rPr>
              <w:t>2</w:t>
            </w:r>
            <w:r w:rsidR="00744069">
              <w:rPr>
                <w:szCs w:val="21"/>
              </w:rPr>
              <w:t>6</w:t>
            </w:r>
            <w:r w:rsidR="00744069">
              <w:rPr>
                <w:rFonts w:hint="eastAsia"/>
                <w:szCs w:val="21"/>
              </w:rPr>
              <w:t>日披露</w:t>
            </w:r>
            <w:r w:rsidR="000058CD">
              <w:t>收到北美客户项目定点通知的公告</w:t>
            </w:r>
            <w:r w:rsidRPr="004402D0">
              <w:rPr>
                <w:szCs w:val="21"/>
              </w:rPr>
              <w:t>，</w:t>
            </w:r>
            <w:r>
              <w:rPr>
                <w:rFonts w:hint="eastAsia"/>
                <w:szCs w:val="21"/>
              </w:rPr>
              <w:t>该项目</w:t>
            </w:r>
            <w:r w:rsidRPr="00CD7A98">
              <w:rPr>
                <w:rFonts w:hint="eastAsia"/>
                <w:szCs w:val="21"/>
              </w:rPr>
              <w:t>预计生命周期为</w:t>
            </w:r>
            <w:r>
              <w:rPr>
                <w:rFonts w:hint="eastAsia"/>
                <w:szCs w:val="21"/>
              </w:rPr>
              <w:t>2025</w:t>
            </w:r>
            <w:r w:rsidRPr="00CD7A98">
              <w:rPr>
                <w:rFonts w:hint="eastAsia"/>
                <w:szCs w:val="21"/>
              </w:rPr>
              <w:t>年至</w:t>
            </w:r>
            <w:r>
              <w:rPr>
                <w:rFonts w:hint="eastAsia"/>
                <w:szCs w:val="21"/>
              </w:rPr>
              <w:t>2027</w:t>
            </w:r>
            <w:r w:rsidRPr="00CD7A98">
              <w:rPr>
                <w:rFonts w:hint="eastAsia"/>
                <w:szCs w:val="21"/>
              </w:rPr>
              <w:t>年</w:t>
            </w:r>
            <w:r>
              <w:rPr>
                <w:rFonts w:hint="eastAsia"/>
                <w:szCs w:val="21"/>
              </w:rPr>
              <w:t>，</w:t>
            </w:r>
            <w:r w:rsidRPr="00CD7A98">
              <w:rPr>
                <w:rFonts w:hint="eastAsia"/>
                <w:szCs w:val="21"/>
              </w:rPr>
              <w:t>生命周期内销售总额约为人民币</w:t>
            </w:r>
            <w:r>
              <w:rPr>
                <w:rFonts w:hint="eastAsia"/>
                <w:szCs w:val="21"/>
              </w:rPr>
              <w:t>3.2</w:t>
            </w:r>
            <w:r w:rsidRPr="00CD7A98">
              <w:rPr>
                <w:rFonts w:hint="eastAsia"/>
                <w:szCs w:val="21"/>
              </w:rPr>
              <w:t>亿元</w:t>
            </w:r>
            <w:r>
              <w:rPr>
                <w:rFonts w:hint="eastAsia"/>
                <w:szCs w:val="21"/>
              </w:rPr>
              <w:t>，</w:t>
            </w:r>
            <w:r w:rsidRPr="002E1C77">
              <w:rPr>
                <w:rFonts w:hint="eastAsia"/>
                <w:szCs w:val="21"/>
              </w:rPr>
              <w:t>将对公司未来经营业绩产生积极影响。</w:t>
            </w:r>
            <w:r>
              <w:rPr>
                <w:rFonts w:hint="eastAsia"/>
                <w:szCs w:val="21"/>
              </w:rPr>
              <w:t>本次出口定点的落地，</w:t>
            </w:r>
            <w:r w:rsidRPr="004402D0">
              <w:rPr>
                <w:szCs w:val="21"/>
              </w:rPr>
              <w:t>是公司积极拓展海外市场的结果体现。证明了海外客户对公司技术研发、制造能力、</w:t>
            </w:r>
            <w:r w:rsidR="000058CD">
              <w:rPr>
                <w:szCs w:val="21"/>
              </w:rPr>
              <w:t>产品质量及交付能力的认可，进一步加深了公司与国内外客户的业务</w:t>
            </w:r>
            <w:r w:rsidR="00912C66">
              <w:rPr>
                <w:rFonts w:hint="eastAsia"/>
                <w:szCs w:val="21"/>
              </w:rPr>
              <w:t>合作</w:t>
            </w:r>
            <w:r w:rsidRPr="004402D0">
              <w:rPr>
                <w:szCs w:val="21"/>
              </w:rPr>
              <w:t>。未来，公司将</w:t>
            </w:r>
            <w:r w:rsidR="00D50B44">
              <w:rPr>
                <w:szCs w:val="21"/>
              </w:rPr>
              <w:t>持续积极拓展出口业务，巩固和提升公司的全球市场竞争力</w:t>
            </w:r>
            <w:r w:rsidR="00811BBC" w:rsidRPr="002E1C77">
              <w:rPr>
                <w:rFonts w:hint="eastAsia"/>
                <w:szCs w:val="21"/>
              </w:rPr>
              <w:t>。</w:t>
            </w:r>
          </w:p>
          <w:p w14:paraId="3F46E11B" w14:textId="5BD7A15D" w:rsidR="002109BB" w:rsidRDefault="00961B86" w:rsidP="00253530">
            <w:pPr>
              <w:pStyle w:val="a7"/>
              <w:numPr>
                <w:ilvl w:val="0"/>
                <w:numId w:val="21"/>
              </w:numPr>
              <w:spacing w:beforeLines="50" w:before="156" w:afterLines="50" w:after="156" w:line="360" w:lineRule="auto"/>
              <w:ind w:firstLineChars="0"/>
              <w:rPr>
                <w:b/>
              </w:rPr>
            </w:pPr>
            <w:r w:rsidRPr="00961B86">
              <w:rPr>
                <w:rFonts w:hint="eastAsia"/>
                <w:b/>
              </w:rPr>
              <w:t>在电动车市占率逐步提升的大趋势下，公司产品仍以传统燃油车、混动为主，请介绍公司后续的发展策略</w:t>
            </w:r>
            <w:r>
              <w:rPr>
                <w:rFonts w:hint="eastAsia"/>
                <w:b/>
              </w:rPr>
              <w:t>。</w:t>
            </w:r>
          </w:p>
          <w:p w14:paraId="3DBA522D" w14:textId="523CCE7A" w:rsidR="008978C4" w:rsidRDefault="00F72D5C" w:rsidP="008978C4">
            <w:pPr>
              <w:spacing w:beforeLines="50" w:before="156" w:afterLines="50" w:after="156" w:line="360" w:lineRule="auto"/>
              <w:ind w:firstLineChars="200" w:firstLine="420"/>
              <w:rPr>
                <w:bCs/>
              </w:rPr>
            </w:pPr>
            <w:r w:rsidRPr="00F72D5C">
              <w:rPr>
                <w:rFonts w:hint="eastAsia"/>
                <w:bCs/>
              </w:rPr>
              <w:t>据中汽协统计，</w:t>
            </w:r>
            <w:r w:rsidRPr="00F72D5C">
              <w:rPr>
                <w:rFonts w:hint="eastAsia"/>
                <w:bCs/>
              </w:rPr>
              <w:t>2024</w:t>
            </w:r>
            <w:r w:rsidRPr="00F72D5C">
              <w:rPr>
                <w:rFonts w:hint="eastAsia"/>
                <w:bCs/>
              </w:rPr>
              <w:t>年</w:t>
            </w:r>
            <w:r w:rsidRPr="00F72D5C">
              <w:rPr>
                <w:rFonts w:hint="eastAsia"/>
                <w:bCs/>
              </w:rPr>
              <w:t>8</w:t>
            </w:r>
            <w:r w:rsidRPr="00F72D5C">
              <w:rPr>
                <w:rFonts w:hint="eastAsia"/>
                <w:bCs/>
              </w:rPr>
              <w:t>月，乘用车产销分别完成</w:t>
            </w:r>
            <w:r w:rsidRPr="00F72D5C">
              <w:rPr>
                <w:rFonts w:hint="eastAsia"/>
                <w:bCs/>
              </w:rPr>
              <w:t>222.1</w:t>
            </w:r>
            <w:r w:rsidRPr="00F72D5C">
              <w:rPr>
                <w:rFonts w:hint="eastAsia"/>
                <w:bCs/>
              </w:rPr>
              <w:t>万辆和</w:t>
            </w:r>
            <w:r w:rsidRPr="00F72D5C">
              <w:rPr>
                <w:rFonts w:hint="eastAsia"/>
                <w:bCs/>
              </w:rPr>
              <w:t>218.1</w:t>
            </w:r>
            <w:r w:rsidRPr="00F72D5C">
              <w:rPr>
                <w:rFonts w:hint="eastAsia"/>
                <w:bCs/>
              </w:rPr>
              <w:t>万辆，环比均增长</w:t>
            </w:r>
            <w:r w:rsidRPr="00F72D5C">
              <w:rPr>
                <w:rFonts w:hint="eastAsia"/>
                <w:bCs/>
              </w:rPr>
              <w:t>9.4%</w:t>
            </w:r>
            <w:r w:rsidRPr="00F72D5C">
              <w:rPr>
                <w:rFonts w:hint="eastAsia"/>
                <w:bCs/>
              </w:rPr>
              <w:t>，同比分别下降</w:t>
            </w:r>
            <w:r w:rsidRPr="00F72D5C">
              <w:rPr>
                <w:rFonts w:hint="eastAsia"/>
                <w:bCs/>
              </w:rPr>
              <w:t>2.3%</w:t>
            </w:r>
            <w:r w:rsidRPr="00F72D5C">
              <w:rPr>
                <w:rFonts w:hint="eastAsia"/>
                <w:bCs/>
              </w:rPr>
              <w:t>和</w:t>
            </w:r>
            <w:r w:rsidRPr="00F72D5C">
              <w:rPr>
                <w:rFonts w:hint="eastAsia"/>
                <w:bCs/>
              </w:rPr>
              <w:t>4%</w:t>
            </w:r>
            <w:r w:rsidRPr="00F72D5C">
              <w:rPr>
                <w:rFonts w:hint="eastAsia"/>
                <w:bCs/>
              </w:rPr>
              <w:t>。其中新能源汽车产销分别完成</w:t>
            </w:r>
            <w:r w:rsidRPr="00F72D5C">
              <w:rPr>
                <w:rFonts w:hint="eastAsia"/>
                <w:bCs/>
              </w:rPr>
              <w:t>109.2</w:t>
            </w:r>
            <w:r w:rsidRPr="00F72D5C">
              <w:rPr>
                <w:rFonts w:hint="eastAsia"/>
                <w:bCs/>
              </w:rPr>
              <w:t>万辆和</w:t>
            </w:r>
            <w:r w:rsidRPr="00F72D5C">
              <w:rPr>
                <w:rFonts w:hint="eastAsia"/>
                <w:bCs/>
              </w:rPr>
              <w:t>110</w:t>
            </w:r>
            <w:r w:rsidRPr="00F72D5C">
              <w:rPr>
                <w:rFonts w:hint="eastAsia"/>
                <w:bCs/>
              </w:rPr>
              <w:t>万辆，同比分别增长</w:t>
            </w:r>
            <w:r w:rsidRPr="00F72D5C">
              <w:rPr>
                <w:rFonts w:hint="eastAsia"/>
                <w:bCs/>
              </w:rPr>
              <w:t>29.6%</w:t>
            </w:r>
            <w:r w:rsidRPr="00F72D5C">
              <w:rPr>
                <w:rFonts w:hint="eastAsia"/>
                <w:bCs/>
              </w:rPr>
              <w:t>和</w:t>
            </w:r>
            <w:r w:rsidRPr="00F72D5C">
              <w:rPr>
                <w:rFonts w:hint="eastAsia"/>
                <w:bCs/>
              </w:rPr>
              <w:t>30%</w:t>
            </w:r>
            <w:r w:rsidRPr="00F72D5C">
              <w:rPr>
                <w:rFonts w:hint="eastAsia"/>
                <w:bCs/>
              </w:rPr>
              <w:t>，新能源汽车在乘用车市场的渗透率已达到</w:t>
            </w:r>
            <w:r w:rsidRPr="00F72D5C">
              <w:rPr>
                <w:rFonts w:hint="eastAsia"/>
                <w:bCs/>
              </w:rPr>
              <w:t>50%</w:t>
            </w:r>
            <w:r w:rsidRPr="00F72D5C">
              <w:rPr>
                <w:rFonts w:hint="eastAsia"/>
                <w:bCs/>
              </w:rPr>
              <w:t>。细分看，新能源汽车中</w:t>
            </w:r>
            <w:r w:rsidR="00921DC8" w:rsidRPr="00F72D5C">
              <w:rPr>
                <w:rFonts w:hint="eastAsia"/>
                <w:bCs/>
              </w:rPr>
              <w:t>纯电</w:t>
            </w:r>
            <w:r w:rsidRPr="00F72D5C">
              <w:rPr>
                <w:rFonts w:hint="eastAsia"/>
                <w:bCs/>
              </w:rPr>
              <w:t>汽车占比</w:t>
            </w:r>
            <w:r w:rsidR="00944EF1" w:rsidRPr="00F72D5C">
              <w:rPr>
                <w:rFonts w:hint="eastAsia"/>
                <w:bCs/>
              </w:rPr>
              <w:t>58.73%</w:t>
            </w:r>
            <w:r w:rsidRPr="00F72D5C">
              <w:rPr>
                <w:rFonts w:hint="eastAsia"/>
                <w:bCs/>
              </w:rPr>
              <w:t>，增速为</w:t>
            </w:r>
            <w:r w:rsidRPr="00F72D5C">
              <w:rPr>
                <w:rFonts w:hint="eastAsia"/>
                <w:bCs/>
              </w:rPr>
              <w:t>8.3%</w:t>
            </w:r>
            <w:r w:rsidRPr="00F72D5C">
              <w:rPr>
                <w:rFonts w:hint="eastAsia"/>
                <w:bCs/>
              </w:rPr>
              <w:t>；</w:t>
            </w:r>
            <w:r w:rsidR="005E4961">
              <w:rPr>
                <w:rFonts w:hint="eastAsia"/>
                <w:bCs/>
              </w:rPr>
              <w:t>混动</w:t>
            </w:r>
            <w:r w:rsidRPr="00F72D5C">
              <w:rPr>
                <w:rFonts w:hint="eastAsia"/>
                <w:bCs/>
              </w:rPr>
              <w:t>汽车占比</w:t>
            </w:r>
            <w:r w:rsidR="00944EF1" w:rsidRPr="00F72D5C">
              <w:rPr>
                <w:rFonts w:hint="eastAsia"/>
                <w:bCs/>
              </w:rPr>
              <w:t>41.18%</w:t>
            </w:r>
            <w:r w:rsidRPr="00F72D5C">
              <w:rPr>
                <w:rFonts w:hint="eastAsia"/>
                <w:bCs/>
              </w:rPr>
              <w:t>，增速为</w:t>
            </w:r>
            <w:r w:rsidRPr="00F72D5C">
              <w:rPr>
                <w:rFonts w:hint="eastAsia"/>
                <w:bCs/>
              </w:rPr>
              <w:t>81.6%</w:t>
            </w:r>
            <w:r w:rsidRPr="00F72D5C">
              <w:rPr>
                <w:rFonts w:hint="eastAsia"/>
                <w:bCs/>
              </w:rPr>
              <w:t>。中国新能源汽车市场自</w:t>
            </w:r>
            <w:r w:rsidRPr="00F72D5C">
              <w:rPr>
                <w:rFonts w:hint="eastAsia"/>
                <w:bCs/>
              </w:rPr>
              <w:t>2021</w:t>
            </w:r>
            <w:r w:rsidRPr="00F72D5C">
              <w:rPr>
                <w:rFonts w:hint="eastAsia"/>
                <w:bCs/>
              </w:rPr>
              <w:t>年起规模迅速扩大，但自</w:t>
            </w:r>
            <w:r w:rsidRPr="00F72D5C">
              <w:rPr>
                <w:rFonts w:hint="eastAsia"/>
                <w:bCs/>
              </w:rPr>
              <w:t>2023</w:t>
            </w:r>
            <w:r w:rsidRPr="00F72D5C">
              <w:rPr>
                <w:rFonts w:hint="eastAsia"/>
                <w:bCs/>
              </w:rPr>
              <w:t>年下半年开始，混动汽车的增速逐步超越纯电汽车，并成为推动新能源汽车销量增长的主力。越来越多的车企开始布局混动赛道，如阿维塔、沃尔沃、上汽通用、上汽大众等均入局增程市场。因此我们认为燃油、混动、纯电技术路线在未来较长一段时间会并存。</w:t>
            </w:r>
            <w:r w:rsidR="003B1E32">
              <w:rPr>
                <w:rFonts w:hint="eastAsia"/>
                <w:bCs/>
              </w:rPr>
              <w:t>公司将立足现有业务，</w:t>
            </w:r>
            <w:r w:rsidRPr="00F72D5C">
              <w:rPr>
                <w:rFonts w:hint="eastAsia"/>
                <w:bCs/>
              </w:rPr>
              <w:t>在深耕现有客户及产品的基础上，努力开拓新的市场机会，积极拓展出口业务，优化产品、客户结构，进一步提升公司持续盈利能力。同时公司</w:t>
            </w:r>
            <w:r w:rsidR="00913581">
              <w:rPr>
                <w:rFonts w:hint="eastAsia"/>
                <w:bCs/>
              </w:rPr>
              <w:t>储备</w:t>
            </w:r>
            <w:r w:rsidRPr="00F72D5C">
              <w:rPr>
                <w:rFonts w:hint="eastAsia"/>
                <w:bCs/>
              </w:rPr>
              <w:t>五合一混合动力驱动系统总成的技术，其中的电机控制器、驱动电机、发电机、减速器技术也可应用于纯电动车型。</w:t>
            </w:r>
          </w:p>
          <w:p w14:paraId="339F883D" w14:textId="040B47A4" w:rsidR="00533BA6" w:rsidRPr="00FE75C8" w:rsidRDefault="00FD44FB" w:rsidP="00554E70">
            <w:pPr>
              <w:pStyle w:val="a7"/>
              <w:numPr>
                <w:ilvl w:val="0"/>
                <w:numId w:val="21"/>
              </w:numPr>
              <w:spacing w:beforeLines="50" w:before="156" w:afterLines="50" w:after="156" w:line="360" w:lineRule="auto"/>
              <w:ind w:firstLineChars="0"/>
              <w:rPr>
                <w:b/>
              </w:rPr>
            </w:pPr>
            <w:r w:rsidRPr="00FD44FB">
              <w:rPr>
                <w:rFonts w:hint="eastAsia"/>
                <w:b/>
              </w:rPr>
              <w:t>公司近几年分红金额较高，</w:t>
            </w:r>
            <w:r>
              <w:rPr>
                <w:rFonts w:hint="eastAsia"/>
                <w:b/>
              </w:rPr>
              <w:t>后续</w:t>
            </w:r>
            <w:r w:rsidRPr="00FD44FB">
              <w:rPr>
                <w:rFonts w:hint="eastAsia"/>
                <w:b/>
              </w:rPr>
              <w:t>是否还有分红规划？</w:t>
            </w:r>
          </w:p>
          <w:p w14:paraId="7708102C" w14:textId="0760E77B" w:rsidR="00366281" w:rsidRDefault="00D6539C" w:rsidP="008706C5">
            <w:pPr>
              <w:spacing w:beforeLines="50" w:before="156" w:afterLines="50" w:after="156" w:line="360" w:lineRule="auto"/>
              <w:ind w:firstLineChars="200" w:firstLine="420"/>
              <w:rPr>
                <w:rFonts w:ascii="宋体" w:hAnsi="宋体"/>
                <w:bCs/>
              </w:rPr>
            </w:pPr>
            <w:r w:rsidRPr="00D6539C">
              <w:rPr>
                <w:rFonts w:ascii="宋体" w:hAnsi="宋体" w:hint="eastAsia"/>
                <w:bCs/>
              </w:rPr>
              <w:t>公司货币资金充足，一直重视股东分红回报，上市至今已累计现金分红9.38亿元，股份回购2.92亿元，前述金额合计占公司上市至今归母净利润的104.83%。公司后续将继续在努力确保公司主营业务可持续增长的前提下，充分重视对投资者进行合理、有效的投资回报，坚持稳定、持续的利润分配原则。坚持现金分红为主，股票与现金相结合的分配原则。其中，公司现金股利政策目标为低正常股利加额外股利。其中低正常股利金额为合并报表归属于母公司股东的可供分配利润的15%；董事会可结合累计未分配利润、当年经营成果，未来资金安排及货币资金结余等，综合确定额外股利发放方案。</w:t>
            </w:r>
          </w:p>
          <w:p w14:paraId="6C0FA681" w14:textId="5F7B12A5" w:rsidR="00CC4503" w:rsidRPr="00CC4503" w:rsidRDefault="00CC4503" w:rsidP="00CC4503">
            <w:pPr>
              <w:spacing w:beforeLines="50" w:before="156" w:afterLines="50" w:after="156" w:line="360" w:lineRule="auto"/>
              <w:ind w:firstLineChars="200" w:firstLine="422"/>
              <w:rPr>
                <w:rFonts w:ascii="宋体" w:hAnsi="宋体"/>
                <w:b/>
                <w:bCs/>
              </w:rPr>
            </w:pPr>
            <w:r w:rsidRPr="00CC4503">
              <w:rPr>
                <w:rFonts w:ascii="宋体" w:hAnsi="宋体" w:hint="eastAsia"/>
                <w:b/>
                <w:bCs/>
              </w:rPr>
              <w:t>（</w:t>
            </w:r>
            <w:r w:rsidR="003A5EF7">
              <w:rPr>
                <w:rFonts w:ascii="宋体" w:hAnsi="宋体"/>
                <w:b/>
                <w:bCs/>
              </w:rPr>
              <w:t>5</w:t>
            </w:r>
            <w:r w:rsidR="0032121D">
              <w:rPr>
                <w:rFonts w:ascii="宋体" w:hAnsi="宋体" w:hint="eastAsia"/>
                <w:b/>
                <w:bCs/>
              </w:rPr>
              <w:t>）近期发布了</w:t>
            </w:r>
            <w:r w:rsidR="00CE487C">
              <w:rPr>
                <w:rFonts w:ascii="宋体" w:hAnsi="宋体" w:hint="eastAsia"/>
                <w:b/>
                <w:bCs/>
              </w:rPr>
              <w:t>多项促进股市健康发展的</w:t>
            </w:r>
            <w:r w:rsidRPr="00CC4503">
              <w:rPr>
                <w:rFonts w:ascii="宋体" w:hAnsi="宋体" w:hint="eastAsia"/>
                <w:b/>
                <w:bCs/>
              </w:rPr>
              <w:t>政策</w:t>
            </w:r>
            <w:r w:rsidR="0032121D">
              <w:rPr>
                <w:rFonts w:ascii="宋体" w:hAnsi="宋体" w:hint="eastAsia"/>
                <w:b/>
                <w:bCs/>
              </w:rPr>
              <w:t>，管理层对公司股价有何展望；</w:t>
            </w:r>
            <w:r w:rsidR="00CE487C">
              <w:rPr>
                <w:rFonts w:ascii="宋体" w:hAnsi="宋体" w:hint="eastAsia"/>
                <w:b/>
                <w:bCs/>
              </w:rPr>
              <w:t>其中</w:t>
            </w:r>
            <w:r w:rsidR="00CE487C" w:rsidRPr="00CE487C">
              <w:rPr>
                <w:rFonts w:ascii="宋体" w:hAnsi="宋体" w:hint="eastAsia"/>
                <w:b/>
                <w:bCs/>
              </w:rPr>
              <w:t>鼓励公</w:t>
            </w:r>
            <w:r w:rsidR="00CE487C" w:rsidRPr="00CE487C">
              <w:rPr>
                <w:rFonts w:ascii="宋体" w:hAnsi="宋体" w:hint="eastAsia"/>
                <w:b/>
                <w:bCs/>
              </w:rPr>
              <w:lastRenderedPageBreak/>
              <w:t>司及股东通过专项贷款资金，回购增持自家股票进行市值管理，公司在这方面有何计划</w:t>
            </w:r>
            <w:r w:rsidRPr="00CC4503">
              <w:rPr>
                <w:rFonts w:ascii="宋体" w:hAnsi="宋体" w:hint="eastAsia"/>
                <w:b/>
                <w:bCs/>
              </w:rPr>
              <w:t>？</w:t>
            </w:r>
          </w:p>
          <w:p w14:paraId="7E20FFC6" w14:textId="318C73FC" w:rsidR="007C22ED" w:rsidRDefault="003B74CD" w:rsidP="00CC4503">
            <w:pPr>
              <w:spacing w:beforeLines="50" w:before="156" w:afterLines="50" w:after="156" w:line="360" w:lineRule="auto"/>
              <w:ind w:firstLineChars="200" w:firstLine="420"/>
              <w:rPr>
                <w:rFonts w:ascii="宋体" w:hAnsi="宋体"/>
                <w:bCs/>
              </w:rPr>
            </w:pPr>
            <w:r>
              <w:rPr>
                <w:rFonts w:ascii="宋体" w:hAnsi="宋体"/>
                <w:bCs/>
              </w:rPr>
              <w:t>9</w:t>
            </w:r>
            <w:r>
              <w:rPr>
                <w:rFonts w:ascii="宋体" w:hAnsi="宋体" w:hint="eastAsia"/>
                <w:bCs/>
              </w:rPr>
              <w:t>月2</w:t>
            </w:r>
            <w:r>
              <w:rPr>
                <w:rFonts w:ascii="宋体" w:hAnsi="宋体"/>
                <w:bCs/>
              </w:rPr>
              <w:t>4</w:t>
            </w:r>
            <w:r>
              <w:rPr>
                <w:rFonts w:ascii="宋体" w:hAnsi="宋体" w:hint="eastAsia"/>
                <w:bCs/>
              </w:rPr>
              <w:t>日</w:t>
            </w:r>
            <w:r w:rsidRPr="00CC4503">
              <w:rPr>
                <w:rFonts w:ascii="宋体" w:hAnsi="宋体" w:hint="eastAsia"/>
                <w:bCs/>
              </w:rPr>
              <w:t>，央行、金融监管总局、证监会三部门相关负责人介绍金融支持经济高质量发展有关情况，同时发布降低存款准备金率和政策利率、降低存量房贷利率、创设新的货币政策工具支持股票市场稳定发展等一系列政策。多措并举支持</w:t>
            </w:r>
            <w:r w:rsidR="005153E7">
              <w:rPr>
                <w:rFonts w:ascii="宋体" w:hAnsi="宋体" w:hint="eastAsia"/>
                <w:bCs/>
              </w:rPr>
              <w:t>股市</w:t>
            </w:r>
            <w:r w:rsidRPr="00CC4503">
              <w:rPr>
                <w:rFonts w:ascii="宋体" w:hAnsi="宋体" w:hint="eastAsia"/>
                <w:bCs/>
              </w:rPr>
              <w:t>高质量发展，积极信号明确</w:t>
            </w:r>
            <w:r w:rsidR="005153E7">
              <w:rPr>
                <w:rFonts w:ascii="宋体" w:hAnsi="宋体" w:hint="eastAsia"/>
                <w:bCs/>
              </w:rPr>
              <w:t>，这几天大盘的表现也反应了这些政策有利于</w:t>
            </w:r>
            <w:r w:rsidR="005153E7">
              <w:rPr>
                <w:rFonts w:ascii="宋体" w:hAnsi="宋体"/>
                <w:bCs/>
              </w:rPr>
              <w:t>A</w:t>
            </w:r>
            <w:r w:rsidR="005153E7">
              <w:rPr>
                <w:rFonts w:ascii="宋体" w:hAnsi="宋体" w:hint="eastAsia"/>
                <w:bCs/>
              </w:rPr>
              <w:t>股及公司</w:t>
            </w:r>
            <w:r w:rsidR="007C22ED">
              <w:rPr>
                <w:rFonts w:ascii="宋体" w:hAnsi="宋体" w:hint="eastAsia"/>
                <w:bCs/>
              </w:rPr>
              <w:t>的</w:t>
            </w:r>
            <w:r w:rsidR="005153E7">
              <w:rPr>
                <w:rFonts w:ascii="宋体" w:hAnsi="宋体" w:hint="eastAsia"/>
                <w:bCs/>
              </w:rPr>
              <w:t>价值回归</w:t>
            </w:r>
            <w:r w:rsidRPr="00CC4503">
              <w:rPr>
                <w:rFonts w:ascii="宋体" w:hAnsi="宋体" w:hint="eastAsia"/>
                <w:bCs/>
              </w:rPr>
              <w:t>。</w:t>
            </w:r>
          </w:p>
          <w:p w14:paraId="0A3A6A93" w14:textId="3D22202C" w:rsidR="004127DE" w:rsidRPr="00FD44FB" w:rsidRDefault="001B6495" w:rsidP="00760288">
            <w:pPr>
              <w:spacing w:beforeLines="50" w:before="156" w:afterLines="50" w:after="156" w:line="360" w:lineRule="auto"/>
              <w:ind w:firstLineChars="200" w:firstLine="420"/>
              <w:rPr>
                <w:rFonts w:ascii="宋体" w:hAnsi="宋体"/>
                <w:bCs/>
              </w:rPr>
            </w:pPr>
            <w:r>
              <w:rPr>
                <w:rFonts w:ascii="宋体" w:hAnsi="宋体" w:hint="eastAsia"/>
                <w:bCs/>
              </w:rPr>
              <w:t>鼓励银行</w:t>
            </w:r>
            <w:r w:rsidR="007C22ED" w:rsidRPr="007C22ED">
              <w:rPr>
                <w:rFonts w:ascii="宋体" w:hAnsi="宋体" w:hint="eastAsia"/>
                <w:bCs/>
              </w:rPr>
              <w:t>向上市公司和主要股东提供股票回购、增持专项再贷款，</w:t>
            </w:r>
            <w:r>
              <w:rPr>
                <w:rFonts w:ascii="宋体" w:hAnsi="宋体" w:hint="eastAsia"/>
                <w:bCs/>
              </w:rPr>
              <w:t>将有利于减轻公司及股东增持回购资金</w:t>
            </w:r>
            <w:r w:rsidR="00A525C9">
              <w:rPr>
                <w:rFonts w:ascii="宋体" w:hAnsi="宋体" w:hint="eastAsia"/>
                <w:bCs/>
              </w:rPr>
              <w:t>压力。</w:t>
            </w:r>
            <w:r w:rsidR="007C22ED" w:rsidRPr="007C22ED">
              <w:rPr>
                <w:rFonts w:ascii="宋体" w:hAnsi="宋体" w:hint="eastAsia"/>
                <w:bCs/>
              </w:rPr>
              <w:t>回购增持是上市公司进行</w:t>
            </w:r>
            <w:r w:rsidR="00A525C9">
              <w:rPr>
                <w:rFonts w:ascii="宋体" w:hAnsi="宋体" w:hint="eastAsia"/>
                <w:bCs/>
              </w:rPr>
              <w:t>市值管理的重要手段，</w:t>
            </w:r>
            <w:r>
              <w:rPr>
                <w:rFonts w:ascii="宋体" w:hAnsi="宋体" w:hint="eastAsia"/>
                <w:bCs/>
              </w:rPr>
              <w:t>公司也一贯重视市值管理，</w:t>
            </w:r>
            <w:r w:rsidR="00760288">
              <w:rPr>
                <w:rFonts w:ascii="宋体" w:hAnsi="宋体" w:hint="eastAsia"/>
                <w:bCs/>
              </w:rPr>
              <w:t>未来，</w:t>
            </w:r>
            <w:r>
              <w:rPr>
                <w:rFonts w:ascii="宋体" w:hAnsi="宋体" w:hint="eastAsia"/>
                <w:bCs/>
              </w:rPr>
              <w:t>将积极抓住政策机遇响</w:t>
            </w:r>
            <w:r w:rsidR="007C22ED" w:rsidRPr="007C22ED">
              <w:rPr>
                <w:rFonts w:ascii="宋体" w:hAnsi="宋体" w:hint="eastAsia"/>
                <w:bCs/>
              </w:rPr>
              <w:t>应市场号召，</w:t>
            </w:r>
            <w:r>
              <w:rPr>
                <w:rFonts w:ascii="宋体" w:hAnsi="宋体" w:hint="eastAsia"/>
                <w:bCs/>
              </w:rPr>
              <w:t>探讨</w:t>
            </w:r>
            <w:r w:rsidR="00A525C9">
              <w:rPr>
                <w:rFonts w:ascii="宋体" w:hAnsi="宋体" w:hint="eastAsia"/>
                <w:bCs/>
              </w:rPr>
              <w:t>增持回购的</w:t>
            </w:r>
            <w:r>
              <w:rPr>
                <w:rFonts w:ascii="宋体" w:hAnsi="宋体" w:hint="eastAsia"/>
                <w:bCs/>
              </w:rPr>
              <w:t>可行性</w:t>
            </w:r>
            <w:r w:rsidR="00A525C9">
              <w:t>，如未来有回购或增持计划将及时进行信息披露。</w:t>
            </w:r>
          </w:p>
        </w:tc>
      </w:tr>
      <w:tr w:rsidR="00677677" w:rsidRPr="00BE0AE9" w14:paraId="4D64A5F3" w14:textId="77777777" w:rsidTr="0020089D">
        <w:trPr>
          <w:trHeight w:val="93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BC3DE34" w14:textId="77777777" w:rsidR="00677677" w:rsidRPr="00BE0AE9" w:rsidRDefault="00677677" w:rsidP="00677677">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lastRenderedPageBreak/>
              <w:t>附件清单（如有）</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0430561F" w14:textId="77777777" w:rsidR="00677677" w:rsidRPr="00BE0AE9" w:rsidRDefault="00677677" w:rsidP="00677677">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无</w:t>
            </w:r>
          </w:p>
        </w:tc>
      </w:tr>
      <w:tr w:rsidR="00677677" w:rsidRPr="00BE0AE9" w14:paraId="26326E74" w14:textId="77777777" w:rsidTr="0020089D">
        <w:trPr>
          <w:trHeight w:val="525"/>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93F2815" w14:textId="77777777" w:rsidR="00677677" w:rsidRPr="00BE0AE9" w:rsidRDefault="00677677" w:rsidP="00677677">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日期</w:t>
            </w:r>
          </w:p>
        </w:tc>
        <w:tc>
          <w:tcPr>
            <w:tcW w:w="897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6F16812" w14:textId="1411D507" w:rsidR="00677677" w:rsidRPr="00BE0AE9" w:rsidRDefault="00677677" w:rsidP="00677677">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20</w:t>
            </w:r>
            <w:r>
              <w:rPr>
                <w:rFonts w:ascii="宋体" w:hAnsi="宋体" w:cs="宋体"/>
                <w:color w:val="000000"/>
                <w:kern w:val="0"/>
                <w:sz w:val="22"/>
                <w:szCs w:val="22"/>
              </w:rPr>
              <w:t>2</w:t>
            </w:r>
            <w:r w:rsidR="00973574">
              <w:rPr>
                <w:rFonts w:ascii="宋体" w:hAnsi="宋体" w:cs="宋体" w:hint="eastAsia"/>
                <w:color w:val="000000"/>
                <w:kern w:val="0"/>
                <w:sz w:val="22"/>
                <w:szCs w:val="22"/>
              </w:rPr>
              <w:t>4</w:t>
            </w:r>
            <w:r w:rsidRPr="00BE0AE9">
              <w:rPr>
                <w:rFonts w:ascii="宋体" w:hAnsi="宋体" w:cs="宋体" w:hint="eastAsia"/>
                <w:color w:val="000000"/>
                <w:kern w:val="0"/>
                <w:sz w:val="22"/>
                <w:szCs w:val="22"/>
              </w:rPr>
              <w:t>年</w:t>
            </w:r>
            <w:r w:rsidR="005D1635">
              <w:rPr>
                <w:rFonts w:ascii="宋体" w:hAnsi="宋体" w:cs="宋体" w:hint="eastAsia"/>
                <w:color w:val="000000"/>
                <w:kern w:val="0"/>
                <w:sz w:val="22"/>
                <w:szCs w:val="22"/>
              </w:rPr>
              <w:t>9</w:t>
            </w:r>
            <w:r w:rsidRPr="00BE0AE9">
              <w:rPr>
                <w:rFonts w:ascii="宋体" w:hAnsi="宋体" w:cs="宋体" w:hint="eastAsia"/>
                <w:color w:val="000000"/>
                <w:kern w:val="0"/>
                <w:sz w:val="22"/>
                <w:szCs w:val="22"/>
              </w:rPr>
              <w:t>月</w:t>
            </w:r>
            <w:r w:rsidR="005D1635">
              <w:rPr>
                <w:rFonts w:ascii="宋体" w:hAnsi="宋体" w:cs="宋体" w:hint="eastAsia"/>
                <w:color w:val="000000"/>
                <w:kern w:val="0"/>
                <w:sz w:val="22"/>
                <w:szCs w:val="22"/>
              </w:rPr>
              <w:t>26</w:t>
            </w:r>
            <w:r w:rsidRPr="00BE0AE9">
              <w:rPr>
                <w:rFonts w:ascii="宋体" w:hAnsi="宋体" w:cs="宋体" w:hint="eastAsia"/>
                <w:color w:val="000000"/>
                <w:kern w:val="0"/>
                <w:sz w:val="22"/>
                <w:szCs w:val="22"/>
              </w:rPr>
              <w:t>日</w:t>
            </w:r>
          </w:p>
        </w:tc>
      </w:tr>
    </w:tbl>
    <w:p w14:paraId="77C431FA" w14:textId="77777777" w:rsidR="001C21BB" w:rsidRPr="00BE0AE9" w:rsidRDefault="001C21BB" w:rsidP="00F27BAC"/>
    <w:sectPr w:rsidR="001C21BB" w:rsidRPr="00BE0AE9" w:rsidSect="00A834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C0F9D" w14:textId="77777777" w:rsidR="00B01C1D" w:rsidRDefault="00B01C1D" w:rsidP="00BE0AE9">
      <w:r>
        <w:separator/>
      </w:r>
    </w:p>
  </w:endnote>
  <w:endnote w:type="continuationSeparator" w:id="0">
    <w:p w14:paraId="23C6970A" w14:textId="77777777" w:rsidR="00B01C1D" w:rsidRDefault="00B01C1D" w:rsidP="00BE0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FDBAB" w14:textId="77777777" w:rsidR="00B01C1D" w:rsidRDefault="00B01C1D" w:rsidP="00BE0AE9">
      <w:r>
        <w:separator/>
      </w:r>
    </w:p>
  </w:footnote>
  <w:footnote w:type="continuationSeparator" w:id="0">
    <w:p w14:paraId="720206F2" w14:textId="77777777" w:rsidR="00B01C1D" w:rsidRDefault="00B01C1D" w:rsidP="00BE0A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B5FD"/>
    <w:multiLevelType w:val="singleLevel"/>
    <w:tmpl w:val="0119B5FD"/>
    <w:lvl w:ilvl="0">
      <w:start w:val="1"/>
      <w:numFmt w:val="decimal"/>
      <w:suff w:val="nothing"/>
      <w:lvlText w:val="%1、"/>
      <w:lvlJc w:val="left"/>
    </w:lvl>
  </w:abstractNum>
  <w:abstractNum w:abstractNumId="1" w15:restartNumberingAfterBreak="0">
    <w:nsid w:val="04195210"/>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2" w15:restartNumberingAfterBreak="0">
    <w:nsid w:val="051B134A"/>
    <w:multiLevelType w:val="hybridMultilevel"/>
    <w:tmpl w:val="DABC09D2"/>
    <w:lvl w:ilvl="0" w:tplc="A4C0CE6E">
      <w:start w:val="1"/>
      <w:numFmt w:val="japaneseCounting"/>
      <w:lvlText w:val="%1、"/>
      <w:lvlJc w:val="left"/>
      <w:pPr>
        <w:ind w:left="880" w:hanging="44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 w15:restartNumberingAfterBreak="0">
    <w:nsid w:val="063A2150"/>
    <w:multiLevelType w:val="hybridMultilevel"/>
    <w:tmpl w:val="9FA4EB66"/>
    <w:lvl w:ilvl="0" w:tplc="5E008D8E">
      <w:start w:val="1"/>
      <w:numFmt w:val="decimal"/>
      <w:lvlText w:val="%1、"/>
      <w:lvlJc w:val="left"/>
      <w:pPr>
        <w:ind w:left="782" w:hanging="360"/>
      </w:pPr>
      <w:rPr>
        <w:rFonts w:hint="default"/>
        <w:b/>
        <w:bCs w:val="0"/>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4" w15:restartNumberingAfterBreak="0">
    <w:nsid w:val="07D93F92"/>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5" w15:restartNumberingAfterBreak="0">
    <w:nsid w:val="12A20417"/>
    <w:multiLevelType w:val="singleLevel"/>
    <w:tmpl w:val="0119B5FD"/>
    <w:lvl w:ilvl="0">
      <w:start w:val="1"/>
      <w:numFmt w:val="decimal"/>
      <w:suff w:val="nothing"/>
      <w:lvlText w:val="%1、"/>
      <w:lvlJc w:val="left"/>
    </w:lvl>
  </w:abstractNum>
  <w:abstractNum w:abstractNumId="6" w15:restartNumberingAfterBreak="0">
    <w:nsid w:val="16D7659D"/>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7" w15:restartNumberingAfterBreak="0">
    <w:nsid w:val="181C0D0E"/>
    <w:multiLevelType w:val="hybridMultilevel"/>
    <w:tmpl w:val="E61E9C36"/>
    <w:lvl w:ilvl="0" w:tplc="FFFFFFFF">
      <w:start w:val="1"/>
      <w:numFmt w:val="decimal"/>
      <w:lvlText w:val="（%1）"/>
      <w:lvlJc w:val="left"/>
      <w:pPr>
        <w:ind w:left="782" w:hanging="360"/>
      </w:pPr>
      <w:rPr>
        <w:rFonts w:hint="default"/>
        <w:b/>
        <w:bCs w:val="0"/>
      </w:r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8" w15:restartNumberingAfterBreak="0">
    <w:nsid w:val="1BDA351D"/>
    <w:multiLevelType w:val="hybridMultilevel"/>
    <w:tmpl w:val="082E0DC2"/>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9" w15:restartNumberingAfterBreak="0">
    <w:nsid w:val="1CD96FFC"/>
    <w:multiLevelType w:val="hybridMultilevel"/>
    <w:tmpl w:val="4C32AD3A"/>
    <w:lvl w:ilvl="0" w:tplc="CDFA9E74">
      <w:start w:val="1"/>
      <w:numFmt w:val="decimal"/>
      <w:lvlText w:val="（%1）"/>
      <w:lvlJc w:val="left"/>
      <w:pPr>
        <w:ind w:left="782" w:hanging="360"/>
      </w:pPr>
      <w:rPr>
        <w:rFonts w:hint="default"/>
        <w:b/>
        <w:bCs w:val="0"/>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0" w15:restartNumberingAfterBreak="0">
    <w:nsid w:val="1F897A12"/>
    <w:multiLevelType w:val="hybridMultilevel"/>
    <w:tmpl w:val="9FA4EB66"/>
    <w:lvl w:ilvl="0" w:tplc="5E008D8E">
      <w:start w:val="1"/>
      <w:numFmt w:val="decimal"/>
      <w:lvlText w:val="%1、"/>
      <w:lvlJc w:val="left"/>
      <w:pPr>
        <w:ind w:left="782" w:hanging="360"/>
      </w:pPr>
      <w:rPr>
        <w:rFonts w:hint="default"/>
        <w:b/>
        <w:bCs w:val="0"/>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1" w15:restartNumberingAfterBreak="0">
    <w:nsid w:val="20A81471"/>
    <w:multiLevelType w:val="hybridMultilevel"/>
    <w:tmpl w:val="C8A03098"/>
    <w:lvl w:ilvl="0" w:tplc="E64C9892">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E275187"/>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3" w15:restartNumberingAfterBreak="0">
    <w:nsid w:val="303F1FD9"/>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4" w15:restartNumberingAfterBreak="0">
    <w:nsid w:val="319C5B55"/>
    <w:multiLevelType w:val="hybridMultilevel"/>
    <w:tmpl w:val="5DF05BBA"/>
    <w:lvl w:ilvl="0" w:tplc="FFFFFFFF">
      <w:start w:val="1"/>
      <w:numFmt w:val="decimal"/>
      <w:lvlText w:val="%1、"/>
      <w:lvlJc w:val="left"/>
      <w:pPr>
        <w:ind w:left="782" w:hanging="360"/>
      </w:pPr>
      <w:rPr>
        <w:rFonts w:hint="default"/>
      </w:r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5" w15:restartNumberingAfterBreak="0">
    <w:nsid w:val="370A3495"/>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6" w15:restartNumberingAfterBreak="0">
    <w:nsid w:val="3F2643B7"/>
    <w:multiLevelType w:val="hybridMultilevel"/>
    <w:tmpl w:val="9FA4EB66"/>
    <w:lvl w:ilvl="0" w:tplc="5E008D8E">
      <w:start w:val="1"/>
      <w:numFmt w:val="decimal"/>
      <w:lvlText w:val="%1、"/>
      <w:lvlJc w:val="left"/>
      <w:pPr>
        <w:ind w:left="782" w:hanging="360"/>
      </w:pPr>
      <w:rPr>
        <w:rFonts w:hint="default"/>
        <w:b/>
        <w:bCs w:val="0"/>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7" w15:restartNumberingAfterBreak="0">
    <w:nsid w:val="3F9B4BCF"/>
    <w:multiLevelType w:val="hybridMultilevel"/>
    <w:tmpl w:val="16A65962"/>
    <w:lvl w:ilvl="0" w:tplc="296C81C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1D2509D"/>
    <w:multiLevelType w:val="hybridMultilevel"/>
    <w:tmpl w:val="E61E9C36"/>
    <w:lvl w:ilvl="0" w:tplc="CDFA9E74">
      <w:start w:val="1"/>
      <w:numFmt w:val="decimal"/>
      <w:lvlText w:val="（%1）"/>
      <w:lvlJc w:val="left"/>
      <w:pPr>
        <w:ind w:left="782" w:hanging="360"/>
      </w:pPr>
      <w:rPr>
        <w:rFonts w:hint="default"/>
        <w:b/>
        <w:bCs w:val="0"/>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9" w15:restartNumberingAfterBreak="0">
    <w:nsid w:val="4D6E45C8"/>
    <w:multiLevelType w:val="hybridMultilevel"/>
    <w:tmpl w:val="5FCC801C"/>
    <w:lvl w:ilvl="0" w:tplc="830A74EE">
      <w:start w:val="1"/>
      <w:numFmt w:val="japaneseCounting"/>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2731B9"/>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21" w15:restartNumberingAfterBreak="0">
    <w:nsid w:val="6CBC3677"/>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22" w15:restartNumberingAfterBreak="0">
    <w:nsid w:val="719C39FA"/>
    <w:multiLevelType w:val="hybridMultilevel"/>
    <w:tmpl w:val="170C74B6"/>
    <w:lvl w:ilvl="0" w:tplc="FFFFFFFF">
      <w:start w:val="1"/>
      <w:numFmt w:val="decimal"/>
      <w:lvlText w:val="%1、"/>
      <w:lvlJc w:val="left"/>
      <w:pPr>
        <w:ind w:left="782" w:hanging="360"/>
      </w:pPr>
      <w:rPr>
        <w:rFonts w:hint="default"/>
      </w:r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23" w15:restartNumberingAfterBreak="0">
    <w:nsid w:val="74646B16"/>
    <w:multiLevelType w:val="multilevel"/>
    <w:tmpl w:val="74646B16"/>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num w:numId="1">
    <w:abstractNumId w:val="11"/>
  </w:num>
  <w:num w:numId="2">
    <w:abstractNumId w:val="0"/>
  </w:num>
  <w:num w:numId="3">
    <w:abstractNumId w:val="5"/>
  </w:num>
  <w:num w:numId="4">
    <w:abstractNumId w:val="17"/>
  </w:num>
  <w:num w:numId="5">
    <w:abstractNumId w:val="3"/>
  </w:num>
  <w:num w:numId="6">
    <w:abstractNumId w:val="2"/>
  </w:num>
  <w:num w:numId="7">
    <w:abstractNumId w:val="19"/>
  </w:num>
  <w:num w:numId="8">
    <w:abstractNumId w:val="1"/>
  </w:num>
  <w:num w:numId="9">
    <w:abstractNumId w:val="12"/>
  </w:num>
  <w:num w:numId="10">
    <w:abstractNumId w:val="23"/>
  </w:num>
  <w:num w:numId="11">
    <w:abstractNumId w:val="15"/>
  </w:num>
  <w:num w:numId="12">
    <w:abstractNumId w:val="6"/>
  </w:num>
  <w:num w:numId="13">
    <w:abstractNumId w:val="20"/>
  </w:num>
  <w:num w:numId="14">
    <w:abstractNumId w:val="4"/>
  </w:num>
  <w:num w:numId="15">
    <w:abstractNumId w:val="13"/>
  </w:num>
  <w:num w:numId="16">
    <w:abstractNumId w:val="21"/>
  </w:num>
  <w:num w:numId="17">
    <w:abstractNumId w:val="14"/>
  </w:num>
  <w:num w:numId="18">
    <w:abstractNumId w:val="22"/>
  </w:num>
  <w:num w:numId="19">
    <w:abstractNumId w:val="8"/>
  </w:num>
  <w:num w:numId="20">
    <w:abstractNumId w:val="16"/>
  </w:num>
  <w:num w:numId="21">
    <w:abstractNumId w:val="9"/>
  </w:num>
  <w:num w:numId="22">
    <w:abstractNumId w:val="10"/>
  </w:num>
  <w:num w:numId="23">
    <w:abstractNumId w:val="18"/>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AA4"/>
    <w:rsid w:val="00001AD5"/>
    <w:rsid w:val="000027DC"/>
    <w:rsid w:val="000058CD"/>
    <w:rsid w:val="0000714E"/>
    <w:rsid w:val="00010499"/>
    <w:rsid w:val="00011259"/>
    <w:rsid w:val="00012965"/>
    <w:rsid w:val="00014705"/>
    <w:rsid w:val="00017F8C"/>
    <w:rsid w:val="00023FC4"/>
    <w:rsid w:val="00024939"/>
    <w:rsid w:val="000249E6"/>
    <w:rsid w:val="00024A87"/>
    <w:rsid w:val="00031443"/>
    <w:rsid w:val="00031898"/>
    <w:rsid w:val="00033A55"/>
    <w:rsid w:val="00034C6B"/>
    <w:rsid w:val="00041187"/>
    <w:rsid w:val="000412C5"/>
    <w:rsid w:val="00042C57"/>
    <w:rsid w:val="000452D4"/>
    <w:rsid w:val="000475EA"/>
    <w:rsid w:val="00047A23"/>
    <w:rsid w:val="000546C4"/>
    <w:rsid w:val="000549E4"/>
    <w:rsid w:val="00055E77"/>
    <w:rsid w:val="00066C32"/>
    <w:rsid w:val="000704DE"/>
    <w:rsid w:val="00072782"/>
    <w:rsid w:val="00072AF1"/>
    <w:rsid w:val="00073323"/>
    <w:rsid w:val="00073437"/>
    <w:rsid w:val="00074215"/>
    <w:rsid w:val="00077D85"/>
    <w:rsid w:val="000831E1"/>
    <w:rsid w:val="00084190"/>
    <w:rsid w:val="000878EB"/>
    <w:rsid w:val="0008796D"/>
    <w:rsid w:val="000910FA"/>
    <w:rsid w:val="00093E70"/>
    <w:rsid w:val="00096A00"/>
    <w:rsid w:val="00097C28"/>
    <w:rsid w:val="000A2020"/>
    <w:rsid w:val="000A4608"/>
    <w:rsid w:val="000A5A82"/>
    <w:rsid w:val="000B4BC6"/>
    <w:rsid w:val="000B79B6"/>
    <w:rsid w:val="000E03A5"/>
    <w:rsid w:val="000E2A59"/>
    <w:rsid w:val="000E3AB1"/>
    <w:rsid w:val="000E54F6"/>
    <w:rsid w:val="000F1ABC"/>
    <w:rsid w:val="000F2868"/>
    <w:rsid w:val="000F349B"/>
    <w:rsid w:val="000F6187"/>
    <w:rsid w:val="000F7603"/>
    <w:rsid w:val="00100C2F"/>
    <w:rsid w:val="00101861"/>
    <w:rsid w:val="001062E3"/>
    <w:rsid w:val="001078A3"/>
    <w:rsid w:val="001108AB"/>
    <w:rsid w:val="0011119E"/>
    <w:rsid w:val="00116CD8"/>
    <w:rsid w:val="00117560"/>
    <w:rsid w:val="0012025C"/>
    <w:rsid w:val="00123E48"/>
    <w:rsid w:val="00126C21"/>
    <w:rsid w:val="00127366"/>
    <w:rsid w:val="001352BF"/>
    <w:rsid w:val="00135E9A"/>
    <w:rsid w:val="00140D23"/>
    <w:rsid w:val="00143B4C"/>
    <w:rsid w:val="00144C29"/>
    <w:rsid w:val="00147283"/>
    <w:rsid w:val="00151A66"/>
    <w:rsid w:val="00152058"/>
    <w:rsid w:val="00153B33"/>
    <w:rsid w:val="001542B8"/>
    <w:rsid w:val="00156344"/>
    <w:rsid w:val="00157D5F"/>
    <w:rsid w:val="001613E8"/>
    <w:rsid w:val="001651E6"/>
    <w:rsid w:val="00165384"/>
    <w:rsid w:val="00170315"/>
    <w:rsid w:val="0017752E"/>
    <w:rsid w:val="001837B0"/>
    <w:rsid w:val="00183CE2"/>
    <w:rsid w:val="00190D7E"/>
    <w:rsid w:val="001949A3"/>
    <w:rsid w:val="0019671D"/>
    <w:rsid w:val="001967D0"/>
    <w:rsid w:val="00196AF1"/>
    <w:rsid w:val="001A1946"/>
    <w:rsid w:val="001A3F28"/>
    <w:rsid w:val="001B00BE"/>
    <w:rsid w:val="001B3BFB"/>
    <w:rsid w:val="001B4942"/>
    <w:rsid w:val="001B4A9C"/>
    <w:rsid w:val="001B6495"/>
    <w:rsid w:val="001B70E1"/>
    <w:rsid w:val="001B7858"/>
    <w:rsid w:val="001C08AD"/>
    <w:rsid w:val="001C1E3D"/>
    <w:rsid w:val="001C21BB"/>
    <w:rsid w:val="001C4E18"/>
    <w:rsid w:val="001C58E6"/>
    <w:rsid w:val="001C795A"/>
    <w:rsid w:val="001D13AA"/>
    <w:rsid w:val="001D13BB"/>
    <w:rsid w:val="001D1FB7"/>
    <w:rsid w:val="001D3E3E"/>
    <w:rsid w:val="001D69FD"/>
    <w:rsid w:val="001D71C6"/>
    <w:rsid w:val="001E2728"/>
    <w:rsid w:val="001E5178"/>
    <w:rsid w:val="001E5971"/>
    <w:rsid w:val="001F19E8"/>
    <w:rsid w:val="001F580A"/>
    <w:rsid w:val="001F5B5C"/>
    <w:rsid w:val="0020089D"/>
    <w:rsid w:val="00203787"/>
    <w:rsid w:val="00205334"/>
    <w:rsid w:val="002109BB"/>
    <w:rsid w:val="00211CCD"/>
    <w:rsid w:val="00212292"/>
    <w:rsid w:val="00223313"/>
    <w:rsid w:val="0022719A"/>
    <w:rsid w:val="00232A31"/>
    <w:rsid w:val="00233AEA"/>
    <w:rsid w:val="00236458"/>
    <w:rsid w:val="00244044"/>
    <w:rsid w:val="0024548B"/>
    <w:rsid w:val="0024619C"/>
    <w:rsid w:val="002502DD"/>
    <w:rsid w:val="0025300F"/>
    <w:rsid w:val="00253530"/>
    <w:rsid w:val="0025532E"/>
    <w:rsid w:val="00255A9E"/>
    <w:rsid w:val="00256236"/>
    <w:rsid w:val="00256939"/>
    <w:rsid w:val="00256E2B"/>
    <w:rsid w:val="00257213"/>
    <w:rsid w:val="002621E0"/>
    <w:rsid w:val="002625A3"/>
    <w:rsid w:val="0026279B"/>
    <w:rsid w:val="002630BC"/>
    <w:rsid w:val="00271719"/>
    <w:rsid w:val="00272804"/>
    <w:rsid w:val="0027466A"/>
    <w:rsid w:val="0027472D"/>
    <w:rsid w:val="002755F3"/>
    <w:rsid w:val="00277B84"/>
    <w:rsid w:val="0028067D"/>
    <w:rsid w:val="00280A89"/>
    <w:rsid w:val="00286F91"/>
    <w:rsid w:val="002872D4"/>
    <w:rsid w:val="00297C11"/>
    <w:rsid w:val="002A0511"/>
    <w:rsid w:val="002A1187"/>
    <w:rsid w:val="002A12C2"/>
    <w:rsid w:val="002A1706"/>
    <w:rsid w:val="002A5A61"/>
    <w:rsid w:val="002A774B"/>
    <w:rsid w:val="002B0A8E"/>
    <w:rsid w:val="002B1B9A"/>
    <w:rsid w:val="002B6B1A"/>
    <w:rsid w:val="002C0093"/>
    <w:rsid w:val="002C0907"/>
    <w:rsid w:val="002C2663"/>
    <w:rsid w:val="002C312F"/>
    <w:rsid w:val="002C538B"/>
    <w:rsid w:val="002C70C2"/>
    <w:rsid w:val="002D3218"/>
    <w:rsid w:val="002D595C"/>
    <w:rsid w:val="002D5B77"/>
    <w:rsid w:val="002E1C77"/>
    <w:rsid w:val="002E47B9"/>
    <w:rsid w:val="002E48B1"/>
    <w:rsid w:val="002E5D9C"/>
    <w:rsid w:val="002E70FC"/>
    <w:rsid w:val="002E7C34"/>
    <w:rsid w:val="002F139C"/>
    <w:rsid w:val="002F1DC7"/>
    <w:rsid w:val="002F5EBB"/>
    <w:rsid w:val="003043DD"/>
    <w:rsid w:val="00306794"/>
    <w:rsid w:val="00317AD9"/>
    <w:rsid w:val="0032121D"/>
    <w:rsid w:val="0032136E"/>
    <w:rsid w:val="00321BA2"/>
    <w:rsid w:val="00322BCE"/>
    <w:rsid w:val="003239ED"/>
    <w:rsid w:val="00325DD7"/>
    <w:rsid w:val="00325FE9"/>
    <w:rsid w:val="003273FC"/>
    <w:rsid w:val="003307B0"/>
    <w:rsid w:val="00332CE4"/>
    <w:rsid w:val="00333B68"/>
    <w:rsid w:val="00333CC6"/>
    <w:rsid w:val="00335C87"/>
    <w:rsid w:val="0033660D"/>
    <w:rsid w:val="003368E9"/>
    <w:rsid w:val="00336DF2"/>
    <w:rsid w:val="003374FD"/>
    <w:rsid w:val="00340A2D"/>
    <w:rsid w:val="00340A6D"/>
    <w:rsid w:val="00340B58"/>
    <w:rsid w:val="0034164B"/>
    <w:rsid w:val="00345C65"/>
    <w:rsid w:val="00346329"/>
    <w:rsid w:val="00352AA4"/>
    <w:rsid w:val="00365C7E"/>
    <w:rsid w:val="00366281"/>
    <w:rsid w:val="003666D1"/>
    <w:rsid w:val="00372F93"/>
    <w:rsid w:val="003753B3"/>
    <w:rsid w:val="0037646F"/>
    <w:rsid w:val="00380091"/>
    <w:rsid w:val="0038019D"/>
    <w:rsid w:val="0038454C"/>
    <w:rsid w:val="00386B30"/>
    <w:rsid w:val="00386DBE"/>
    <w:rsid w:val="0039716E"/>
    <w:rsid w:val="003A0860"/>
    <w:rsid w:val="003A23E2"/>
    <w:rsid w:val="003A29B1"/>
    <w:rsid w:val="003A3A55"/>
    <w:rsid w:val="003A5EF7"/>
    <w:rsid w:val="003B1469"/>
    <w:rsid w:val="003B1D11"/>
    <w:rsid w:val="003B1E32"/>
    <w:rsid w:val="003B3561"/>
    <w:rsid w:val="003B74CD"/>
    <w:rsid w:val="003C24C5"/>
    <w:rsid w:val="003C4BC6"/>
    <w:rsid w:val="003C648F"/>
    <w:rsid w:val="003D0E49"/>
    <w:rsid w:val="003D10FB"/>
    <w:rsid w:val="003D42EB"/>
    <w:rsid w:val="003E2349"/>
    <w:rsid w:val="003E6D81"/>
    <w:rsid w:val="0040358C"/>
    <w:rsid w:val="00405AA1"/>
    <w:rsid w:val="00405F10"/>
    <w:rsid w:val="004127DE"/>
    <w:rsid w:val="0041470A"/>
    <w:rsid w:val="004151E5"/>
    <w:rsid w:val="00415704"/>
    <w:rsid w:val="004163AC"/>
    <w:rsid w:val="004171C6"/>
    <w:rsid w:val="00417399"/>
    <w:rsid w:val="004208C1"/>
    <w:rsid w:val="004220BE"/>
    <w:rsid w:val="004228F9"/>
    <w:rsid w:val="004262CF"/>
    <w:rsid w:val="004268C4"/>
    <w:rsid w:val="0042778F"/>
    <w:rsid w:val="0043036E"/>
    <w:rsid w:val="00431F78"/>
    <w:rsid w:val="00434263"/>
    <w:rsid w:val="004352B8"/>
    <w:rsid w:val="004402D0"/>
    <w:rsid w:val="00445784"/>
    <w:rsid w:val="00445854"/>
    <w:rsid w:val="0044733E"/>
    <w:rsid w:val="00450181"/>
    <w:rsid w:val="0045023C"/>
    <w:rsid w:val="004507B5"/>
    <w:rsid w:val="00456E5B"/>
    <w:rsid w:val="00457B28"/>
    <w:rsid w:val="004602DC"/>
    <w:rsid w:val="00461CDB"/>
    <w:rsid w:val="0046634B"/>
    <w:rsid w:val="0047494E"/>
    <w:rsid w:val="00474FF1"/>
    <w:rsid w:val="004766D2"/>
    <w:rsid w:val="0047674F"/>
    <w:rsid w:val="00476D4D"/>
    <w:rsid w:val="00483479"/>
    <w:rsid w:val="004855AA"/>
    <w:rsid w:val="00486E6B"/>
    <w:rsid w:val="00487843"/>
    <w:rsid w:val="00490F39"/>
    <w:rsid w:val="00492DDD"/>
    <w:rsid w:val="00492F02"/>
    <w:rsid w:val="004942D1"/>
    <w:rsid w:val="004A01BF"/>
    <w:rsid w:val="004A1D88"/>
    <w:rsid w:val="004A46F9"/>
    <w:rsid w:val="004A64E0"/>
    <w:rsid w:val="004B039C"/>
    <w:rsid w:val="004B06B6"/>
    <w:rsid w:val="004B0CEE"/>
    <w:rsid w:val="004B1797"/>
    <w:rsid w:val="004B21DE"/>
    <w:rsid w:val="004B2ECA"/>
    <w:rsid w:val="004B77C4"/>
    <w:rsid w:val="004C23B5"/>
    <w:rsid w:val="004C2F38"/>
    <w:rsid w:val="004C6E79"/>
    <w:rsid w:val="004C73B1"/>
    <w:rsid w:val="004D1610"/>
    <w:rsid w:val="004D3F28"/>
    <w:rsid w:val="004D5F97"/>
    <w:rsid w:val="004E0046"/>
    <w:rsid w:val="004E2E57"/>
    <w:rsid w:val="004E4295"/>
    <w:rsid w:val="004E4968"/>
    <w:rsid w:val="004E56DA"/>
    <w:rsid w:val="004E57F1"/>
    <w:rsid w:val="004E757E"/>
    <w:rsid w:val="004F2308"/>
    <w:rsid w:val="004F3A1A"/>
    <w:rsid w:val="004F4040"/>
    <w:rsid w:val="004F7EAC"/>
    <w:rsid w:val="005002AA"/>
    <w:rsid w:val="0050155B"/>
    <w:rsid w:val="00501B43"/>
    <w:rsid w:val="00502790"/>
    <w:rsid w:val="00510F28"/>
    <w:rsid w:val="005126CB"/>
    <w:rsid w:val="005153E7"/>
    <w:rsid w:val="00516425"/>
    <w:rsid w:val="00516757"/>
    <w:rsid w:val="00517ECE"/>
    <w:rsid w:val="00521C25"/>
    <w:rsid w:val="00522809"/>
    <w:rsid w:val="00522A95"/>
    <w:rsid w:val="00522AF8"/>
    <w:rsid w:val="00523310"/>
    <w:rsid w:val="0052753B"/>
    <w:rsid w:val="00531A96"/>
    <w:rsid w:val="00531AE9"/>
    <w:rsid w:val="00533BA6"/>
    <w:rsid w:val="00534F23"/>
    <w:rsid w:val="00536014"/>
    <w:rsid w:val="00536AB3"/>
    <w:rsid w:val="00537C27"/>
    <w:rsid w:val="005435B8"/>
    <w:rsid w:val="0054517E"/>
    <w:rsid w:val="005461F1"/>
    <w:rsid w:val="00546386"/>
    <w:rsid w:val="00546841"/>
    <w:rsid w:val="00553F60"/>
    <w:rsid w:val="00554E70"/>
    <w:rsid w:val="00557A01"/>
    <w:rsid w:val="0056109B"/>
    <w:rsid w:val="0056266F"/>
    <w:rsid w:val="00575D68"/>
    <w:rsid w:val="00577C89"/>
    <w:rsid w:val="005815A8"/>
    <w:rsid w:val="00584801"/>
    <w:rsid w:val="00585255"/>
    <w:rsid w:val="00585569"/>
    <w:rsid w:val="00586A16"/>
    <w:rsid w:val="00587AFF"/>
    <w:rsid w:val="00587FC2"/>
    <w:rsid w:val="0059145D"/>
    <w:rsid w:val="005914D3"/>
    <w:rsid w:val="005915DD"/>
    <w:rsid w:val="005939EE"/>
    <w:rsid w:val="005A08CC"/>
    <w:rsid w:val="005A3B4C"/>
    <w:rsid w:val="005A41DE"/>
    <w:rsid w:val="005A5C41"/>
    <w:rsid w:val="005A6B7E"/>
    <w:rsid w:val="005B1B23"/>
    <w:rsid w:val="005B2F9F"/>
    <w:rsid w:val="005B42E7"/>
    <w:rsid w:val="005C1CE4"/>
    <w:rsid w:val="005C4EBE"/>
    <w:rsid w:val="005C6310"/>
    <w:rsid w:val="005C735C"/>
    <w:rsid w:val="005C7E13"/>
    <w:rsid w:val="005D1635"/>
    <w:rsid w:val="005D4C88"/>
    <w:rsid w:val="005D61B6"/>
    <w:rsid w:val="005E1D3D"/>
    <w:rsid w:val="005E3A0C"/>
    <w:rsid w:val="005E4961"/>
    <w:rsid w:val="005E58B6"/>
    <w:rsid w:val="005F0D65"/>
    <w:rsid w:val="005F1A25"/>
    <w:rsid w:val="005F5297"/>
    <w:rsid w:val="005F7CFD"/>
    <w:rsid w:val="006005DC"/>
    <w:rsid w:val="006010DA"/>
    <w:rsid w:val="00602822"/>
    <w:rsid w:val="00605F40"/>
    <w:rsid w:val="00607740"/>
    <w:rsid w:val="0060793E"/>
    <w:rsid w:val="00610385"/>
    <w:rsid w:val="006119DD"/>
    <w:rsid w:val="006147C2"/>
    <w:rsid w:val="00621420"/>
    <w:rsid w:val="00622538"/>
    <w:rsid w:val="00622FA6"/>
    <w:rsid w:val="0063189F"/>
    <w:rsid w:val="00643BDC"/>
    <w:rsid w:val="006472A4"/>
    <w:rsid w:val="00647D62"/>
    <w:rsid w:val="006538BB"/>
    <w:rsid w:val="00654B3F"/>
    <w:rsid w:val="00655E6A"/>
    <w:rsid w:val="006562F2"/>
    <w:rsid w:val="00656D35"/>
    <w:rsid w:val="006614CE"/>
    <w:rsid w:val="00663113"/>
    <w:rsid w:val="00664DE9"/>
    <w:rsid w:val="006708C6"/>
    <w:rsid w:val="00672173"/>
    <w:rsid w:val="00674A47"/>
    <w:rsid w:val="0067678D"/>
    <w:rsid w:val="00677677"/>
    <w:rsid w:val="0068394C"/>
    <w:rsid w:val="00683E20"/>
    <w:rsid w:val="006863AF"/>
    <w:rsid w:val="0068734F"/>
    <w:rsid w:val="0069317A"/>
    <w:rsid w:val="00693D83"/>
    <w:rsid w:val="0069459F"/>
    <w:rsid w:val="0069762A"/>
    <w:rsid w:val="006A08A6"/>
    <w:rsid w:val="006A1F77"/>
    <w:rsid w:val="006A2738"/>
    <w:rsid w:val="006A490A"/>
    <w:rsid w:val="006A7725"/>
    <w:rsid w:val="006B1F26"/>
    <w:rsid w:val="006B2C95"/>
    <w:rsid w:val="006B48E8"/>
    <w:rsid w:val="006B6F59"/>
    <w:rsid w:val="006C00B4"/>
    <w:rsid w:val="006C52E8"/>
    <w:rsid w:val="006C71E3"/>
    <w:rsid w:val="006C7CF7"/>
    <w:rsid w:val="006D03CE"/>
    <w:rsid w:val="006D03EB"/>
    <w:rsid w:val="006D0A80"/>
    <w:rsid w:val="006D4420"/>
    <w:rsid w:val="006D4F46"/>
    <w:rsid w:val="006D60EF"/>
    <w:rsid w:val="006D6908"/>
    <w:rsid w:val="006D7B86"/>
    <w:rsid w:val="006F0747"/>
    <w:rsid w:val="006F0BFC"/>
    <w:rsid w:val="006F0E73"/>
    <w:rsid w:val="006F28D7"/>
    <w:rsid w:val="006F6055"/>
    <w:rsid w:val="00710DCA"/>
    <w:rsid w:val="00711806"/>
    <w:rsid w:val="007122D4"/>
    <w:rsid w:val="00712C67"/>
    <w:rsid w:val="007150C9"/>
    <w:rsid w:val="007167F9"/>
    <w:rsid w:val="00716F17"/>
    <w:rsid w:val="00717DBD"/>
    <w:rsid w:val="00720009"/>
    <w:rsid w:val="00722399"/>
    <w:rsid w:val="00724729"/>
    <w:rsid w:val="007300A5"/>
    <w:rsid w:val="00732C37"/>
    <w:rsid w:val="00733166"/>
    <w:rsid w:val="007340DA"/>
    <w:rsid w:val="00734CF2"/>
    <w:rsid w:val="00735803"/>
    <w:rsid w:val="007363A0"/>
    <w:rsid w:val="00743097"/>
    <w:rsid w:val="00744069"/>
    <w:rsid w:val="00745F03"/>
    <w:rsid w:val="00746A54"/>
    <w:rsid w:val="007478F0"/>
    <w:rsid w:val="00747E98"/>
    <w:rsid w:val="00751ADA"/>
    <w:rsid w:val="00752C98"/>
    <w:rsid w:val="00753B8E"/>
    <w:rsid w:val="00756629"/>
    <w:rsid w:val="00757F66"/>
    <w:rsid w:val="00760288"/>
    <w:rsid w:val="0076249D"/>
    <w:rsid w:val="007635D0"/>
    <w:rsid w:val="0076682B"/>
    <w:rsid w:val="0077129B"/>
    <w:rsid w:val="0077153F"/>
    <w:rsid w:val="007731C4"/>
    <w:rsid w:val="00777C7C"/>
    <w:rsid w:val="0078166C"/>
    <w:rsid w:val="00784643"/>
    <w:rsid w:val="0079464F"/>
    <w:rsid w:val="007955F8"/>
    <w:rsid w:val="007A285D"/>
    <w:rsid w:val="007A30FB"/>
    <w:rsid w:val="007A79B3"/>
    <w:rsid w:val="007B6B95"/>
    <w:rsid w:val="007C1294"/>
    <w:rsid w:val="007C1774"/>
    <w:rsid w:val="007C22ED"/>
    <w:rsid w:val="007C3980"/>
    <w:rsid w:val="007C3A45"/>
    <w:rsid w:val="007C3DC0"/>
    <w:rsid w:val="007C42D0"/>
    <w:rsid w:val="007C5518"/>
    <w:rsid w:val="007C5F5C"/>
    <w:rsid w:val="007D280B"/>
    <w:rsid w:val="007F0C79"/>
    <w:rsid w:val="007F25FD"/>
    <w:rsid w:val="007F5E91"/>
    <w:rsid w:val="007F65D9"/>
    <w:rsid w:val="007F7C29"/>
    <w:rsid w:val="007F7ED3"/>
    <w:rsid w:val="0080048D"/>
    <w:rsid w:val="0080106F"/>
    <w:rsid w:val="00801E87"/>
    <w:rsid w:val="00806597"/>
    <w:rsid w:val="00807214"/>
    <w:rsid w:val="0080777D"/>
    <w:rsid w:val="00810F18"/>
    <w:rsid w:val="00811BBC"/>
    <w:rsid w:val="008121CE"/>
    <w:rsid w:val="00812BE3"/>
    <w:rsid w:val="00815F11"/>
    <w:rsid w:val="00820DE5"/>
    <w:rsid w:val="00821CB0"/>
    <w:rsid w:val="00822265"/>
    <w:rsid w:val="008267D4"/>
    <w:rsid w:val="00827AE3"/>
    <w:rsid w:val="0083416E"/>
    <w:rsid w:val="008355D5"/>
    <w:rsid w:val="00841714"/>
    <w:rsid w:val="0084347F"/>
    <w:rsid w:val="008446A0"/>
    <w:rsid w:val="0084748F"/>
    <w:rsid w:val="00847F6F"/>
    <w:rsid w:val="00850E9F"/>
    <w:rsid w:val="00851BF6"/>
    <w:rsid w:val="00852905"/>
    <w:rsid w:val="00852E5C"/>
    <w:rsid w:val="00853949"/>
    <w:rsid w:val="00853B81"/>
    <w:rsid w:val="00860DEF"/>
    <w:rsid w:val="008706C5"/>
    <w:rsid w:val="00870BE0"/>
    <w:rsid w:val="008759CA"/>
    <w:rsid w:val="00875CE6"/>
    <w:rsid w:val="0087700E"/>
    <w:rsid w:val="00877158"/>
    <w:rsid w:val="0088299B"/>
    <w:rsid w:val="00885580"/>
    <w:rsid w:val="00887F94"/>
    <w:rsid w:val="00890AA0"/>
    <w:rsid w:val="00890D8C"/>
    <w:rsid w:val="00891718"/>
    <w:rsid w:val="008933F8"/>
    <w:rsid w:val="0089608B"/>
    <w:rsid w:val="00896F27"/>
    <w:rsid w:val="008978C4"/>
    <w:rsid w:val="008A224C"/>
    <w:rsid w:val="008A2257"/>
    <w:rsid w:val="008A2F11"/>
    <w:rsid w:val="008A66CA"/>
    <w:rsid w:val="008B3C80"/>
    <w:rsid w:val="008B5621"/>
    <w:rsid w:val="008C1A5D"/>
    <w:rsid w:val="008C3241"/>
    <w:rsid w:val="008C35C9"/>
    <w:rsid w:val="008C441A"/>
    <w:rsid w:val="008D5FBB"/>
    <w:rsid w:val="008D6085"/>
    <w:rsid w:val="008D7492"/>
    <w:rsid w:val="008E0A91"/>
    <w:rsid w:val="008E47FA"/>
    <w:rsid w:val="008E5FBF"/>
    <w:rsid w:val="008E677A"/>
    <w:rsid w:val="008E73E1"/>
    <w:rsid w:val="008E75F5"/>
    <w:rsid w:val="008F13E3"/>
    <w:rsid w:val="008F171A"/>
    <w:rsid w:val="008F76E6"/>
    <w:rsid w:val="008F7CA5"/>
    <w:rsid w:val="0090288F"/>
    <w:rsid w:val="009067E4"/>
    <w:rsid w:val="00910024"/>
    <w:rsid w:val="00912C66"/>
    <w:rsid w:val="00913581"/>
    <w:rsid w:val="00915728"/>
    <w:rsid w:val="00917521"/>
    <w:rsid w:val="00921DC8"/>
    <w:rsid w:val="009231B4"/>
    <w:rsid w:val="00924159"/>
    <w:rsid w:val="0092795C"/>
    <w:rsid w:val="00932D5B"/>
    <w:rsid w:val="00935D72"/>
    <w:rsid w:val="00936C02"/>
    <w:rsid w:val="00937432"/>
    <w:rsid w:val="009415A6"/>
    <w:rsid w:val="00942A78"/>
    <w:rsid w:val="00944BE6"/>
    <w:rsid w:val="00944E1E"/>
    <w:rsid w:val="00944EF1"/>
    <w:rsid w:val="00946C11"/>
    <w:rsid w:val="00951621"/>
    <w:rsid w:val="00951A09"/>
    <w:rsid w:val="00953C0E"/>
    <w:rsid w:val="009569A2"/>
    <w:rsid w:val="00956A93"/>
    <w:rsid w:val="00957AC8"/>
    <w:rsid w:val="00961B86"/>
    <w:rsid w:val="00962D44"/>
    <w:rsid w:val="0096657B"/>
    <w:rsid w:val="00967D02"/>
    <w:rsid w:val="00970D8E"/>
    <w:rsid w:val="00972E14"/>
    <w:rsid w:val="00972F49"/>
    <w:rsid w:val="00973574"/>
    <w:rsid w:val="0097361A"/>
    <w:rsid w:val="0097778C"/>
    <w:rsid w:val="009809BB"/>
    <w:rsid w:val="00981D48"/>
    <w:rsid w:val="00982560"/>
    <w:rsid w:val="00984FD1"/>
    <w:rsid w:val="0098741B"/>
    <w:rsid w:val="00990236"/>
    <w:rsid w:val="009923E3"/>
    <w:rsid w:val="00993CA7"/>
    <w:rsid w:val="00996FA1"/>
    <w:rsid w:val="009A1365"/>
    <w:rsid w:val="009A1746"/>
    <w:rsid w:val="009A4213"/>
    <w:rsid w:val="009A64F3"/>
    <w:rsid w:val="009A7A5F"/>
    <w:rsid w:val="009B60B9"/>
    <w:rsid w:val="009B68CF"/>
    <w:rsid w:val="009C24FD"/>
    <w:rsid w:val="009C3219"/>
    <w:rsid w:val="009C3A0A"/>
    <w:rsid w:val="009C3EEB"/>
    <w:rsid w:val="009C4E06"/>
    <w:rsid w:val="009C6B88"/>
    <w:rsid w:val="009D190A"/>
    <w:rsid w:val="009D3C1F"/>
    <w:rsid w:val="009D3F8E"/>
    <w:rsid w:val="009D41D7"/>
    <w:rsid w:val="009D5287"/>
    <w:rsid w:val="009D64E7"/>
    <w:rsid w:val="009D76F8"/>
    <w:rsid w:val="009E4E97"/>
    <w:rsid w:val="009F58B2"/>
    <w:rsid w:val="009F5DB7"/>
    <w:rsid w:val="00A00283"/>
    <w:rsid w:val="00A0188E"/>
    <w:rsid w:val="00A02C82"/>
    <w:rsid w:val="00A04353"/>
    <w:rsid w:val="00A11FC8"/>
    <w:rsid w:val="00A123E8"/>
    <w:rsid w:val="00A141F3"/>
    <w:rsid w:val="00A16882"/>
    <w:rsid w:val="00A1762C"/>
    <w:rsid w:val="00A17BB4"/>
    <w:rsid w:val="00A17D4E"/>
    <w:rsid w:val="00A20E39"/>
    <w:rsid w:val="00A21766"/>
    <w:rsid w:val="00A2575C"/>
    <w:rsid w:val="00A26BFD"/>
    <w:rsid w:val="00A3144B"/>
    <w:rsid w:val="00A32387"/>
    <w:rsid w:val="00A37ADD"/>
    <w:rsid w:val="00A41191"/>
    <w:rsid w:val="00A41C58"/>
    <w:rsid w:val="00A4319E"/>
    <w:rsid w:val="00A45CAA"/>
    <w:rsid w:val="00A47CA3"/>
    <w:rsid w:val="00A51659"/>
    <w:rsid w:val="00A525C9"/>
    <w:rsid w:val="00A5338C"/>
    <w:rsid w:val="00A54CFE"/>
    <w:rsid w:val="00A62ACC"/>
    <w:rsid w:val="00A648C5"/>
    <w:rsid w:val="00A64E56"/>
    <w:rsid w:val="00A6659B"/>
    <w:rsid w:val="00A723D4"/>
    <w:rsid w:val="00A77770"/>
    <w:rsid w:val="00A80B90"/>
    <w:rsid w:val="00A83488"/>
    <w:rsid w:val="00A868F1"/>
    <w:rsid w:val="00A94090"/>
    <w:rsid w:val="00A94D10"/>
    <w:rsid w:val="00AA0AFF"/>
    <w:rsid w:val="00AA1A86"/>
    <w:rsid w:val="00AA3C96"/>
    <w:rsid w:val="00AA40D6"/>
    <w:rsid w:val="00AA4A7F"/>
    <w:rsid w:val="00AA5518"/>
    <w:rsid w:val="00AB20D6"/>
    <w:rsid w:val="00AB5AB0"/>
    <w:rsid w:val="00AB683D"/>
    <w:rsid w:val="00AB7665"/>
    <w:rsid w:val="00AB7AC8"/>
    <w:rsid w:val="00AC40FC"/>
    <w:rsid w:val="00AC44E4"/>
    <w:rsid w:val="00AC4875"/>
    <w:rsid w:val="00AD171B"/>
    <w:rsid w:val="00AD1ABA"/>
    <w:rsid w:val="00AD2B50"/>
    <w:rsid w:val="00AE0F82"/>
    <w:rsid w:val="00AE1AFA"/>
    <w:rsid w:val="00AE78DF"/>
    <w:rsid w:val="00AF567C"/>
    <w:rsid w:val="00AF5C52"/>
    <w:rsid w:val="00AF7FA2"/>
    <w:rsid w:val="00B00F5E"/>
    <w:rsid w:val="00B01C1D"/>
    <w:rsid w:val="00B10B75"/>
    <w:rsid w:val="00B14229"/>
    <w:rsid w:val="00B15BEB"/>
    <w:rsid w:val="00B1684D"/>
    <w:rsid w:val="00B2405B"/>
    <w:rsid w:val="00B2521E"/>
    <w:rsid w:val="00B30395"/>
    <w:rsid w:val="00B3145B"/>
    <w:rsid w:val="00B3158A"/>
    <w:rsid w:val="00B31E9A"/>
    <w:rsid w:val="00B326D9"/>
    <w:rsid w:val="00B3290C"/>
    <w:rsid w:val="00B33EF9"/>
    <w:rsid w:val="00B419B6"/>
    <w:rsid w:val="00B41E1C"/>
    <w:rsid w:val="00B4202F"/>
    <w:rsid w:val="00B431FD"/>
    <w:rsid w:val="00B46DEE"/>
    <w:rsid w:val="00B50353"/>
    <w:rsid w:val="00B5395D"/>
    <w:rsid w:val="00B54E40"/>
    <w:rsid w:val="00B54F0D"/>
    <w:rsid w:val="00B55F37"/>
    <w:rsid w:val="00B56A15"/>
    <w:rsid w:val="00B602E1"/>
    <w:rsid w:val="00B615D9"/>
    <w:rsid w:val="00B61C7A"/>
    <w:rsid w:val="00B64197"/>
    <w:rsid w:val="00B641D7"/>
    <w:rsid w:val="00B64657"/>
    <w:rsid w:val="00B6661C"/>
    <w:rsid w:val="00B705A5"/>
    <w:rsid w:val="00B706D4"/>
    <w:rsid w:val="00B710A8"/>
    <w:rsid w:val="00B71CED"/>
    <w:rsid w:val="00B72D76"/>
    <w:rsid w:val="00B745CB"/>
    <w:rsid w:val="00B74632"/>
    <w:rsid w:val="00B76C8F"/>
    <w:rsid w:val="00B76C95"/>
    <w:rsid w:val="00B77742"/>
    <w:rsid w:val="00B77AB4"/>
    <w:rsid w:val="00B86D9E"/>
    <w:rsid w:val="00B8773E"/>
    <w:rsid w:val="00B91283"/>
    <w:rsid w:val="00B9196A"/>
    <w:rsid w:val="00B92351"/>
    <w:rsid w:val="00B93791"/>
    <w:rsid w:val="00B93EC1"/>
    <w:rsid w:val="00B94DEB"/>
    <w:rsid w:val="00B9592D"/>
    <w:rsid w:val="00B97C84"/>
    <w:rsid w:val="00BA285F"/>
    <w:rsid w:val="00BA36DF"/>
    <w:rsid w:val="00BA556E"/>
    <w:rsid w:val="00BB687B"/>
    <w:rsid w:val="00BC1328"/>
    <w:rsid w:val="00BC1F59"/>
    <w:rsid w:val="00BC2817"/>
    <w:rsid w:val="00BC304C"/>
    <w:rsid w:val="00BC35C1"/>
    <w:rsid w:val="00BC3A00"/>
    <w:rsid w:val="00BC5F46"/>
    <w:rsid w:val="00BC671F"/>
    <w:rsid w:val="00BC6957"/>
    <w:rsid w:val="00BD0758"/>
    <w:rsid w:val="00BD11BA"/>
    <w:rsid w:val="00BD1962"/>
    <w:rsid w:val="00BD2550"/>
    <w:rsid w:val="00BD359E"/>
    <w:rsid w:val="00BD3B83"/>
    <w:rsid w:val="00BD701F"/>
    <w:rsid w:val="00BE0AE9"/>
    <w:rsid w:val="00BE14C8"/>
    <w:rsid w:val="00BE6D64"/>
    <w:rsid w:val="00BF0DFF"/>
    <w:rsid w:val="00BF1923"/>
    <w:rsid w:val="00BF42C0"/>
    <w:rsid w:val="00BF4AB3"/>
    <w:rsid w:val="00C0179A"/>
    <w:rsid w:val="00C032C2"/>
    <w:rsid w:val="00C046B1"/>
    <w:rsid w:val="00C049E9"/>
    <w:rsid w:val="00C04CF8"/>
    <w:rsid w:val="00C059F7"/>
    <w:rsid w:val="00C07D16"/>
    <w:rsid w:val="00C07FD8"/>
    <w:rsid w:val="00C11B4C"/>
    <w:rsid w:val="00C12DB0"/>
    <w:rsid w:val="00C14114"/>
    <w:rsid w:val="00C159A5"/>
    <w:rsid w:val="00C314E4"/>
    <w:rsid w:val="00C32534"/>
    <w:rsid w:val="00C35F1B"/>
    <w:rsid w:val="00C449BF"/>
    <w:rsid w:val="00C47A8B"/>
    <w:rsid w:val="00C50577"/>
    <w:rsid w:val="00C51FB9"/>
    <w:rsid w:val="00C554E2"/>
    <w:rsid w:val="00C562A7"/>
    <w:rsid w:val="00C600A4"/>
    <w:rsid w:val="00C61465"/>
    <w:rsid w:val="00C62990"/>
    <w:rsid w:val="00C65281"/>
    <w:rsid w:val="00C705EF"/>
    <w:rsid w:val="00C81625"/>
    <w:rsid w:val="00C90206"/>
    <w:rsid w:val="00C945D8"/>
    <w:rsid w:val="00C94E44"/>
    <w:rsid w:val="00CA4491"/>
    <w:rsid w:val="00CA47F8"/>
    <w:rsid w:val="00CB0D95"/>
    <w:rsid w:val="00CB411E"/>
    <w:rsid w:val="00CB44C7"/>
    <w:rsid w:val="00CB5C8E"/>
    <w:rsid w:val="00CB6CAD"/>
    <w:rsid w:val="00CC4503"/>
    <w:rsid w:val="00CC4934"/>
    <w:rsid w:val="00CC75DD"/>
    <w:rsid w:val="00CC7A83"/>
    <w:rsid w:val="00CD104B"/>
    <w:rsid w:val="00CD2967"/>
    <w:rsid w:val="00CD7A98"/>
    <w:rsid w:val="00CE0C8A"/>
    <w:rsid w:val="00CE0EFF"/>
    <w:rsid w:val="00CE0FA2"/>
    <w:rsid w:val="00CE2A6F"/>
    <w:rsid w:val="00CE487C"/>
    <w:rsid w:val="00CE4F1F"/>
    <w:rsid w:val="00CE62AF"/>
    <w:rsid w:val="00CE7E40"/>
    <w:rsid w:val="00CF21CF"/>
    <w:rsid w:val="00CF40BF"/>
    <w:rsid w:val="00CF435A"/>
    <w:rsid w:val="00CF5B57"/>
    <w:rsid w:val="00CF5F90"/>
    <w:rsid w:val="00CF60EF"/>
    <w:rsid w:val="00CF664A"/>
    <w:rsid w:val="00D01ADE"/>
    <w:rsid w:val="00D0237B"/>
    <w:rsid w:val="00D02607"/>
    <w:rsid w:val="00D058E1"/>
    <w:rsid w:val="00D06A14"/>
    <w:rsid w:val="00D06B71"/>
    <w:rsid w:val="00D12455"/>
    <w:rsid w:val="00D1656D"/>
    <w:rsid w:val="00D17B41"/>
    <w:rsid w:val="00D23477"/>
    <w:rsid w:val="00D24250"/>
    <w:rsid w:val="00D25CD8"/>
    <w:rsid w:val="00D25F30"/>
    <w:rsid w:val="00D27B9F"/>
    <w:rsid w:val="00D31ECB"/>
    <w:rsid w:val="00D41938"/>
    <w:rsid w:val="00D45FAB"/>
    <w:rsid w:val="00D46D96"/>
    <w:rsid w:val="00D46F51"/>
    <w:rsid w:val="00D50B44"/>
    <w:rsid w:val="00D50E58"/>
    <w:rsid w:val="00D5129D"/>
    <w:rsid w:val="00D557A5"/>
    <w:rsid w:val="00D55CE6"/>
    <w:rsid w:val="00D61756"/>
    <w:rsid w:val="00D6440B"/>
    <w:rsid w:val="00D6539C"/>
    <w:rsid w:val="00D65561"/>
    <w:rsid w:val="00D739E9"/>
    <w:rsid w:val="00D76216"/>
    <w:rsid w:val="00D801F2"/>
    <w:rsid w:val="00D808A4"/>
    <w:rsid w:val="00D84900"/>
    <w:rsid w:val="00D85B0E"/>
    <w:rsid w:val="00D86C06"/>
    <w:rsid w:val="00D87737"/>
    <w:rsid w:val="00D90C1D"/>
    <w:rsid w:val="00D91D47"/>
    <w:rsid w:val="00D930CC"/>
    <w:rsid w:val="00D94599"/>
    <w:rsid w:val="00DA0DE4"/>
    <w:rsid w:val="00DA1AB4"/>
    <w:rsid w:val="00DA2382"/>
    <w:rsid w:val="00DA26A0"/>
    <w:rsid w:val="00DA3B30"/>
    <w:rsid w:val="00DA502F"/>
    <w:rsid w:val="00DB2A32"/>
    <w:rsid w:val="00DB3550"/>
    <w:rsid w:val="00DB3952"/>
    <w:rsid w:val="00DC0635"/>
    <w:rsid w:val="00DC2DEC"/>
    <w:rsid w:val="00DC5B7C"/>
    <w:rsid w:val="00DC7035"/>
    <w:rsid w:val="00DD103A"/>
    <w:rsid w:val="00DD2C2F"/>
    <w:rsid w:val="00DD346E"/>
    <w:rsid w:val="00DD6B47"/>
    <w:rsid w:val="00DE0602"/>
    <w:rsid w:val="00DE3814"/>
    <w:rsid w:val="00DE3A24"/>
    <w:rsid w:val="00DE432E"/>
    <w:rsid w:val="00DF204A"/>
    <w:rsid w:val="00DF289F"/>
    <w:rsid w:val="00DF56ED"/>
    <w:rsid w:val="00DF65D4"/>
    <w:rsid w:val="00DF6E17"/>
    <w:rsid w:val="00DF70FE"/>
    <w:rsid w:val="00E00F01"/>
    <w:rsid w:val="00E0138D"/>
    <w:rsid w:val="00E1111F"/>
    <w:rsid w:val="00E119C2"/>
    <w:rsid w:val="00E11B11"/>
    <w:rsid w:val="00E11EDE"/>
    <w:rsid w:val="00E1423D"/>
    <w:rsid w:val="00E17A24"/>
    <w:rsid w:val="00E27759"/>
    <w:rsid w:val="00E32935"/>
    <w:rsid w:val="00E32A18"/>
    <w:rsid w:val="00E40BF5"/>
    <w:rsid w:val="00E4407C"/>
    <w:rsid w:val="00E4450A"/>
    <w:rsid w:val="00E447AD"/>
    <w:rsid w:val="00E45CA6"/>
    <w:rsid w:val="00E536C6"/>
    <w:rsid w:val="00E5433C"/>
    <w:rsid w:val="00E54B4A"/>
    <w:rsid w:val="00E57788"/>
    <w:rsid w:val="00E57B11"/>
    <w:rsid w:val="00E602D2"/>
    <w:rsid w:val="00E612D3"/>
    <w:rsid w:val="00E6171C"/>
    <w:rsid w:val="00E617C0"/>
    <w:rsid w:val="00E64963"/>
    <w:rsid w:val="00E718AF"/>
    <w:rsid w:val="00E7325D"/>
    <w:rsid w:val="00E739AC"/>
    <w:rsid w:val="00E74448"/>
    <w:rsid w:val="00E80B6F"/>
    <w:rsid w:val="00E80EB5"/>
    <w:rsid w:val="00E82D6F"/>
    <w:rsid w:val="00E82F62"/>
    <w:rsid w:val="00E8353F"/>
    <w:rsid w:val="00E86541"/>
    <w:rsid w:val="00E86865"/>
    <w:rsid w:val="00E9315C"/>
    <w:rsid w:val="00E93ECE"/>
    <w:rsid w:val="00EA1107"/>
    <w:rsid w:val="00EA177B"/>
    <w:rsid w:val="00EA5DBA"/>
    <w:rsid w:val="00EA6E3C"/>
    <w:rsid w:val="00EA7AAC"/>
    <w:rsid w:val="00EB3E18"/>
    <w:rsid w:val="00EB50D4"/>
    <w:rsid w:val="00EB62C9"/>
    <w:rsid w:val="00EB6AE8"/>
    <w:rsid w:val="00EC1B86"/>
    <w:rsid w:val="00EC2C31"/>
    <w:rsid w:val="00EC3276"/>
    <w:rsid w:val="00EC60A6"/>
    <w:rsid w:val="00ED160C"/>
    <w:rsid w:val="00ED3225"/>
    <w:rsid w:val="00EE2AEF"/>
    <w:rsid w:val="00EE349A"/>
    <w:rsid w:val="00EE3BEC"/>
    <w:rsid w:val="00EE465C"/>
    <w:rsid w:val="00EE4948"/>
    <w:rsid w:val="00EE49C2"/>
    <w:rsid w:val="00EE4BC8"/>
    <w:rsid w:val="00EE5AE1"/>
    <w:rsid w:val="00EF2DB9"/>
    <w:rsid w:val="00EF35DB"/>
    <w:rsid w:val="00EF5C39"/>
    <w:rsid w:val="00EF6971"/>
    <w:rsid w:val="00F0016B"/>
    <w:rsid w:val="00F04AF5"/>
    <w:rsid w:val="00F07AAA"/>
    <w:rsid w:val="00F07AC9"/>
    <w:rsid w:val="00F1068E"/>
    <w:rsid w:val="00F11878"/>
    <w:rsid w:val="00F17060"/>
    <w:rsid w:val="00F246F7"/>
    <w:rsid w:val="00F272B6"/>
    <w:rsid w:val="00F27BAC"/>
    <w:rsid w:val="00F27EB0"/>
    <w:rsid w:val="00F304D5"/>
    <w:rsid w:val="00F32DBB"/>
    <w:rsid w:val="00F3483F"/>
    <w:rsid w:val="00F34A9A"/>
    <w:rsid w:val="00F41DDA"/>
    <w:rsid w:val="00F437D5"/>
    <w:rsid w:val="00F443E4"/>
    <w:rsid w:val="00F47713"/>
    <w:rsid w:val="00F47EBF"/>
    <w:rsid w:val="00F53878"/>
    <w:rsid w:val="00F55682"/>
    <w:rsid w:val="00F558F3"/>
    <w:rsid w:val="00F55A36"/>
    <w:rsid w:val="00F65185"/>
    <w:rsid w:val="00F65DDB"/>
    <w:rsid w:val="00F65E4C"/>
    <w:rsid w:val="00F6622F"/>
    <w:rsid w:val="00F6733B"/>
    <w:rsid w:val="00F71D93"/>
    <w:rsid w:val="00F72731"/>
    <w:rsid w:val="00F72D5C"/>
    <w:rsid w:val="00F85345"/>
    <w:rsid w:val="00F85D6E"/>
    <w:rsid w:val="00F863DB"/>
    <w:rsid w:val="00F86FA8"/>
    <w:rsid w:val="00F9022E"/>
    <w:rsid w:val="00F90A12"/>
    <w:rsid w:val="00F90BC2"/>
    <w:rsid w:val="00F936C2"/>
    <w:rsid w:val="00FA47A0"/>
    <w:rsid w:val="00FA4FCA"/>
    <w:rsid w:val="00FA5211"/>
    <w:rsid w:val="00FA548F"/>
    <w:rsid w:val="00FA7DB5"/>
    <w:rsid w:val="00FB2A75"/>
    <w:rsid w:val="00FB3B01"/>
    <w:rsid w:val="00FC4EC3"/>
    <w:rsid w:val="00FD17B8"/>
    <w:rsid w:val="00FD198C"/>
    <w:rsid w:val="00FD1F3E"/>
    <w:rsid w:val="00FD20DF"/>
    <w:rsid w:val="00FD44FB"/>
    <w:rsid w:val="00FD5D2E"/>
    <w:rsid w:val="00FD7B4F"/>
    <w:rsid w:val="00FE0A09"/>
    <w:rsid w:val="00FE2BEF"/>
    <w:rsid w:val="00FE4AFF"/>
    <w:rsid w:val="00FE4E47"/>
    <w:rsid w:val="00FE69A2"/>
    <w:rsid w:val="00FE75C8"/>
    <w:rsid w:val="00FF254E"/>
    <w:rsid w:val="00FF3014"/>
    <w:rsid w:val="00FF3CFB"/>
    <w:rsid w:val="00FF5B3A"/>
    <w:rsid w:val="00FF7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EDCDA"/>
  <w15:docId w15:val="{72FBA145-5413-4170-A9EB-ABF027C8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AE9"/>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F90BC2"/>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683E2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E8353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0A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E0AE9"/>
    <w:rPr>
      <w:sz w:val="18"/>
      <w:szCs w:val="18"/>
    </w:rPr>
  </w:style>
  <w:style w:type="paragraph" w:styleId="a5">
    <w:name w:val="footer"/>
    <w:basedOn w:val="a"/>
    <w:link w:val="a6"/>
    <w:uiPriority w:val="99"/>
    <w:unhideWhenUsed/>
    <w:rsid w:val="00BE0AE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E0AE9"/>
    <w:rPr>
      <w:sz w:val="18"/>
      <w:szCs w:val="18"/>
    </w:rPr>
  </w:style>
  <w:style w:type="paragraph" w:styleId="a7">
    <w:name w:val="List Paragraph"/>
    <w:basedOn w:val="a"/>
    <w:uiPriority w:val="34"/>
    <w:qFormat/>
    <w:rsid w:val="00272804"/>
    <w:pPr>
      <w:ind w:firstLineChars="200" w:firstLine="420"/>
    </w:pPr>
  </w:style>
  <w:style w:type="character" w:customStyle="1" w:styleId="20">
    <w:name w:val="标题 2 字符"/>
    <w:basedOn w:val="a0"/>
    <w:link w:val="2"/>
    <w:uiPriority w:val="9"/>
    <w:rsid w:val="00683E20"/>
    <w:rPr>
      <w:rFonts w:asciiTheme="majorHAnsi" w:eastAsiaTheme="majorEastAsia" w:hAnsiTheme="majorHAnsi" w:cstheme="majorBidi"/>
      <w:b/>
      <w:bCs/>
      <w:sz w:val="32"/>
      <w:szCs w:val="32"/>
    </w:rPr>
  </w:style>
  <w:style w:type="character" w:styleId="a8">
    <w:name w:val="annotation reference"/>
    <w:basedOn w:val="a0"/>
    <w:uiPriority w:val="99"/>
    <w:semiHidden/>
    <w:unhideWhenUsed/>
    <w:rsid w:val="004E56DA"/>
    <w:rPr>
      <w:sz w:val="21"/>
      <w:szCs w:val="21"/>
    </w:rPr>
  </w:style>
  <w:style w:type="paragraph" w:styleId="a9">
    <w:name w:val="annotation text"/>
    <w:basedOn w:val="a"/>
    <w:link w:val="aa"/>
    <w:uiPriority w:val="99"/>
    <w:semiHidden/>
    <w:unhideWhenUsed/>
    <w:rsid w:val="004E56DA"/>
    <w:pPr>
      <w:jc w:val="left"/>
    </w:pPr>
  </w:style>
  <w:style w:type="character" w:customStyle="1" w:styleId="aa">
    <w:name w:val="批注文字 字符"/>
    <w:basedOn w:val="a0"/>
    <w:link w:val="a9"/>
    <w:uiPriority w:val="99"/>
    <w:semiHidden/>
    <w:rsid w:val="004E56DA"/>
    <w:rPr>
      <w:rFonts w:ascii="Times New Roman" w:eastAsia="宋体" w:hAnsi="Times New Roman" w:cs="Times New Roman"/>
      <w:szCs w:val="24"/>
    </w:rPr>
  </w:style>
  <w:style w:type="paragraph" w:styleId="ab">
    <w:name w:val="annotation subject"/>
    <w:basedOn w:val="a9"/>
    <w:next w:val="a9"/>
    <w:link w:val="ac"/>
    <w:uiPriority w:val="99"/>
    <w:semiHidden/>
    <w:unhideWhenUsed/>
    <w:rsid w:val="004E56DA"/>
    <w:rPr>
      <w:b/>
      <w:bCs/>
    </w:rPr>
  </w:style>
  <w:style w:type="character" w:customStyle="1" w:styleId="ac">
    <w:name w:val="批注主题 字符"/>
    <w:basedOn w:val="aa"/>
    <w:link w:val="ab"/>
    <w:uiPriority w:val="99"/>
    <w:semiHidden/>
    <w:rsid w:val="004E56DA"/>
    <w:rPr>
      <w:rFonts w:ascii="Times New Roman" w:eastAsia="宋体" w:hAnsi="Times New Roman" w:cs="Times New Roman"/>
      <w:b/>
      <w:bCs/>
      <w:szCs w:val="24"/>
    </w:rPr>
  </w:style>
  <w:style w:type="paragraph" w:styleId="ad">
    <w:name w:val="Balloon Text"/>
    <w:basedOn w:val="a"/>
    <w:link w:val="ae"/>
    <w:uiPriority w:val="99"/>
    <w:semiHidden/>
    <w:unhideWhenUsed/>
    <w:rsid w:val="004E56DA"/>
    <w:rPr>
      <w:sz w:val="18"/>
      <w:szCs w:val="18"/>
    </w:rPr>
  </w:style>
  <w:style w:type="character" w:customStyle="1" w:styleId="ae">
    <w:name w:val="批注框文本 字符"/>
    <w:basedOn w:val="a0"/>
    <w:link w:val="ad"/>
    <w:uiPriority w:val="99"/>
    <w:semiHidden/>
    <w:rsid w:val="004E56DA"/>
    <w:rPr>
      <w:rFonts w:ascii="Times New Roman" w:eastAsia="宋体" w:hAnsi="Times New Roman" w:cs="Times New Roman"/>
      <w:sz w:val="18"/>
      <w:szCs w:val="18"/>
    </w:rPr>
  </w:style>
  <w:style w:type="character" w:customStyle="1" w:styleId="richtext">
    <w:name w:val="richtext"/>
    <w:basedOn w:val="a0"/>
    <w:rsid w:val="00B92351"/>
  </w:style>
  <w:style w:type="paragraph" w:styleId="af">
    <w:name w:val="Normal (Web)"/>
    <w:basedOn w:val="a"/>
    <w:uiPriority w:val="99"/>
    <w:semiHidden/>
    <w:unhideWhenUsed/>
    <w:rsid w:val="00096A00"/>
    <w:pPr>
      <w:widowControl/>
      <w:spacing w:before="100" w:beforeAutospacing="1" w:after="100" w:afterAutospacing="1"/>
      <w:jc w:val="left"/>
    </w:pPr>
    <w:rPr>
      <w:rFonts w:ascii="宋体" w:hAnsi="宋体" w:cs="宋体"/>
      <w:kern w:val="0"/>
      <w:sz w:val="24"/>
    </w:rPr>
  </w:style>
  <w:style w:type="character" w:customStyle="1" w:styleId="10">
    <w:name w:val="标题 1 字符"/>
    <w:basedOn w:val="a0"/>
    <w:link w:val="1"/>
    <w:uiPriority w:val="9"/>
    <w:rsid w:val="00F90BC2"/>
    <w:rPr>
      <w:rFonts w:ascii="Times New Roman" w:eastAsia="宋体" w:hAnsi="Times New Roman" w:cs="Times New Roman"/>
      <w:b/>
      <w:bCs/>
      <w:kern w:val="44"/>
      <w:sz w:val="44"/>
      <w:szCs w:val="44"/>
    </w:rPr>
  </w:style>
  <w:style w:type="character" w:customStyle="1" w:styleId="30">
    <w:name w:val="标题 3 字符"/>
    <w:basedOn w:val="a0"/>
    <w:link w:val="3"/>
    <w:uiPriority w:val="9"/>
    <w:semiHidden/>
    <w:rsid w:val="00E8353F"/>
    <w:rPr>
      <w:rFonts w:ascii="Times New Roman" w:eastAsia="宋体" w:hAnsi="Times New Roman" w:cs="Times New Roman"/>
      <w:b/>
      <w:bCs/>
      <w:sz w:val="32"/>
      <w:szCs w:val="32"/>
    </w:rPr>
  </w:style>
  <w:style w:type="character" w:customStyle="1" w:styleId="fontstyle01">
    <w:name w:val="fontstyle01"/>
    <w:basedOn w:val="a0"/>
    <w:rsid w:val="001949A3"/>
    <w:rPr>
      <w:rFonts w:ascii="宋体" w:eastAsia="宋体" w:hAnsi="宋体" w:hint="eastAsia"/>
      <w:b w:val="0"/>
      <w:bCs w:val="0"/>
      <w:i w:val="0"/>
      <w:iCs w:val="0"/>
      <w:color w:val="000000"/>
      <w:sz w:val="22"/>
      <w:szCs w:val="22"/>
    </w:rPr>
  </w:style>
  <w:style w:type="paragraph" w:styleId="af0">
    <w:name w:val="Revision"/>
    <w:hidden/>
    <w:uiPriority w:val="99"/>
    <w:semiHidden/>
    <w:rsid w:val="001078A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8619">
      <w:bodyDiv w:val="1"/>
      <w:marLeft w:val="0"/>
      <w:marRight w:val="0"/>
      <w:marTop w:val="0"/>
      <w:marBottom w:val="0"/>
      <w:divBdr>
        <w:top w:val="none" w:sz="0" w:space="0" w:color="auto"/>
        <w:left w:val="none" w:sz="0" w:space="0" w:color="auto"/>
        <w:bottom w:val="none" w:sz="0" w:space="0" w:color="auto"/>
        <w:right w:val="none" w:sz="0" w:space="0" w:color="auto"/>
      </w:divBdr>
    </w:div>
    <w:div w:id="50659722">
      <w:bodyDiv w:val="1"/>
      <w:marLeft w:val="0"/>
      <w:marRight w:val="0"/>
      <w:marTop w:val="0"/>
      <w:marBottom w:val="0"/>
      <w:divBdr>
        <w:top w:val="none" w:sz="0" w:space="0" w:color="auto"/>
        <w:left w:val="none" w:sz="0" w:space="0" w:color="auto"/>
        <w:bottom w:val="none" w:sz="0" w:space="0" w:color="auto"/>
        <w:right w:val="none" w:sz="0" w:space="0" w:color="auto"/>
      </w:divBdr>
    </w:div>
    <w:div w:id="295067806">
      <w:bodyDiv w:val="1"/>
      <w:marLeft w:val="0"/>
      <w:marRight w:val="0"/>
      <w:marTop w:val="0"/>
      <w:marBottom w:val="0"/>
      <w:divBdr>
        <w:top w:val="none" w:sz="0" w:space="0" w:color="auto"/>
        <w:left w:val="none" w:sz="0" w:space="0" w:color="auto"/>
        <w:bottom w:val="none" w:sz="0" w:space="0" w:color="auto"/>
        <w:right w:val="none" w:sz="0" w:space="0" w:color="auto"/>
      </w:divBdr>
    </w:div>
    <w:div w:id="485559128">
      <w:bodyDiv w:val="1"/>
      <w:marLeft w:val="0"/>
      <w:marRight w:val="0"/>
      <w:marTop w:val="0"/>
      <w:marBottom w:val="0"/>
      <w:divBdr>
        <w:top w:val="none" w:sz="0" w:space="0" w:color="auto"/>
        <w:left w:val="none" w:sz="0" w:space="0" w:color="auto"/>
        <w:bottom w:val="none" w:sz="0" w:space="0" w:color="auto"/>
        <w:right w:val="none" w:sz="0" w:space="0" w:color="auto"/>
      </w:divBdr>
    </w:div>
    <w:div w:id="669142979">
      <w:bodyDiv w:val="1"/>
      <w:marLeft w:val="0"/>
      <w:marRight w:val="0"/>
      <w:marTop w:val="0"/>
      <w:marBottom w:val="0"/>
      <w:divBdr>
        <w:top w:val="none" w:sz="0" w:space="0" w:color="auto"/>
        <w:left w:val="none" w:sz="0" w:space="0" w:color="auto"/>
        <w:bottom w:val="none" w:sz="0" w:space="0" w:color="auto"/>
        <w:right w:val="none" w:sz="0" w:space="0" w:color="auto"/>
      </w:divBdr>
    </w:div>
    <w:div w:id="710499253">
      <w:bodyDiv w:val="1"/>
      <w:marLeft w:val="0"/>
      <w:marRight w:val="0"/>
      <w:marTop w:val="0"/>
      <w:marBottom w:val="0"/>
      <w:divBdr>
        <w:top w:val="none" w:sz="0" w:space="0" w:color="auto"/>
        <w:left w:val="none" w:sz="0" w:space="0" w:color="auto"/>
        <w:bottom w:val="none" w:sz="0" w:space="0" w:color="auto"/>
        <w:right w:val="none" w:sz="0" w:space="0" w:color="auto"/>
      </w:divBdr>
    </w:div>
    <w:div w:id="1155031583">
      <w:bodyDiv w:val="1"/>
      <w:marLeft w:val="0"/>
      <w:marRight w:val="0"/>
      <w:marTop w:val="0"/>
      <w:marBottom w:val="0"/>
      <w:divBdr>
        <w:top w:val="none" w:sz="0" w:space="0" w:color="auto"/>
        <w:left w:val="none" w:sz="0" w:space="0" w:color="auto"/>
        <w:bottom w:val="none" w:sz="0" w:space="0" w:color="auto"/>
        <w:right w:val="none" w:sz="0" w:space="0" w:color="auto"/>
      </w:divBdr>
    </w:div>
    <w:div w:id="1288974324">
      <w:bodyDiv w:val="1"/>
      <w:marLeft w:val="0"/>
      <w:marRight w:val="0"/>
      <w:marTop w:val="0"/>
      <w:marBottom w:val="0"/>
      <w:divBdr>
        <w:top w:val="none" w:sz="0" w:space="0" w:color="auto"/>
        <w:left w:val="none" w:sz="0" w:space="0" w:color="auto"/>
        <w:bottom w:val="none" w:sz="0" w:space="0" w:color="auto"/>
        <w:right w:val="none" w:sz="0" w:space="0" w:color="auto"/>
      </w:divBdr>
    </w:div>
    <w:div w:id="1567253753">
      <w:bodyDiv w:val="1"/>
      <w:marLeft w:val="0"/>
      <w:marRight w:val="0"/>
      <w:marTop w:val="0"/>
      <w:marBottom w:val="0"/>
      <w:divBdr>
        <w:top w:val="none" w:sz="0" w:space="0" w:color="auto"/>
        <w:left w:val="none" w:sz="0" w:space="0" w:color="auto"/>
        <w:bottom w:val="none" w:sz="0" w:space="0" w:color="auto"/>
        <w:right w:val="none" w:sz="0" w:space="0" w:color="auto"/>
      </w:divBdr>
    </w:div>
    <w:div w:id="1578905002">
      <w:bodyDiv w:val="1"/>
      <w:marLeft w:val="0"/>
      <w:marRight w:val="0"/>
      <w:marTop w:val="0"/>
      <w:marBottom w:val="0"/>
      <w:divBdr>
        <w:top w:val="none" w:sz="0" w:space="0" w:color="auto"/>
        <w:left w:val="none" w:sz="0" w:space="0" w:color="auto"/>
        <w:bottom w:val="none" w:sz="0" w:space="0" w:color="auto"/>
        <w:right w:val="none" w:sz="0" w:space="0" w:color="auto"/>
      </w:divBdr>
    </w:div>
    <w:div w:id="1741251820">
      <w:bodyDiv w:val="1"/>
      <w:marLeft w:val="0"/>
      <w:marRight w:val="0"/>
      <w:marTop w:val="0"/>
      <w:marBottom w:val="0"/>
      <w:divBdr>
        <w:top w:val="none" w:sz="0" w:space="0" w:color="auto"/>
        <w:left w:val="none" w:sz="0" w:space="0" w:color="auto"/>
        <w:bottom w:val="none" w:sz="0" w:space="0" w:color="auto"/>
        <w:right w:val="none" w:sz="0" w:space="0" w:color="auto"/>
      </w:divBdr>
    </w:div>
    <w:div w:id="184558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0893A-C3BB-4656-9CF4-5D7F8A9E7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许锐</dc:creator>
  <cp:lastModifiedBy>Lenovo</cp:lastModifiedBy>
  <cp:revision>52</cp:revision>
  <dcterms:created xsi:type="dcterms:W3CDTF">2024-09-27T01:34:00Z</dcterms:created>
  <dcterms:modified xsi:type="dcterms:W3CDTF">2024-09-27T08:48:00Z</dcterms:modified>
</cp:coreProperties>
</file>