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61302" w14:textId="77777777" w:rsidR="00350817" w:rsidRDefault="00C5456E">
      <w:pPr>
        <w:autoSpaceDE w:val="0"/>
        <w:autoSpaceDN w:val="0"/>
        <w:adjustRightInd w:val="0"/>
        <w:snapToGrid w:val="0"/>
        <w:spacing w:line="288" w:lineRule="auto"/>
        <w:rPr>
          <w:rFonts w:ascii="宋体" w:hAnsi="宋体" w:cs="宋体"/>
          <w:kern w:val="0"/>
          <w:sz w:val="28"/>
          <w:szCs w:val="28"/>
          <w:lang w:val="zh-CN" w:bidi="zh-CN"/>
        </w:rPr>
      </w:pPr>
      <w:bookmarkStart w:id="0" w:name="_GoBack"/>
      <w:bookmarkEnd w:id="0"/>
      <w:r>
        <w:rPr>
          <w:rFonts w:ascii="宋体" w:hAnsi="宋体" w:cs="宋体" w:hint="eastAsia"/>
          <w:kern w:val="0"/>
          <w:sz w:val="28"/>
          <w:szCs w:val="28"/>
          <w:lang w:val="zh-CN" w:bidi="zh-CN"/>
        </w:rPr>
        <w:t>证券代码：</w:t>
      </w:r>
      <w:r>
        <w:rPr>
          <w:rFonts w:ascii="宋体" w:hAnsi="宋体" w:cs="宋体" w:hint="eastAsia"/>
          <w:kern w:val="0"/>
          <w:sz w:val="28"/>
          <w:szCs w:val="28"/>
          <w:lang w:val="zh-CN" w:bidi="zh-CN"/>
        </w:rPr>
        <w:t xml:space="preserve">603977                         </w:t>
      </w:r>
      <w:r>
        <w:rPr>
          <w:rFonts w:ascii="宋体" w:hAnsi="宋体" w:cs="宋体" w:hint="eastAsia"/>
          <w:kern w:val="0"/>
          <w:sz w:val="28"/>
          <w:szCs w:val="28"/>
          <w:lang w:val="zh-CN" w:bidi="zh-CN"/>
        </w:rPr>
        <w:t>证券简称：国泰集团</w:t>
      </w:r>
    </w:p>
    <w:p w14:paraId="247D5303" w14:textId="77777777" w:rsidR="00350817" w:rsidRDefault="00C5456E">
      <w:pPr>
        <w:adjustRightInd w:val="0"/>
        <w:snapToGrid w:val="0"/>
        <w:spacing w:beforeLines="100" w:before="312" w:line="480" w:lineRule="exact"/>
        <w:jc w:val="center"/>
        <w:rPr>
          <w:rFonts w:ascii="黑体" w:eastAsia="黑体" w:hAnsi="黑体"/>
          <w:b/>
          <w:bCs/>
          <w:color w:val="FF0000"/>
          <w:sz w:val="32"/>
          <w:szCs w:val="36"/>
        </w:rPr>
      </w:pPr>
      <w:r>
        <w:rPr>
          <w:rFonts w:ascii="黑体" w:eastAsia="黑体" w:hAnsi="黑体" w:hint="eastAsia"/>
          <w:b/>
          <w:bCs/>
          <w:color w:val="FF0000"/>
          <w:sz w:val="32"/>
          <w:szCs w:val="36"/>
        </w:rPr>
        <w:t>江西国泰集团股份有限公司</w:t>
      </w:r>
    </w:p>
    <w:p w14:paraId="682DD08F" w14:textId="77777777" w:rsidR="00350817" w:rsidRDefault="00C5456E">
      <w:pPr>
        <w:adjustRightInd w:val="0"/>
        <w:snapToGrid w:val="0"/>
        <w:spacing w:beforeLines="50" w:before="156" w:afterLines="50" w:after="156" w:line="480" w:lineRule="exact"/>
        <w:jc w:val="center"/>
        <w:rPr>
          <w:rFonts w:ascii="等线" w:hAnsi="等线"/>
          <w:b/>
          <w:bCs/>
          <w:color w:val="FF0000"/>
          <w:sz w:val="32"/>
          <w:szCs w:val="36"/>
        </w:rPr>
      </w:pPr>
      <w:r>
        <w:rPr>
          <w:rFonts w:ascii="黑体" w:eastAsia="黑体" w:hAnsi="黑体" w:hint="eastAsia"/>
          <w:b/>
          <w:bCs/>
          <w:color w:val="FF0000"/>
          <w:sz w:val="32"/>
          <w:szCs w:val="36"/>
        </w:rPr>
        <w:t>投资者关系活动记录表</w:t>
      </w:r>
    </w:p>
    <w:p w14:paraId="466DD566" w14:textId="77777777" w:rsidR="00350817" w:rsidRDefault="00C5456E">
      <w:pPr>
        <w:jc w:val="right"/>
        <w:rPr>
          <w:rFonts w:ascii="宋体" w:hAnsi="宋体"/>
        </w:rPr>
      </w:pPr>
      <w:r>
        <w:rPr>
          <w:rFonts w:ascii="宋体" w:hAnsi="宋体" w:hint="eastAsia"/>
        </w:rPr>
        <w:t>编号：</w:t>
      </w:r>
      <w:r>
        <w:rPr>
          <w:rFonts w:ascii="宋体" w:hAnsi="宋体" w:hint="eastAsia"/>
        </w:rPr>
        <w:t>2024-007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996"/>
      </w:tblGrid>
      <w:tr w:rsidR="00350817" w14:paraId="2FE1D6D7" w14:textId="77777777">
        <w:trPr>
          <w:trHeight w:val="1967"/>
        </w:trPr>
        <w:tc>
          <w:tcPr>
            <w:tcW w:w="1526" w:type="dxa"/>
            <w:vAlign w:val="center"/>
          </w:tcPr>
          <w:p w14:paraId="429761BC" w14:textId="77777777" w:rsidR="00350817" w:rsidRDefault="00C5456E">
            <w:pPr>
              <w:pStyle w:val="New0"/>
              <w:adjustRightInd w:val="0"/>
              <w:snapToGrid w:val="0"/>
              <w:spacing w:line="348" w:lineRule="auto"/>
              <w:rPr>
                <w:b/>
                <w:bCs/>
                <w:iCs/>
                <w:sz w:val="24"/>
              </w:rPr>
            </w:pPr>
            <w:r>
              <w:rPr>
                <w:b/>
                <w:bCs/>
                <w:iCs/>
                <w:sz w:val="24"/>
              </w:rPr>
              <w:t>投资者关系活动类别</w:t>
            </w:r>
          </w:p>
        </w:tc>
        <w:tc>
          <w:tcPr>
            <w:tcW w:w="6996" w:type="dxa"/>
            <w:vAlign w:val="center"/>
          </w:tcPr>
          <w:p w14:paraId="5EBB2DC6" w14:textId="77777777" w:rsidR="00350817" w:rsidRDefault="00C5456E">
            <w:pPr>
              <w:adjustRightInd w:val="0"/>
              <w:snapToGrid w:val="0"/>
              <w:spacing w:line="348" w:lineRule="auto"/>
              <w:rPr>
                <w:bCs/>
                <w:iCs/>
                <w:sz w:val="24"/>
                <w:szCs w:val="24"/>
              </w:rPr>
            </w:pPr>
            <w:r>
              <w:rPr>
                <w:bCs/>
                <w:iCs/>
                <w:sz w:val="24"/>
                <w:szCs w:val="24"/>
              </w:rPr>
              <w:sym w:font="Wingdings 2" w:char="0052"/>
            </w:r>
            <w:r>
              <w:rPr>
                <w:sz w:val="24"/>
                <w:szCs w:val="24"/>
              </w:rPr>
              <w:t>特定对象调研</w:t>
            </w:r>
            <w:r>
              <w:rPr>
                <w:sz w:val="24"/>
                <w:szCs w:val="24"/>
              </w:rPr>
              <w:t xml:space="preserve">       </w:t>
            </w:r>
            <w:r>
              <w:rPr>
                <w:bCs/>
                <w:iCs/>
                <w:sz w:val="24"/>
                <w:szCs w:val="24"/>
              </w:rPr>
              <w:sym w:font="Wingdings 2" w:char="00A3"/>
            </w:r>
            <w:r>
              <w:rPr>
                <w:sz w:val="24"/>
                <w:szCs w:val="24"/>
              </w:rPr>
              <w:t>分析师会议</w:t>
            </w:r>
          </w:p>
          <w:p w14:paraId="6360057E" w14:textId="77777777" w:rsidR="00350817" w:rsidRDefault="00C5456E">
            <w:pPr>
              <w:pStyle w:val="New0"/>
              <w:adjustRightInd w:val="0"/>
              <w:snapToGrid w:val="0"/>
              <w:spacing w:line="348" w:lineRule="auto"/>
              <w:rPr>
                <w:bCs/>
                <w:iCs/>
                <w:sz w:val="24"/>
              </w:rPr>
            </w:pPr>
            <w:r>
              <w:rPr>
                <w:bCs/>
                <w:iCs/>
                <w:sz w:val="24"/>
              </w:rPr>
              <w:sym w:font="Wingdings 2" w:char="00A3"/>
            </w:r>
            <w:r>
              <w:rPr>
                <w:sz w:val="24"/>
              </w:rPr>
              <w:t>媒体采访</w:t>
            </w:r>
            <w:r>
              <w:rPr>
                <w:sz w:val="24"/>
              </w:rPr>
              <w:t xml:space="preserve">           </w:t>
            </w:r>
            <w:r>
              <w:rPr>
                <w:bCs/>
                <w:iCs/>
                <w:sz w:val="24"/>
              </w:rPr>
              <w:sym w:font="Wingdings 2" w:char="00A3"/>
            </w:r>
            <w:r>
              <w:rPr>
                <w:sz w:val="24"/>
              </w:rPr>
              <w:t>业绩说明会</w:t>
            </w:r>
          </w:p>
          <w:p w14:paraId="16EC93E5" w14:textId="77777777" w:rsidR="00350817" w:rsidRDefault="00C5456E">
            <w:pPr>
              <w:pStyle w:val="New0"/>
              <w:adjustRightInd w:val="0"/>
              <w:snapToGrid w:val="0"/>
              <w:spacing w:line="348" w:lineRule="auto"/>
              <w:rPr>
                <w:bCs/>
                <w:iCs/>
                <w:sz w:val="24"/>
              </w:rPr>
            </w:pPr>
            <w:r>
              <w:rPr>
                <w:bCs/>
                <w:iCs/>
                <w:sz w:val="24"/>
              </w:rPr>
              <w:sym w:font="Wingdings 2" w:char="00A3"/>
            </w:r>
            <w:r>
              <w:rPr>
                <w:sz w:val="24"/>
              </w:rPr>
              <w:t>新闻发布会</w:t>
            </w:r>
            <w:r>
              <w:rPr>
                <w:sz w:val="24"/>
              </w:rPr>
              <w:t xml:space="preserve">         </w:t>
            </w:r>
            <w:r>
              <w:rPr>
                <w:bCs/>
                <w:iCs/>
                <w:sz w:val="24"/>
              </w:rPr>
              <w:sym w:font="Wingdings 2" w:char="00A3"/>
            </w:r>
            <w:r>
              <w:rPr>
                <w:sz w:val="24"/>
              </w:rPr>
              <w:t>路演活动</w:t>
            </w:r>
          </w:p>
          <w:p w14:paraId="6D069889" w14:textId="77777777" w:rsidR="00350817" w:rsidRDefault="00C5456E">
            <w:pPr>
              <w:adjustRightInd w:val="0"/>
              <w:snapToGrid w:val="0"/>
              <w:spacing w:line="348" w:lineRule="auto"/>
              <w:rPr>
                <w:bCs/>
                <w:iCs/>
                <w:sz w:val="24"/>
                <w:szCs w:val="24"/>
              </w:rPr>
            </w:pPr>
            <w:r>
              <w:rPr>
                <w:sz w:val="24"/>
                <w:szCs w:val="24"/>
              </w:rPr>
              <w:sym w:font="Wingdings 2" w:char="00A3"/>
            </w:r>
            <w:r>
              <w:rPr>
                <w:sz w:val="24"/>
                <w:szCs w:val="24"/>
              </w:rPr>
              <w:t>电话会议</w:t>
            </w:r>
          </w:p>
          <w:p w14:paraId="561EB9C9" w14:textId="77777777" w:rsidR="00350817" w:rsidRDefault="00C5456E">
            <w:pPr>
              <w:pStyle w:val="New0"/>
              <w:tabs>
                <w:tab w:val="center" w:pos="3199"/>
              </w:tabs>
              <w:adjustRightInd w:val="0"/>
              <w:snapToGrid w:val="0"/>
              <w:spacing w:line="348" w:lineRule="auto"/>
              <w:rPr>
                <w:bCs/>
                <w:iCs/>
                <w:sz w:val="24"/>
                <w:u w:val="single"/>
              </w:rPr>
            </w:pPr>
            <w:r>
              <w:rPr>
                <w:bCs/>
                <w:iCs/>
                <w:sz w:val="24"/>
              </w:rPr>
              <w:sym w:font="Wingdings 2" w:char="00A3"/>
            </w:r>
            <w:r>
              <w:rPr>
                <w:sz w:val="24"/>
              </w:rPr>
              <w:t>其他</w:t>
            </w:r>
            <w:r>
              <w:rPr>
                <w:rFonts w:hint="eastAsia"/>
                <w:sz w:val="24"/>
                <w:u w:val="single"/>
              </w:rPr>
              <w:t xml:space="preserve">           </w:t>
            </w:r>
          </w:p>
        </w:tc>
      </w:tr>
      <w:tr w:rsidR="00350817" w14:paraId="312381E1" w14:textId="77777777">
        <w:trPr>
          <w:trHeight w:val="1833"/>
        </w:trPr>
        <w:tc>
          <w:tcPr>
            <w:tcW w:w="1526" w:type="dxa"/>
            <w:vAlign w:val="center"/>
          </w:tcPr>
          <w:p w14:paraId="67B0D6C6" w14:textId="77777777" w:rsidR="00350817" w:rsidRDefault="00C5456E">
            <w:pPr>
              <w:pStyle w:val="New0"/>
              <w:adjustRightInd w:val="0"/>
              <w:snapToGrid w:val="0"/>
              <w:spacing w:line="348" w:lineRule="auto"/>
              <w:rPr>
                <w:b/>
                <w:bCs/>
                <w:iCs/>
                <w:sz w:val="24"/>
              </w:rPr>
            </w:pPr>
            <w:r>
              <w:rPr>
                <w:b/>
                <w:bCs/>
                <w:iCs/>
                <w:sz w:val="24"/>
              </w:rPr>
              <w:t>参与单位名称及人员姓名</w:t>
            </w:r>
          </w:p>
        </w:tc>
        <w:tc>
          <w:tcPr>
            <w:tcW w:w="6996" w:type="dxa"/>
            <w:vAlign w:val="center"/>
          </w:tcPr>
          <w:p w14:paraId="766C66C5" w14:textId="1D969292" w:rsidR="00350817" w:rsidRDefault="00C5456E">
            <w:pPr>
              <w:spacing w:line="348" w:lineRule="auto"/>
              <w:textAlignment w:val="baseline"/>
              <w:rPr>
                <w:rFonts w:ascii="Times New Roman" w:hAnsi="Times New Roman"/>
                <w:sz w:val="24"/>
                <w:szCs w:val="24"/>
              </w:rPr>
            </w:pPr>
            <w:r>
              <w:rPr>
                <w:rFonts w:ascii="Times New Roman" w:hAnsi="Times New Roman" w:hint="eastAsia"/>
                <w:sz w:val="24"/>
                <w:szCs w:val="24"/>
              </w:rPr>
              <w:t>博时基金</w:t>
            </w:r>
            <w:r>
              <w:rPr>
                <w:rFonts w:ascii="Times New Roman" w:hAnsi="Times New Roman" w:hint="eastAsia"/>
                <w:sz w:val="24"/>
                <w:szCs w:val="24"/>
              </w:rPr>
              <w:t xml:space="preserve"> </w:t>
            </w:r>
            <w:r>
              <w:rPr>
                <w:rFonts w:ascii="Times New Roman" w:hAnsi="Times New Roman" w:hint="eastAsia"/>
                <w:sz w:val="24"/>
                <w:szCs w:val="24"/>
              </w:rPr>
              <w:t>田俊维</w:t>
            </w:r>
            <w:r>
              <w:rPr>
                <w:rFonts w:ascii="Times New Roman" w:hAnsi="Times New Roman" w:hint="eastAsia"/>
                <w:sz w:val="24"/>
                <w:szCs w:val="24"/>
              </w:rPr>
              <w:t xml:space="preserve">  </w:t>
            </w:r>
            <w:r>
              <w:rPr>
                <w:rFonts w:ascii="Times New Roman" w:hAnsi="Times New Roman" w:hint="eastAsia"/>
                <w:sz w:val="24"/>
                <w:szCs w:val="24"/>
              </w:rPr>
              <w:t>张</w:t>
            </w:r>
            <w:r>
              <w:rPr>
                <w:rFonts w:ascii="Times New Roman" w:hAnsi="Times New Roman" w:hint="eastAsia"/>
                <w:sz w:val="24"/>
                <w:szCs w:val="24"/>
              </w:rPr>
              <w:t xml:space="preserve">  </w:t>
            </w:r>
            <w:r>
              <w:rPr>
                <w:rFonts w:ascii="Times New Roman" w:hAnsi="Times New Roman" w:hint="eastAsia"/>
                <w:sz w:val="24"/>
                <w:szCs w:val="24"/>
              </w:rPr>
              <w:t>锦</w:t>
            </w:r>
            <w:r>
              <w:rPr>
                <w:rFonts w:ascii="Times New Roman" w:hAnsi="Times New Roman" w:hint="eastAsia"/>
                <w:sz w:val="24"/>
                <w:szCs w:val="24"/>
              </w:rPr>
              <w:t xml:space="preserve"> </w:t>
            </w:r>
            <w:r>
              <w:rPr>
                <w:rFonts w:ascii="Times New Roman" w:hAnsi="Times New Roman" w:hint="eastAsia"/>
                <w:sz w:val="24"/>
                <w:szCs w:val="24"/>
              </w:rPr>
              <w:t>包江麟</w:t>
            </w:r>
            <w:r>
              <w:rPr>
                <w:rFonts w:ascii="Times New Roman" w:hAnsi="Times New Roman" w:hint="eastAsia"/>
                <w:sz w:val="24"/>
                <w:szCs w:val="24"/>
              </w:rPr>
              <w:t xml:space="preserve"> </w:t>
            </w:r>
          </w:p>
          <w:p w14:paraId="49828A00" w14:textId="77777777" w:rsidR="00350817" w:rsidRDefault="00C5456E">
            <w:pPr>
              <w:spacing w:line="348" w:lineRule="auto"/>
              <w:textAlignment w:val="baseline"/>
              <w:rPr>
                <w:rFonts w:ascii="Times New Roman" w:hAnsi="Times New Roman"/>
                <w:sz w:val="24"/>
                <w:szCs w:val="24"/>
              </w:rPr>
            </w:pPr>
            <w:r>
              <w:rPr>
                <w:rFonts w:ascii="Times New Roman" w:hAnsi="Times New Roman" w:hint="eastAsia"/>
                <w:sz w:val="24"/>
                <w:szCs w:val="24"/>
              </w:rPr>
              <w:t>鹏华基金</w:t>
            </w:r>
            <w:r>
              <w:rPr>
                <w:rFonts w:ascii="Times New Roman" w:hAnsi="Times New Roman" w:hint="eastAsia"/>
                <w:sz w:val="24"/>
                <w:szCs w:val="24"/>
              </w:rPr>
              <w:t xml:space="preserve"> </w:t>
            </w:r>
            <w:r>
              <w:rPr>
                <w:rFonts w:ascii="Times New Roman" w:hAnsi="Times New Roman" w:hint="eastAsia"/>
                <w:sz w:val="24"/>
                <w:szCs w:val="24"/>
              </w:rPr>
              <w:t>杨</w:t>
            </w:r>
            <w:r>
              <w:rPr>
                <w:rFonts w:ascii="Times New Roman" w:hAnsi="Times New Roman" w:hint="eastAsia"/>
                <w:sz w:val="24"/>
                <w:szCs w:val="24"/>
              </w:rPr>
              <w:t xml:space="preserve">  </w:t>
            </w:r>
            <w:r>
              <w:rPr>
                <w:rFonts w:ascii="Times New Roman" w:hAnsi="Times New Roman" w:hint="eastAsia"/>
                <w:sz w:val="24"/>
                <w:szCs w:val="24"/>
              </w:rPr>
              <w:t>凡</w:t>
            </w:r>
          </w:p>
          <w:p w14:paraId="61BE92CC" w14:textId="77777777" w:rsidR="00350817" w:rsidRDefault="00C5456E">
            <w:pPr>
              <w:spacing w:line="348" w:lineRule="auto"/>
              <w:textAlignment w:val="baseline"/>
              <w:rPr>
                <w:rFonts w:ascii="Times New Roman" w:hAnsi="Times New Roman"/>
                <w:sz w:val="24"/>
                <w:szCs w:val="24"/>
              </w:rPr>
            </w:pPr>
            <w:r>
              <w:rPr>
                <w:rFonts w:ascii="Times New Roman" w:hAnsi="Times New Roman" w:hint="eastAsia"/>
                <w:sz w:val="24"/>
                <w:szCs w:val="24"/>
              </w:rPr>
              <w:t>天风证券</w:t>
            </w:r>
            <w:r>
              <w:rPr>
                <w:rFonts w:ascii="Times New Roman" w:hAnsi="Times New Roman"/>
                <w:sz w:val="24"/>
                <w:szCs w:val="24"/>
              </w:rPr>
              <w:t xml:space="preserve"> </w:t>
            </w:r>
            <w:r>
              <w:rPr>
                <w:rFonts w:ascii="Times New Roman" w:hAnsi="Times New Roman" w:hint="eastAsia"/>
                <w:sz w:val="24"/>
                <w:szCs w:val="24"/>
              </w:rPr>
              <w:t>王泽宇</w:t>
            </w:r>
            <w:r>
              <w:rPr>
                <w:rFonts w:ascii="Times New Roman" w:hAnsi="Times New Roman" w:hint="eastAsia"/>
                <w:sz w:val="24"/>
                <w:szCs w:val="24"/>
              </w:rPr>
              <w:t xml:space="preserve"> </w:t>
            </w:r>
            <w:r>
              <w:rPr>
                <w:rFonts w:ascii="Times New Roman" w:hAnsi="Times New Roman" w:hint="eastAsia"/>
                <w:sz w:val="24"/>
                <w:szCs w:val="24"/>
              </w:rPr>
              <w:t>周新宇</w:t>
            </w:r>
            <w:r>
              <w:rPr>
                <w:rFonts w:ascii="Times New Roman" w:hAnsi="Times New Roman" w:hint="eastAsia"/>
                <w:sz w:val="24"/>
                <w:szCs w:val="24"/>
              </w:rPr>
              <w:t xml:space="preserve"> </w:t>
            </w:r>
            <w:r>
              <w:rPr>
                <w:rFonts w:ascii="Times New Roman" w:hAnsi="Times New Roman" w:hint="eastAsia"/>
                <w:sz w:val="24"/>
                <w:szCs w:val="24"/>
              </w:rPr>
              <w:t>吴居清</w:t>
            </w:r>
          </w:p>
          <w:p w14:paraId="3C82C3C1" w14:textId="77777777" w:rsidR="00350817" w:rsidRDefault="00C5456E">
            <w:pPr>
              <w:spacing w:line="348" w:lineRule="auto"/>
              <w:textAlignment w:val="baseline"/>
              <w:rPr>
                <w:rFonts w:ascii="Times New Roman" w:hAnsi="Times New Roman"/>
                <w:sz w:val="24"/>
                <w:szCs w:val="24"/>
              </w:rPr>
            </w:pPr>
            <w:r>
              <w:rPr>
                <w:rFonts w:ascii="Times New Roman" w:hAnsi="Times New Roman" w:hint="eastAsia"/>
                <w:sz w:val="24"/>
                <w:szCs w:val="24"/>
              </w:rPr>
              <w:t>方正证券</w:t>
            </w:r>
            <w:r>
              <w:rPr>
                <w:rFonts w:ascii="Times New Roman" w:hAnsi="Times New Roman" w:hint="eastAsia"/>
                <w:sz w:val="24"/>
                <w:szCs w:val="24"/>
              </w:rPr>
              <w:t xml:space="preserve"> </w:t>
            </w:r>
            <w:r>
              <w:rPr>
                <w:rFonts w:ascii="Times New Roman" w:hAnsi="Times New Roman" w:hint="eastAsia"/>
                <w:sz w:val="24"/>
                <w:szCs w:val="24"/>
              </w:rPr>
              <w:t>韩</w:t>
            </w:r>
            <w:r>
              <w:rPr>
                <w:rFonts w:ascii="Times New Roman" w:hAnsi="Times New Roman" w:hint="eastAsia"/>
                <w:sz w:val="24"/>
                <w:szCs w:val="24"/>
              </w:rPr>
              <w:t xml:space="preserve">  </w:t>
            </w:r>
            <w:r>
              <w:rPr>
                <w:rFonts w:ascii="Times New Roman" w:hAnsi="Times New Roman" w:hint="eastAsia"/>
                <w:sz w:val="24"/>
                <w:szCs w:val="24"/>
              </w:rPr>
              <w:t>宇</w:t>
            </w:r>
          </w:p>
          <w:p w14:paraId="712EF3CB" w14:textId="77777777" w:rsidR="00350817" w:rsidRDefault="00C5456E">
            <w:pPr>
              <w:spacing w:line="348" w:lineRule="auto"/>
              <w:textAlignment w:val="baseline"/>
              <w:rPr>
                <w:rFonts w:ascii="Times New Roman" w:hAnsi="Times New Roman"/>
                <w:sz w:val="24"/>
                <w:szCs w:val="24"/>
              </w:rPr>
            </w:pPr>
            <w:r>
              <w:rPr>
                <w:rFonts w:ascii="Times New Roman" w:hAnsi="Times New Roman" w:hint="eastAsia"/>
                <w:sz w:val="24"/>
                <w:szCs w:val="24"/>
              </w:rPr>
              <w:t>民生证券</w:t>
            </w:r>
            <w:r>
              <w:rPr>
                <w:rFonts w:ascii="Times New Roman" w:hAnsi="Times New Roman" w:hint="eastAsia"/>
                <w:sz w:val="24"/>
                <w:szCs w:val="24"/>
              </w:rPr>
              <w:t xml:space="preserve"> </w:t>
            </w:r>
            <w:r>
              <w:rPr>
                <w:rFonts w:ascii="Times New Roman" w:hAnsi="Times New Roman" w:hint="eastAsia"/>
                <w:sz w:val="24"/>
                <w:szCs w:val="24"/>
              </w:rPr>
              <w:t>杨昌昊</w:t>
            </w:r>
          </w:p>
          <w:p w14:paraId="269D6F36" w14:textId="77777777" w:rsidR="00350817" w:rsidRDefault="00C5456E">
            <w:pPr>
              <w:spacing w:line="348" w:lineRule="auto"/>
              <w:textAlignment w:val="baseline"/>
              <w:rPr>
                <w:rFonts w:ascii="Times New Roman" w:hAnsi="Times New Roman"/>
                <w:sz w:val="24"/>
                <w:szCs w:val="24"/>
              </w:rPr>
            </w:pPr>
            <w:r>
              <w:rPr>
                <w:rFonts w:ascii="Times New Roman" w:hAnsi="Times New Roman" w:hint="eastAsia"/>
                <w:sz w:val="24"/>
                <w:szCs w:val="24"/>
              </w:rPr>
              <w:t>中信证券</w:t>
            </w:r>
            <w:r>
              <w:rPr>
                <w:rFonts w:ascii="Times New Roman" w:hAnsi="Times New Roman" w:hint="eastAsia"/>
                <w:sz w:val="24"/>
                <w:szCs w:val="24"/>
              </w:rPr>
              <w:t xml:space="preserve"> </w:t>
            </w:r>
            <w:r>
              <w:rPr>
                <w:rFonts w:ascii="Times New Roman" w:hAnsi="Times New Roman" w:hint="eastAsia"/>
                <w:sz w:val="24"/>
                <w:szCs w:val="24"/>
              </w:rPr>
              <w:t>张清源</w:t>
            </w:r>
            <w:r>
              <w:rPr>
                <w:rFonts w:ascii="Times New Roman" w:hAnsi="Times New Roman" w:hint="eastAsia"/>
                <w:sz w:val="24"/>
                <w:szCs w:val="24"/>
              </w:rPr>
              <w:t xml:space="preserve"> </w:t>
            </w:r>
          </w:p>
          <w:p w14:paraId="6CEE7958" w14:textId="77777777" w:rsidR="00350817" w:rsidRDefault="00C5456E">
            <w:pPr>
              <w:spacing w:line="348" w:lineRule="auto"/>
              <w:textAlignment w:val="baseline"/>
              <w:rPr>
                <w:rFonts w:ascii="Times New Roman" w:hAnsi="Times New Roman"/>
                <w:sz w:val="24"/>
                <w:szCs w:val="24"/>
              </w:rPr>
            </w:pPr>
            <w:r>
              <w:rPr>
                <w:rFonts w:ascii="Times New Roman" w:hAnsi="Times New Roman" w:hint="eastAsia"/>
                <w:sz w:val="24"/>
                <w:szCs w:val="24"/>
              </w:rPr>
              <w:t>冲积资产</w:t>
            </w:r>
            <w:r>
              <w:rPr>
                <w:rFonts w:ascii="Times New Roman" w:hAnsi="Times New Roman" w:hint="eastAsia"/>
                <w:sz w:val="24"/>
                <w:szCs w:val="24"/>
              </w:rPr>
              <w:t xml:space="preserve"> </w:t>
            </w:r>
            <w:r>
              <w:rPr>
                <w:rFonts w:ascii="Times New Roman" w:hAnsi="Times New Roman" w:hint="eastAsia"/>
                <w:sz w:val="24"/>
                <w:szCs w:val="24"/>
              </w:rPr>
              <w:t>彭</w:t>
            </w:r>
            <w:r>
              <w:rPr>
                <w:rFonts w:ascii="Times New Roman" w:hAnsi="Times New Roman" w:hint="eastAsia"/>
                <w:sz w:val="24"/>
                <w:szCs w:val="24"/>
              </w:rPr>
              <w:t xml:space="preserve">  </w:t>
            </w:r>
            <w:r>
              <w:rPr>
                <w:rFonts w:ascii="Times New Roman" w:hAnsi="Times New Roman" w:hint="eastAsia"/>
                <w:sz w:val="24"/>
                <w:szCs w:val="24"/>
              </w:rPr>
              <w:t>聪</w:t>
            </w:r>
          </w:p>
          <w:p w14:paraId="59B01461" w14:textId="77777777" w:rsidR="00350817" w:rsidRDefault="00C5456E">
            <w:pPr>
              <w:spacing w:line="348" w:lineRule="auto"/>
              <w:textAlignment w:val="baseline"/>
              <w:rPr>
                <w:rFonts w:ascii="Times New Roman" w:hAnsi="Times New Roman"/>
                <w:sz w:val="24"/>
                <w:szCs w:val="24"/>
              </w:rPr>
            </w:pPr>
            <w:r>
              <w:rPr>
                <w:rFonts w:ascii="Times New Roman" w:hAnsi="Times New Roman" w:hint="eastAsia"/>
                <w:sz w:val="24"/>
                <w:szCs w:val="24"/>
              </w:rPr>
              <w:t>互兴资本</w:t>
            </w:r>
            <w:r>
              <w:rPr>
                <w:rFonts w:ascii="Times New Roman" w:hAnsi="Times New Roman" w:hint="eastAsia"/>
                <w:sz w:val="24"/>
                <w:szCs w:val="24"/>
              </w:rPr>
              <w:t xml:space="preserve"> </w:t>
            </w:r>
            <w:r>
              <w:rPr>
                <w:rFonts w:ascii="Times New Roman" w:hAnsi="Times New Roman" w:hint="eastAsia"/>
                <w:sz w:val="24"/>
                <w:szCs w:val="24"/>
              </w:rPr>
              <w:t>陈继宏</w:t>
            </w:r>
          </w:p>
        </w:tc>
      </w:tr>
      <w:tr w:rsidR="00350817" w14:paraId="56F9DC09" w14:textId="77777777">
        <w:trPr>
          <w:trHeight w:val="460"/>
        </w:trPr>
        <w:tc>
          <w:tcPr>
            <w:tcW w:w="1526" w:type="dxa"/>
            <w:vAlign w:val="center"/>
          </w:tcPr>
          <w:p w14:paraId="0B36D5D1" w14:textId="77777777" w:rsidR="00350817" w:rsidRDefault="00C5456E">
            <w:pPr>
              <w:pStyle w:val="New0"/>
              <w:spacing w:line="348" w:lineRule="auto"/>
              <w:rPr>
                <w:rFonts w:ascii="Times New Roman" w:hAnsi="Times New Roman"/>
                <w:b/>
                <w:bCs/>
                <w:iCs/>
                <w:sz w:val="24"/>
              </w:rPr>
            </w:pPr>
            <w:r>
              <w:rPr>
                <w:rFonts w:ascii="Times New Roman" w:hAnsi="Times New Roman"/>
                <w:b/>
                <w:bCs/>
                <w:iCs/>
                <w:sz w:val="24"/>
              </w:rPr>
              <w:t>时间</w:t>
            </w:r>
          </w:p>
        </w:tc>
        <w:tc>
          <w:tcPr>
            <w:tcW w:w="6996" w:type="dxa"/>
            <w:vAlign w:val="center"/>
          </w:tcPr>
          <w:p w14:paraId="51262C43" w14:textId="77777777" w:rsidR="00350817" w:rsidRDefault="00C5456E">
            <w:pPr>
              <w:pStyle w:val="New0"/>
              <w:spacing w:line="348" w:lineRule="auto"/>
              <w:rPr>
                <w:rFonts w:ascii="Times New Roman" w:hAnsi="Times New Roman"/>
                <w:iCs/>
                <w:sz w:val="24"/>
              </w:rPr>
            </w:pPr>
            <w:r>
              <w:rPr>
                <w:rFonts w:ascii="Times New Roman" w:hAnsi="Times New Roman" w:hint="eastAsia"/>
                <w:iCs/>
                <w:sz w:val="24"/>
              </w:rPr>
              <w:t>2024</w:t>
            </w:r>
            <w:r>
              <w:rPr>
                <w:rFonts w:ascii="Times New Roman" w:hAnsi="Times New Roman" w:hint="eastAsia"/>
                <w:iCs/>
                <w:sz w:val="24"/>
              </w:rPr>
              <w:t>年</w:t>
            </w:r>
            <w:r>
              <w:rPr>
                <w:rFonts w:ascii="Times New Roman" w:hAnsi="Times New Roman" w:hint="eastAsia"/>
                <w:iCs/>
                <w:sz w:val="24"/>
              </w:rPr>
              <w:t>9</w:t>
            </w:r>
            <w:r>
              <w:rPr>
                <w:rFonts w:ascii="Times New Roman" w:hAnsi="Times New Roman" w:hint="eastAsia"/>
                <w:iCs/>
                <w:sz w:val="24"/>
              </w:rPr>
              <w:t>月</w:t>
            </w:r>
            <w:r>
              <w:rPr>
                <w:rFonts w:ascii="Times New Roman" w:hAnsi="Times New Roman" w:hint="eastAsia"/>
                <w:iCs/>
                <w:sz w:val="24"/>
              </w:rPr>
              <w:t>19</w:t>
            </w:r>
            <w:r>
              <w:rPr>
                <w:rFonts w:ascii="Times New Roman" w:hAnsi="Times New Roman" w:hint="eastAsia"/>
                <w:iCs/>
                <w:sz w:val="24"/>
              </w:rPr>
              <w:t>日至</w:t>
            </w:r>
            <w:r>
              <w:rPr>
                <w:rFonts w:ascii="Times New Roman" w:hAnsi="Times New Roman" w:hint="eastAsia"/>
                <w:iCs/>
                <w:sz w:val="24"/>
              </w:rPr>
              <w:t>9</w:t>
            </w:r>
            <w:r>
              <w:rPr>
                <w:rFonts w:ascii="Times New Roman" w:hAnsi="Times New Roman" w:hint="eastAsia"/>
                <w:iCs/>
                <w:sz w:val="24"/>
              </w:rPr>
              <w:t>月</w:t>
            </w:r>
            <w:r>
              <w:rPr>
                <w:rFonts w:ascii="Times New Roman" w:hAnsi="Times New Roman" w:hint="eastAsia"/>
                <w:iCs/>
                <w:sz w:val="24"/>
              </w:rPr>
              <w:t>30</w:t>
            </w:r>
            <w:r>
              <w:rPr>
                <w:rFonts w:ascii="Times New Roman" w:hAnsi="Times New Roman" w:hint="eastAsia"/>
                <w:iCs/>
                <w:sz w:val="24"/>
              </w:rPr>
              <w:t>日</w:t>
            </w:r>
          </w:p>
        </w:tc>
      </w:tr>
      <w:tr w:rsidR="00350817" w14:paraId="56E47B89" w14:textId="77777777">
        <w:trPr>
          <w:trHeight w:val="450"/>
        </w:trPr>
        <w:tc>
          <w:tcPr>
            <w:tcW w:w="1526" w:type="dxa"/>
            <w:vAlign w:val="center"/>
          </w:tcPr>
          <w:p w14:paraId="1FFC3D6C" w14:textId="77777777" w:rsidR="00350817" w:rsidRDefault="00C5456E">
            <w:pPr>
              <w:pStyle w:val="New0"/>
              <w:spacing w:line="348" w:lineRule="auto"/>
              <w:rPr>
                <w:rFonts w:ascii="Times New Roman" w:hAnsi="Times New Roman"/>
                <w:b/>
                <w:bCs/>
                <w:iCs/>
                <w:sz w:val="24"/>
              </w:rPr>
            </w:pPr>
            <w:r>
              <w:rPr>
                <w:rFonts w:ascii="Times New Roman" w:hAnsi="Times New Roman"/>
                <w:b/>
                <w:bCs/>
                <w:iCs/>
                <w:sz w:val="24"/>
              </w:rPr>
              <w:t>地点</w:t>
            </w:r>
          </w:p>
        </w:tc>
        <w:tc>
          <w:tcPr>
            <w:tcW w:w="6996" w:type="dxa"/>
            <w:vAlign w:val="center"/>
          </w:tcPr>
          <w:p w14:paraId="6924D1B8" w14:textId="77777777" w:rsidR="00350817" w:rsidRDefault="00C5456E">
            <w:pPr>
              <w:pStyle w:val="New0"/>
              <w:spacing w:line="348" w:lineRule="auto"/>
              <w:rPr>
                <w:rFonts w:ascii="Times New Roman" w:hAnsi="Times New Roman"/>
                <w:iCs/>
                <w:sz w:val="24"/>
              </w:rPr>
            </w:pPr>
            <w:r>
              <w:rPr>
                <w:rFonts w:ascii="Times New Roman" w:hAnsi="Times New Roman" w:hint="eastAsia"/>
                <w:iCs/>
                <w:sz w:val="24"/>
              </w:rPr>
              <w:t>江西省南昌市高新开发区高新大道</w:t>
            </w:r>
            <w:r>
              <w:rPr>
                <w:rFonts w:ascii="Times New Roman" w:hAnsi="Times New Roman" w:hint="eastAsia"/>
                <w:iCs/>
                <w:sz w:val="24"/>
              </w:rPr>
              <w:t>699</w:t>
            </w:r>
            <w:r>
              <w:rPr>
                <w:rFonts w:ascii="Times New Roman" w:hAnsi="Times New Roman" w:hint="eastAsia"/>
                <w:iCs/>
                <w:sz w:val="24"/>
              </w:rPr>
              <w:t>号国泰集团会议室</w:t>
            </w:r>
          </w:p>
        </w:tc>
      </w:tr>
      <w:tr w:rsidR="00350817" w14:paraId="51AA97B2" w14:textId="77777777">
        <w:trPr>
          <w:trHeight w:val="772"/>
        </w:trPr>
        <w:tc>
          <w:tcPr>
            <w:tcW w:w="1526" w:type="dxa"/>
            <w:vAlign w:val="center"/>
          </w:tcPr>
          <w:p w14:paraId="0E0F9F1F" w14:textId="77777777" w:rsidR="00350817" w:rsidRDefault="00C5456E">
            <w:pPr>
              <w:pStyle w:val="New0"/>
              <w:spacing w:line="348" w:lineRule="auto"/>
              <w:rPr>
                <w:rFonts w:ascii="Times New Roman" w:hAnsi="Times New Roman"/>
                <w:b/>
                <w:bCs/>
                <w:iCs/>
                <w:sz w:val="24"/>
              </w:rPr>
            </w:pPr>
            <w:r>
              <w:rPr>
                <w:rFonts w:ascii="Times New Roman" w:hAnsi="Times New Roman"/>
                <w:b/>
                <w:bCs/>
                <w:iCs/>
                <w:sz w:val="24"/>
              </w:rPr>
              <w:t>上市公司接待人员姓名</w:t>
            </w:r>
          </w:p>
        </w:tc>
        <w:tc>
          <w:tcPr>
            <w:tcW w:w="6996" w:type="dxa"/>
            <w:vAlign w:val="center"/>
          </w:tcPr>
          <w:p w14:paraId="7F5CEFF4" w14:textId="77777777" w:rsidR="00350817" w:rsidRDefault="00C5456E">
            <w:pPr>
              <w:adjustRightInd w:val="0"/>
              <w:snapToGrid w:val="0"/>
              <w:spacing w:line="348" w:lineRule="auto"/>
              <w:rPr>
                <w:rFonts w:ascii="Times New Roman" w:hAnsi="Times New Roman"/>
                <w:sz w:val="24"/>
                <w:szCs w:val="24"/>
              </w:rPr>
            </w:pPr>
            <w:r>
              <w:rPr>
                <w:rFonts w:ascii="Times New Roman" w:hAnsi="Times New Roman" w:hint="eastAsia"/>
                <w:sz w:val="24"/>
                <w:szCs w:val="24"/>
              </w:rPr>
              <w:t>董事长</w:t>
            </w:r>
            <w:r>
              <w:rPr>
                <w:rFonts w:ascii="Times New Roman" w:hAnsi="Times New Roman" w:hint="eastAsia"/>
                <w:sz w:val="24"/>
                <w:szCs w:val="24"/>
              </w:rPr>
              <w:t xml:space="preserve"> </w:t>
            </w:r>
            <w:r>
              <w:rPr>
                <w:rFonts w:ascii="Times New Roman" w:hAnsi="Times New Roman" w:hint="eastAsia"/>
                <w:sz w:val="24"/>
                <w:szCs w:val="24"/>
              </w:rPr>
              <w:t>熊旭晴</w:t>
            </w:r>
            <w:r>
              <w:rPr>
                <w:rFonts w:ascii="Times New Roman" w:hAnsi="Times New Roman" w:hint="eastAsia"/>
                <w:sz w:val="24"/>
                <w:szCs w:val="24"/>
              </w:rPr>
              <w:t xml:space="preserve"> </w:t>
            </w:r>
          </w:p>
          <w:p w14:paraId="734CB483" w14:textId="77777777" w:rsidR="00350817" w:rsidRDefault="00C5456E">
            <w:pPr>
              <w:adjustRightInd w:val="0"/>
              <w:snapToGrid w:val="0"/>
              <w:spacing w:line="348" w:lineRule="auto"/>
              <w:rPr>
                <w:rFonts w:ascii="Times New Roman" w:hAnsi="Times New Roman"/>
                <w:sz w:val="24"/>
                <w:szCs w:val="24"/>
              </w:rPr>
            </w:pPr>
            <w:r>
              <w:rPr>
                <w:rFonts w:ascii="Times New Roman" w:hAnsi="Times New Roman" w:hint="eastAsia"/>
                <w:sz w:val="24"/>
                <w:szCs w:val="24"/>
              </w:rPr>
              <w:t>董事会秘书</w:t>
            </w:r>
            <w:r>
              <w:rPr>
                <w:rFonts w:ascii="Times New Roman" w:hAnsi="Times New Roman" w:hint="eastAsia"/>
                <w:sz w:val="24"/>
                <w:szCs w:val="24"/>
              </w:rPr>
              <w:t xml:space="preserve"> </w:t>
            </w:r>
            <w:r>
              <w:rPr>
                <w:rFonts w:ascii="Times New Roman" w:hAnsi="Times New Roman" w:hint="eastAsia"/>
                <w:sz w:val="24"/>
                <w:szCs w:val="24"/>
              </w:rPr>
              <w:t>何骥</w:t>
            </w:r>
            <w:r>
              <w:rPr>
                <w:rFonts w:ascii="Times New Roman" w:hAnsi="Times New Roman" w:hint="eastAsia"/>
                <w:sz w:val="24"/>
                <w:szCs w:val="24"/>
              </w:rPr>
              <w:t xml:space="preserve"> </w:t>
            </w:r>
          </w:p>
        </w:tc>
      </w:tr>
      <w:tr w:rsidR="00350817" w14:paraId="403D1DAA" w14:textId="77777777">
        <w:trPr>
          <w:trHeight w:val="981"/>
        </w:trPr>
        <w:tc>
          <w:tcPr>
            <w:tcW w:w="1526" w:type="dxa"/>
            <w:vAlign w:val="center"/>
          </w:tcPr>
          <w:p w14:paraId="37F77680" w14:textId="77777777" w:rsidR="00350817" w:rsidRDefault="00C5456E">
            <w:pPr>
              <w:pStyle w:val="New0"/>
              <w:adjustRightInd w:val="0"/>
              <w:snapToGrid w:val="0"/>
              <w:spacing w:line="348" w:lineRule="auto"/>
              <w:rPr>
                <w:b/>
                <w:bCs/>
                <w:iCs/>
                <w:sz w:val="24"/>
              </w:rPr>
            </w:pPr>
            <w:r>
              <w:rPr>
                <w:rFonts w:hint="eastAsia"/>
                <w:b/>
                <w:bCs/>
                <w:iCs/>
                <w:sz w:val="24"/>
              </w:rPr>
              <w:t>投资者关系活动主要内容介绍</w:t>
            </w:r>
          </w:p>
        </w:tc>
        <w:tc>
          <w:tcPr>
            <w:tcW w:w="6996" w:type="dxa"/>
          </w:tcPr>
          <w:p w14:paraId="216EE7F2" w14:textId="77777777" w:rsidR="00350817" w:rsidRDefault="00C5456E">
            <w:pPr>
              <w:adjustRightInd w:val="0"/>
              <w:snapToGrid w:val="0"/>
              <w:spacing w:line="336" w:lineRule="auto"/>
              <w:ind w:firstLineChars="200" w:firstLine="480"/>
              <w:rPr>
                <w:rFonts w:ascii="宋体" w:hAnsi="宋体" w:cs="宋体"/>
                <w:sz w:val="24"/>
                <w:szCs w:val="24"/>
              </w:rPr>
            </w:pPr>
            <w:r>
              <w:rPr>
                <w:rFonts w:ascii="宋体" w:hAnsi="宋体" w:cs="宋体" w:hint="eastAsia"/>
                <w:sz w:val="24"/>
                <w:szCs w:val="24"/>
              </w:rPr>
              <w:t>首先向投资者简要介绍公司</w:t>
            </w:r>
            <w:r>
              <w:rPr>
                <w:rFonts w:ascii="宋体" w:hAnsi="宋体" w:cs="宋体" w:hint="eastAsia"/>
                <w:sz w:val="24"/>
                <w:szCs w:val="24"/>
              </w:rPr>
              <w:t>2024</w:t>
            </w:r>
            <w:r>
              <w:rPr>
                <w:rFonts w:ascii="宋体" w:hAnsi="宋体" w:cs="宋体" w:hint="eastAsia"/>
                <w:sz w:val="24"/>
                <w:szCs w:val="24"/>
              </w:rPr>
              <w:t>年上半年度经营业绩情况，民爆业务、军工新材料业务、轨交自动化及信息化业务情况，随后针对投资者关心的重点问题作了具体交流如下：</w:t>
            </w:r>
          </w:p>
          <w:p w14:paraId="6F08D8C5" w14:textId="77777777" w:rsidR="00350817" w:rsidRDefault="00C5456E">
            <w:pPr>
              <w:adjustRightInd w:val="0"/>
              <w:snapToGrid w:val="0"/>
              <w:spacing w:line="336"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、公司上半年民爆一体化业务发展情况？</w:t>
            </w:r>
          </w:p>
          <w:p w14:paraId="00F92543" w14:textId="77777777" w:rsidR="00350817" w:rsidRDefault="00C5456E">
            <w:pPr>
              <w:adjustRightInd w:val="0"/>
              <w:snapToGrid w:val="0"/>
              <w:spacing w:line="336" w:lineRule="auto"/>
              <w:ind w:firstLineChars="200" w:firstLine="480"/>
              <w:rPr>
                <w:rFonts w:ascii="宋体" w:hAnsi="宋体" w:cs="宋体"/>
                <w:sz w:val="24"/>
                <w:szCs w:val="24"/>
              </w:rPr>
            </w:pPr>
            <w:r>
              <w:rPr>
                <w:rFonts w:ascii="宋体" w:hAnsi="宋体" w:cs="宋体" w:hint="eastAsia"/>
                <w:sz w:val="24"/>
                <w:szCs w:val="24"/>
              </w:rPr>
              <w:t>答：</w:t>
            </w:r>
            <w:r>
              <w:rPr>
                <w:rFonts w:ascii="宋体" w:hAnsi="宋体" w:cs="宋体" w:hint="eastAsia"/>
                <w:sz w:val="24"/>
                <w:szCs w:val="24"/>
              </w:rPr>
              <w:t>2024</w:t>
            </w:r>
            <w:r>
              <w:rPr>
                <w:rFonts w:ascii="宋体" w:hAnsi="宋体" w:cs="宋体" w:hint="eastAsia"/>
                <w:sz w:val="24"/>
                <w:szCs w:val="24"/>
              </w:rPr>
              <w:t>年上半年公司销售工业包装炸药</w:t>
            </w:r>
            <w:r>
              <w:rPr>
                <w:rFonts w:ascii="宋体" w:hAnsi="宋体" w:cs="宋体" w:hint="eastAsia"/>
                <w:sz w:val="24"/>
                <w:szCs w:val="24"/>
              </w:rPr>
              <w:t>54,084.99</w:t>
            </w:r>
            <w:r>
              <w:rPr>
                <w:rFonts w:ascii="宋体" w:hAnsi="宋体" w:cs="宋体" w:hint="eastAsia"/>
                <w:sz w:val="24"/>
                <w:szCs w:val="24"/>
              </w:rPr>
              <w:t>吨，营业收入</w:t>
            </w:r>
            <w:r>
              <w:rPr>
                <w:rFonts w:ascii="宋体" w:hAnsi="宋体" w:cs="宋体" w:hint="eastAsia"/>
                <w:sz w:val="24"/>
                <w:szCs w:val="24"/>
              </w:rPr>
              <w:t xml:space="preserve">33,917.49 </w:t>
            </w:r>
            <w:r>
              <w:rPr>
                <w:rFonts w:ascii="宋体" w:hAnsi="宋体" w:cs="宋体" w:hint="eastAsia"/>
                <w:sz w:val="24"/>
                <w:szCs w:val="24"/>
              </w:rPr>
              <w:t>万元；销售电子雷管</w:t>
            </w:r>
            <w:r>
              <w:rPr>
                <w:rFonts w:ascii="宋体" w:hAnsi="宋体" w:cs="宋体" w:hint="eastAsia"/>
                <w:sz w:val="24"/>
                <w:szCs w:val="24"/>
              </w:rPr>
              <w:t>1,286.52</w:t>
            </w:r>
            <w:r>
              <w:rPr>
                <w:rFonts w:ascii="宋体" w:hAnsi="宋体" w:cs="宋体" w:hint="eastAsia"/>
                <w:sz w:val="24"/>
                <w:szCs w:val="24"/>
              </w:rPr>
              <w:t>万发，营业收入</w:t>
            </w:r>
            <w:r>
              <w:rPr>
                <w:rFonts w:ascii="宋体" w:hAnsi="宋体" w:cs="宋体" w:hint="eastAsia"/>
                <w:sz w:val="24"/>
                <w:szCs w:val="24"/>
              </w:rPr>
              <w:t>17,959.50</w:t>
            </w:r>
            <w:r>
              <w:rPr>
                <w:rFonts w:ascii="宋体" w:hAnsi="宋体" w:cs="宋体" w:hint="eastAsia"/>
                <w:sz w:val="24"/>
                <w:szCs w:val="24"/>
              </w:rPr>
              <w:t>万元；爆破一体化服务收入</w:t>
            </w:r>
            <w:r>
              <w:rPr>
                <w:rFonts w:ascii="宋体" w:hAnsi="宋体" w:cs="宋体" w:hint="eastAsia"/>
                <w:sz w:val="24"/>
                <w:szCs w:val="24"/>
              </w:rPr>
              <w:t>21,349.51</w:t>
            </w:r>
            <w:r>
              <w:rPr>
                <w:rFonts w:ascii="宋体" w:hAnsi="宋体" w:cs="宋体" w:hint="eastAsia"/>
                <w:sz w:val="24"/>
                <w:szCs w:val="24"/>
              </w:rPr>
              <w:t>万元；民爆一体化业务累计实现利润总额</w:t>
            </w:r>
            <w:r>
              <w:rPr>
                <w:rFonts w:ascii="宋体" w:hAnsi="宋体" w:cs="宋体" w:hint="eastAsia"/>
                <w:sz w:val="24"/>
                <w:szCs w:val="24"/>
              </w:rPr>
              <w:t>16,633</w:t>
            </w:r>
            <w:r>
              <w:rPr>
                <w:rFonts w:ascii="宋体" w:hAnsi="宋体" w:cs="宋体" w:hint="eastAsia"/>
                <w:sz w:val="24"/>
                <w:szCs w:val="24"/>
              </w:rPr>
              <w:t>万元，较上年同期增加</w:t>
            </w:r>
            <w:r>
              <w:rPr>
                <w:rFonts w:ascii="宋体" w:hAnsi="宋体" w:cs="宋体" w:hint="eastAsia"/>
                <w:sz w:val="24"/>
                <w:szCs w:val="24"/>
              </w:rPr>
              <w:t>8.88%</w:t>
            </w:r>
            <w:r>
              <w:rPr>
                <w:rFonts w:ascii="宋体" w:hAnsi="宋体" w:cs="宋体" w:hint="eastAsia"/>
                <w:sz w:val="24"/>
                <w:szCs w:val="24"/>
              </w:rPr>
              <w:t>。</w:t>
            </w:r>
            <w:r>
              <w:rPr>
                <w:rFonts w:ascii="宋体" w:hAnsi="宋体" w:cs="宋体" w:hint="eastAsia"/>
                <w:sz w:val="24"/>
                <w:szCs w:val="24"/>
              </w:rPr>
              <w:lastRenderedPageBreak/>
              <w:t>未来公司将不断加强民爆产品销售推广，进一步扩大市场份额。</w:t>
            </w:r>
          </w:p>
          <w:p w14:paraId="36D2ECC3" w14:textId="77777777" w:rsidR="00350817" w:rsidRDefault="00350817">
            <w:pPr>
              <w:adjustRightInd w:val="0"/>
              <w:snapToGrid w:val="0"/>
              <w:spacing w:line="336" w:lineRule="auto"/>
              <w:ind w:firstLineChars="200" w:firstLine="480"/>
              <w:rPr>
                <w:rFonts w:ascii="宋体" w:hAnsi="宋体" w:cs="宋体"/>
                <w:sz w:val="24"/>
                <w:szCs w:val="24"/>
              </w:rPr>
            </w:pPr>
          </w:p>
          <w:p w14:paraId="2F08AF39" w14:textId="77777777" w:rsidR="00350817" w:rsidRDefault="00C5456E">
            <w:pPr>
              <w:adjustRightInd w:val="0"/>
              <w:snapToGrid w:val="0"/>
              <w:spacing w:line="336"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、工信部鼓励民爆行业开展并购重组，公司是否有相关计划？</w:t>
            </w:r>
          </w:p>
          <w:p w14:paraId="76BCB262" w14:textId="77777777" w:rsidR="00350817" w:rsidRDefault="00C5456E">
            <w:pPr>
              <w:adjustRightInd w:val="0"/>
              <w:snapToGrid w:val="0"/>
              <w:spacing w:line="336" w:lineRule="auto"/>
              <w:ind w:firstLineChars="200" w:firstLine="480"/>
              <w:rPr>
                <w:rFonts w:ascii="宋体" w:hAnsi="宋体" w:cs="宋体"/>
                <w:sz w:val="24"/>
                <w:szCs w:val="24"/>
              </w:rPr>
            </w:pPr>
            <w:r>
              <w:rPr>
                <w:rFonts w:ascii="宋体" w:hAnsi="宋体" w:cs="宋体" w:hint="eastAsia"/>
                <w:sz w:val="24"/>
                <w:szCs w:val="24"/>
              </w:rPr>
              <w:t>答：公司高度重视民爆行业发展规划和发展趋势，积极响应</w:t>
            </w:r>
          </w:p>
          <w:p w14:paraId="311889B9" w14:textId="77777777" w:rsidR="00350817" w:rsidRDefault="00C5456E">
            <w:pPr>
              <w:adjustRightInd w:val="0"/>
              <w:snapToGrid w:val="0"/>
              <w:spacing w:line="336" w:lineRule="auto"/>
              <w:rPr>
                <w:rFonts w:ascii="宋体" w:hAnsi="宋体" w:cs="宋体"/>
                <w:sz w:val="24"/>
                <w:szCs w:val="24"/>
              </w:rPr>
            </w:pPr>
            <w:r>
              <w:rPr>
                <w:rFonts w:ascii="宋体" w:hAnsi="宋体" w:cs="宋体" w:hint="eastAsia"/>
                <w:sz w:val="24"/>
                <w:szCs w:val="24"/>
              </w:rPr>
              <w:t>《“十四五”民用爆炸物品行业安全发展规划》要求，积极落实工信部关于</w:t>
            </w:r>
            <w:r>
              <w:rPr>
                <w:rFonts w:ascii="宋体" w:hAnsi="宋体" w:cs="宋体" w:hint="eastAsia"/>
                <w:sz w:val="24"/>
                <w:szCs w:val="24"/>
              </w:rPr>
              <w:t>民爆行业并购重组的政策指导要求。未来公司将充分发挥国有上市公司的平台优势，围绕主营业务、加强产业链延伸和产业协同开展并购，增加民爆物品生产许可，紧抓民爆行业并购机会，推动优质标的资产的并购整合，实现产能适度扩张，推动产能结构与区域市场合理布局，拓宽公司盈利增长点。</w:t>
            </w:r>
          </w:p>
          <w:p w14:paraId="104BC17B" w14:textId="77777777" w:rsidR="00350817" w:rsidRDefault="00350817">
            <w:pPr>
              <w:adjustRightInd w:val="0"/>
              <w:snapToGrid w:val="0"/>
              <w:spacing w:line="336" w:lineRule="auto"/>
              <w:ind w:firstLineChars="200" w:firstLine="480"/>
              <w:rPr>
                <w:rFonts w:ascii="宋体" w:hAnsi="宋体" w:cs="宋体"/>
                <w:sz w:val="24"/>
                <w:szCs w:val="24"/>
              </w:rPr>
            </w:pPr>
          </w:p>
          <w:p w14:paraId="4E733610" w14:textId="77777777" w:rsidR="00350817" w:rsidRDefault="00C5456E">
            <w:pPr>
              <w:adjustRightInd w:val="0"/>
              <w:snapToGrid w:val="0"/>
              <w:spacing w:line="336"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、设备更新政策对公司轨交业务有无影响？</w:t>
            </w:r>
          </w:p>
          <w:p w14:paraId="3DAE75C0" w14:textId="77777777" w:rsidR="00350817" w:rsidRDefault="00C5456E">
            <w:pPr>
              <w:adjustRightInd w:val="0"/>
              <w:snapToGrid w:val="0"/>
              <w:spacing w:line="336" w:lineRule="auto"/>
              <w:ind w:firstLineChars="200" w:firstLine="480"/>
              <w:rPr>
                <w:rFonts w:ascii="宋体" w:hAnsi="宋体" w:cs="宋体"/>
                <w:sz w:val="24"/>
                <w:szCs w:val="24"/>
              </w:rPr>
            </w:pPr>
            <w:r>
              <w:rPr>
                <w:rFonts w:ascii="宋体" w:hAnsi="宋体" w:cs="宋体" w:hint="eastAsia"/>
                <w:sz w:val="24"/>
                <w:szCs w:val="24"/>
              </w:rPr>
              <w:t>答：随着轨道交通网络的扩展和升级，对运维设备的需求持续增长。设备更新政策的实施将进一步激发市场需求，为公司控股子公司太格时代提供更多的业务机会。太格时代将紧跟设备更新改造政策，积极把握市场机遇，聚焦轨交</w:t>
            </w:r>
            <w:r>
              <w:rPr>
                <w:rFonts w:ascii="宋体" w:hAnsi="宋体" w:cs="宋体" w:hint="eastAsia"/>
                <w:sz w:val="24"/>
                <w:szCs w:val="24"/>
              </w:rPr>
              <w:t>行业装备更新迭代、改造、维保等领域需求，向智慧运维、智慧检测等纵向产业链延伸，持续加大智能化、信息化、数字化产品研发和市场推广力度，推进公司产品向高端化、智能化、绿色化发展，从多维度迎接产业升级机遇，满足轨道交通行业对设备更新和升级的需求。</w:t>
            </w:r>
          </w:p>
          <w:p w14:paraId="2993232B" w14:textId="77777777" w:rsidR="00350817" w:rsidRDefault="00350817">
            <w:pPr>
              <w:adjustRightInd w:val="0"/>
              <w:snapToGrid w:val="0"/>
              <w:spacing w:line="336" w:lineRule="auto"/>
              <w:ind w:firstLineChars="200" w:firstLine="480"/>
              <w:rPr>
                <w:rFonts w:ascii="宋体" w:hAnsi="宋体" w:cs="宋体"/>
                <w:sz w:val="24"/>
                <w:szCs w:val="24"/>
              </w:rPr>
            </w:pPr>
          </w:p>
          <w:p w14:paraId="433CCF9A" w14:textId="77777777" w:rsidR="00350817" w:rsidRDefault="00C5456E">
            <w:pPr>
              <w:adjustRightInd w:val="0"/>
              <w:snapToGrid w:val="0"/>
              <w:spacing w:line="336" w:lineRule="auto"/>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、公司军工新材料业务发展情况？</w:t>
            </w:r>
          </w:p>
          <w:p w14:paraId="32F05B68" w14:textId="77777777" w:rsidR="00350817" w:rsidRDefault="00C5456E">
            <w:pPr>
              <w:adjustRightInd w:val="0"/>
              <w:snapToGrid w:val="0"/>
              <w:spacing w:line="336" w:lineRule="auto"/>
              <w:ind w:firstLineChars="200" w:firstLine="480"/>
              <w:rPr>
                <w:rFonts w:ascii="宋体" w:hAnsi="宋体" w:cs="宋体"/>
                <w:sz w:val="24"/>
                <w:szCs w:val="24"/>
              </w:rPr>
            </w:pPr>
            <w:r>
              <w:rPr>
                <w:rFonts w:ascii="宋体" w:hAnsi="宋体" w:cs="宋体" w:hint="eastAsia"/>
                <w:sz w:val="24"/>
                <w:szCs w:val="24"/>
              </w:rPr>
              <w:t>答：</w:t>
            </w:r>
            <w:r>
              <w:rPr>
                <w:rFonts w:ascii="宋体" w:hAnsi="宋体" w:cs="宋体" w:hint="eastAsia"/>
                <w:sz w:val="24"/>
                <w:szCs w:val="24"/>
              </w:rPr>
              <w:t>2024</w:t>
            </w:r>
            <w:r>
              <w:rPr>
                <w:rFonts w:ascii="宋体" w:hAnsi="宋体" w:cs="宋体" w:hint="eastAsia"/>
                <w:sz w:val="24"/>
                <w:szCs w:val="24"/>
              </w:rPr>
              <w:t>年上半年，公司军工新材料业务新签合同额近</w:t>
            </w:r>
            <w:r>
              <w:rPr>
                <w:rFonts w:ascii="宋体" w:hAnsi="宋体" w:cs="宋体" w:hint="eastAsia"/>
                <w:sz w:val="24"/>
                <w:szCs w:val="24"/>
              </w:rPr>
              <w:t>1</w:t>
            </w:r>
            <w:r>
              <w:rPr>
                <w:rFonts w:ascii="宋体" w:hAnsi="宋体" w:cs="宋体" w:hint="eastAsia"/>
                <w:sz w:val="24"/>
                <w:szCs w:val="24"/>
              </w:rPr>
              <w:t>亿元，其中钨基新材料和丝团产品新签合同额</w:t>
            </w:r>
            <w:r>
              <w:rPr>
                <w:rFonts w:ascii="宋体" w:hAnsi="宋体" w:cs="宋体" w:hint="eastAsia"/>
                <w:sz w:val="24"/>
                <w:szCs w:val="24"/>
              </w:rPr>
              <w:t>4,096</w:t>
            </w:r>
            <w:r>
              <w:rPr>
                <w:rFonts w:ascii="宋体" w:hAnsi="宋体" w:cs="宋体" w:hint="eastAsia"/>
                <w:sz w:val="24"/>
                <w:szCs w:val="24"/>
              </w:rPr>
              <w:t>万元，小型固体火箭推进器产品新签合同额</w:t>
            </w:r>
            <w:r>
              <w:rPr>
                <w:rFonts w:ascii="宋体" w:hAnsi="宋体" w:cs="宋体" w:hint="eastAsia"/>
                <w:sz w:val="24"/>
                <w:szCs w:val="24"/>
              </w:rPr>
              <w:t>2,600</w:t>
            </w:r>
            <w:r>
              <w:rPr>
                <w:rFonts w:ascii="宋体" w:hAnsi="宋体" w:cs="宋体" w:hint="eastAsia"/>
                <w:sz w:val="24"/>
                <w:szCs w:val="24"/>
              </w:rPr>
              <w:t>万元，军事仿真平台新签合同额</w:t>
            </w:r>
            <w:r>
              <w:rPr>
                <w:rFonts w:ascii="宋体" w:hAnsi="宋体" w:cs="宋体" w:hint="eastAsia"/>
                <w:sz w:val="24"/>
                <w:szCs w:val="24"/>
              </w:rPr>
              <w:t>3,238</w:t>
            </w:r>
            <w:r>
              <w:rPr>
                <w:rFonts w:ascii="宋体" w:hAnsi="宋体" w:cs="宋体" w:hint="eastAsia"/>
                <w:sz w:val="24"/>
                <w:szCs w:val="24"/>
              </w:rPr>
              <w:t>万元。控股子公司澳科新材专注于钨合金新材料研</w:t>
            </w:r>
            <w:r>
              <w:rPr>
                <w:rFonts w:ascii="宋体" w:hAnsi="宋体" w:cs="宋体" w:hint="eastAsia"/>
                <w:sz w:val="24"/>
                <w:szCs w:val="24"/>
              </w:rPr>
              <w:t>发与推广，上半年加大产品交付力度，提前完成了</w:t>
            </w:r>
            <w:r>
              <w:rPr>
                <w:rFonts w:ascii="宋体" w:hAnsi="宋体" w:cs="宋体" w:hint="eastAsia"/>
                <w:sz w:val="24"/>
                <w:szCs w:val="24"/>
              </w:rPr>
              <w:t>AK06</w:t>
            </w:r>
            <w:r>
              <w:rPr>
                <w:rFonts w:ascii="宋体" w:hAnsi="宋体" w:cs="宋体" w:hint="eastAsia"/>
                <w:sz w:val="24"/>
                <w:szCs w:val="24"/>
              </w:rPr>
              <w:t>产品全年生产任务和</w:t>
            </w:r>
            <w:r>
              <w:rPr>
                <w:rFonts w:ascii="宋体" w:hAnsi="宋体" w:cs="宋体" w:hint="eastAsia"/>
                <w:sz w:val="24"/>
                <w:szCs w:val="24"/>
              </w:rPr>
              <w:t>AK17</w:t>
            </w:r>
            <w:r>
              <w:rPr>
                <w:rFonts w:ascii="宋体" w:hAnsi="宋体" w:cs="宋体" w:hint="eastAsia"/>
                <w:sz w:val="24"/>
                <w:szCs w:val="24"/>
              </w:rPr>
              <w:t>、</w:t>
            </w:r>
            <w:r>
              <w:rPr>
                <w:rFonts w:ascii="宋体" w:hAnsi="宋体" w:cs="宋体" w:hint="eastAsia"/>
                <w:sz w:val="24"/>
                <w:szCs w:val="24"/>
              </w:rPr>
              <w:t>AK18</w:t>
            </w:r>
            <w:r>
              <w:rPr>
                <w:rFonts w:ascii="宋体" w:hAnsi="宋体" w:cs="宋体" w:hint="eastAsia"/>
                <w:sz w:val="24"/>
                <w:szCs w:val="24"/>
              </w:rPr>
              <w:t>产品的订单任务，</w:t>
            </w:r>
            <w:r>
              <w:rPr>
                <w:rFonts w:ascii="宋体" w:hAnsi="宋体" w:cs="宋体" w:hint="eastAsia"/>
                <w:sz w:val="24"/>
                <w:szCs w:val="24"/>
              </w:rPr>
              <w:t>AK59</w:t>
            </w:r>
            <w:r>
              <w:rPr>
                <w:rFonts w:ascii="宋体" w:hAnsi="宋体" w:cs="宋体" w:hint="eastAsia"/>
                <w:sz w:val="24"/>
                <w:szCs w:val="24"/>
              </w:rPr>
              <w:t>项目完成动态飞行试验，初步验证产品性能指标符合战技要求，即将进入研制阶段。</w:t>
            </w:r>
          </w:p>
          <w:p w14:paraId="76708689" w14:textId="1D3AB4F9" w:rsidR="00350817" w:rsidRDefault="00C5456E">
            <w:pPr>
              <w:adjustRightInd w:val="0"/>
              <w:snapToGrid w:val="0"/>
              <w:spacing w:line="336" w:lineRule="auto"/>
              <w:ind w:firstLineChars="200" w:firstLine="480"/>
              <w:rPr>
                <w:rFonts w:ascii="宋体" w:hAnsi="宋体" w:cs="宋体"/>
                <w:sz w:val="24"/>
                <w:szCs w:val="24"/>
              </w:rPr>
            </w:pPr>
            <w:r>
              <w:rPr>
                <w:rFonts w:ascii="宋体" w:hAnsi="宋体" w:cs="宋体" w:hint="eastAsia"/>
                <w:sz w:val="24"/>
                <w:szCs w:val="24"/>
              </w:rPr>
              <w:t>全资子公司新余国泰成立防务事业部，已取得武器装备质量</w:t>
            </w:r>
            <w:r>
              <w:rPr>
                <w:rFonts w:ascii="宋体" w:hAnsi="宋体" w:cs="宋体" w:hint="eastAsia"/>
                <w:sz w:val="24"/>
                <w:szCs w:val="24"/>
              </w:rPr>
              <w:lastRenderedPageBreak/>
              <w:t>体系认证</w:t>
            </w:r>
            <w:r>
              <w:rPr>
                <w:rFonts w:ascii="宋体" w:hAnsi="宋体" w:cs="宋体" w:hint="eastAsia"/>
                <w:sz w:val="24"/>
                <w:szCs w:val="24"/>
              </w:rPr>
              <w:t>及二级保密资质</w:t>
            </w:r>
            <w:r>
              <w:rPr>
                <w:rFonts w:ascii="宋体" w:hAnsi="宋体" w:cs="宋体" w:hint="eastAsia"/>
                <w:sz w:val="24"/>
                <w:szCs w:val="24"/>
              </w:rPr>
              <w:t>证书，</w:t>
            </w:r>
            <w:r>
              <w:rPr>
                <w:rFonts w:ascii="宋体" w:hAnsi="宋体" w:cs="宋体" w:hint="eastAsia"/>
                <w:sz w:val="24"/>
                <w:szCs w:val="24"/>
              </w:rPr>
              <w:t>截至目前</w:t>
            </w:r>
            <w:r>
              <w:rPr>
                <w:rFonts w:ascii="宋体" w:hAnsi="宋体" w:cs="宋体" w:hint="eastAsia"/>
                <w:sz w:val="24"/>
                <w:szCs w:val="24"/>
              </w:rPr>
              <w:t>其生产的小型固体火箭推进器业务新增</w:t>
            </w:r>
            <w:r>
              <w:rPr>
                <w:rFonts w:ascii="宋体" w:hAnsi="宋体" w:cs="宋体" w:hint="eastAsia"/>
                <w:sz w:val="24"/>
                <w:szCs w:val="24"/>
              </w:rPr>
              <w:t>11</w:t>
            </w:r>
            <w:r>
              <w:rPr>
                <w:rFonts w:ascii="宋体" w:hAnsi="宋体" w:cs="宋体" w:hint="eastAsia"/>
                <w:sz w:val="24"/>
                <w:szCs w:val="24"/>
              </w:rPr>
              <w:t>家优质客户，新增订单约</w:t>
            </w:r>
            <w:r>
              <w:rPr>
                <w:rFonts w:ascii="宋体" w:hAnsi="宋体" w:cs="宋体" w:hint="eastAsia"/>
                <w:sz w:val="24"/>
                <w:szCs w:val="24"/>
              </w:rPr>
              <w:t>3</w:t>
            </w:r>
            <w:r>
              <w:rPr>
                <w:rFonts w:ascii="宋体" w:hAnsi="宋体" w:cs="宋体" w:hint="eastAsia"/>
                <w:sz w:val="24"/>
                <w:szCs w:val="24"/>
              </w:rPr>
              <w:t>,</w:t>
            </w:r>
            <w:r>
              <w:rPr>
                <w:rFonts w:ascii="宋体" w:hAnsi="宋体" w:cs="宋体" w:hint="eastAsia"/>
                <w:sz w:val="24"/>
                <w:szCs w:val="24"/>
              </w:rPr>
              <w:t>500</w:t>
            </w:r>
            <w:r>
              <w:rPr>
                <w:rFonts w:ascii="宋体" w:hAnsi="宋体" w:cs="宋体" w:hint="eastAsia"/>
                <w:sz w:val="24"/>
                <w:szCs w:val="24"/>
              </w:rPr>
              <w:t>发。</w:t>
            </w:r>
          </w:p>
          <w:p w14:paraId="36F11FEB" w14:textId="77777777" w:rsidR="00350817" w:rsidRDefault="00C5456E">
            <w:pPr>
              <w:adjustRightInd w:val="0"/>
              <w:snapToGrid w:val="0"/>
              <w:spacing w:line="336" w:lineRule="auto"/>
              <w:ind w:firstLineChars="200" w:firstLine="480"/>
              <w:rPr>
                <w:rFonts w:ascii="宋体" w:hAnsi="宋体" w:cs="宋体"/>
                <w:sz w:val="24"/>
                <w:szCs w:val="24"/>
              </w:rPr>
            </w:pPr>
            <w:r>
              <w:rPr>
                <w:rFonts w:ascii="宋体" w:hAnsi="宋体" w:cs="宋体" w:hint="eastAsia"/>
                <w:sz w:val="24"/>
                <w:szCs w:val="24"/>
              </w:rPr>
              <w:t>下属子公司拓泓新材和三石有色生产的钽铌氧化物，经过下游火法冶金加工后大多进入军工航天、特种合金等领域。上半年拓泓新材抢抓钽铌产品市场机遇，大力增产拓销</w:t>
            </w:r>
            <w:r>
              <w:rPr>
                <w:rFonts w:ascii="宋体" w:hAnsi="宋体" w:cs="宋体" w:hint="eastAsia"/>
                <w:sz w:val="24"/>
                <w:szCs w:val="24"/>
              </w:rPr>
              <w:t>，上半年实现营业收入</w:t>
            </w:r>
            <w:r>
              <w:rPr>
                <w:rFonts w:ascii="宋体" w:hAnsi="宋体" w:cs="宋体" w:hint="eastAsia"/>
                <w:sz w:val="24"/>
                <w:szCs w:val="24"/>
              </w:rPr>
              <w:t>10,946</w:t>
            </w:r>
            <w:r>
              <w:rPr>
                <w:rFonts w:ascii="宋体" w:hAnsi="宋体" w:cs="宋体" w:hint="eastAsia"/>
                <w:sz w:val="24"/>
                <w:szCs w:val="24"/>
              </w:rPr>
              <w:t>万元，同比增长</w:t>
            </w:r>
            <w:r>
              <w:rPr>
                <w:rFonts w:ascii="宋体" w:hAnsi="宋体" w:cs="宋体" w:hint="eastAsia"/>
                <w:sz w:val="24"/>
                <w:szCs w:val="24"/>
              </w:rPr>
              <w:t>35%</w:t>
            </w:r>
            <w:r>
              <w:rPr>
                <w:rFonts w:ascii="宋体" w:hAnsi="宋体" w:cs="宋体" w:hint="eastAsia"/>
                <w:sz w:val="24"/>
                <w:szCs w:val="24"/>
              </w:rPr>
              <w:t>。</w:t>
            </w:r>
          </w:p>
          <w:p w14:paraId="6FD97254" w14:textId="77777777" w:rsidR="00350817" w:rsidRDefault="00350817">
            <w:pPr>
              <w:adjustRightInd w:val="0"/>
              <w:snapToGrid w:val="0"/>
              <w:spacing w:line="336" w:lineRule="auto"/>
              <w:ind w:firstLineChars="200" w:firstLine="480"/>
              <w:rPr>
                <w:rFonts w:ascii="宋体" w:hAnsi="宋体" w:cs="宋体"/>
                <w:sz w:val="24"/>
                <w:szCs w:val="24"/>
              </w:rPr>
            </w:pPr>
          </w:p>
          <w:p w14:paraId="39A88177" w14:textId="77777777" w:rsidR="00350817" w:rsidRDefault="00C5456E">
            <w:pPr>
              <w:adjustRightInd w:val="0"/>
              <w:snapToGrid w:val="0"/>
              <w:spacing w:line="336" w:lineRule="auto"/>
              <w:ind w:firstLineChars="200"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、公司含能材料项目建设最新进展情况如何？</w:t>
            </w:r>
          </w:p>
          <w:p w14:paraId="46955503" w14:textId="75B5596F" w:rsidR="00350817" w:rsidRDefault="00C5456E">
            <w:pPr>
              <w:adjustRightInd w:val="0"/>
              <w:snapToGrid w:val="0"/>
              <w:spacing w:line="336" w:lineRule="auto"/>
              <w:ind w:firstLineChars="200" w:firstLine="480"/>
              <w:rPr>
                <w:rFonts w:ascii="宋体" w:hAnsi="宋体" w:cs="宋体"/>
                <w:sz w:val="24"/>
                <w:szCs w:val="24"/>
              </w:rPr>
            </w:pPr>
            <w:r>
              <w:rPr>
                <w:rFonts w:ascii="宋体" w:hAnsi="宋体" w:cs="宋体" w:hint="eastAsia"/>
                <w:sz w:val="24"/>
                <w:szCs w:val="24"/>
              </w:rPr>
              <w:t>公司含能材料项目于今年</w:t>
            </w:r>
            <w:r>
              <w:rPr>
                <w:rFonts w:ascii="宋体" w:hAnsi="宋体" w:cs="宋体" w:hint="eastAsia"/>
                <w:sz w:val="24"/>
                <w:szCs w:val="24"/>
              </w:rPr>
              <w:t>5</w:t>
            </w:r>
            <w:r>
              <w:rPr>
                <w:rFonts w:ascii="宋体" w:hAnsi="宋体" w:cs="宋体" w:hint="eastAsia"/>
                <w:sz w:val="24"/>
                <w:szCs w:val="24"/>
              </w:rPr>
              <w:t>月初取得国家有关部门核准批文后，</w:t>
            </w:r>
            <w:r>
              <w:rPr>
                <w:rFonts w:ascii="宋体" w:hAnsi="宋体" w:cs="宋体" w:hint="eastAsia"/>
                <w:sz w:val="24"/>
                <w:szCs w:val="24"/>
              </w:rPr>
              <w:t>6</w:t>
            </w:r>
            <w:r>
              <w:rPr>
                <w:rFonts w:ascii="宋体" w:hAnsi="宋体" w:cs="宋体" w:hint="eastAsia"/>
                <w:sz w:val="24"/>
                <w:szCs w:val="24"/>
              </w:rPr>
              <w:t>月</w:t>
            </w:r>
            <w:r>
              <w:rPr>
                <w:rFonts w:ascii="宋体" w:hAnsi="宋体" w:cs="宋体" w:hint="eastAsia"/>
                <w:sz w:val="24"/>
                <w:szCs w:val="24"/>
              </w:rPr>
              <w:t>19</w:t>
            </w:r>
            <w:r>
              <w:rPr>
                <w:rFonts w:ascii="宋体" w:hAnsi="宋体" w:cs="宋体" w:hint="eastAsia"/>
                <w:sz w:val="24"/>
                <w:szCs w:val="24"/>
              </w:rPr>
              <w:t>日公司完成对项目实施主体江西九江国泰新材料有限公司注册资本金增至</w:t>
            </w:r>
            <w:r>
              <w:rPr>
                <w:rFonts w:ascii="宋体" w:hAnsi="宋体" w:cs="宋体" w:hint="eastAsia"/>
                <w:sz w:val="24"/>
                <w:szCs w:val="24"/>
              </w:rPr>
              <w:t>3.5</w:t>
            </w:r>
            <w:r>
              <w:rPr>
                <w:rFonts w:ascii="宋体" w:hAnsi="宋体" w:cs="宋体" w:hint="eastAsia"/>
                <w:sz w:val="24"/>
                <w:szCs w:val="24"/>
              </w:rPr>
              <w:t>亿元工作。目前该项目进展顺利</w:t>
            </w:r>
            <w:r>
              <w:rPr>
                <w:rFonts w:ascii="宋体" w:hAnsi="宋体" w:cs="宋体" w:hint="eastAsia"/>
                <w:sz w:val="24"/>
                <w:szCs w:val="24"/>
              </w:rPr>
              <w:t>，</w:t>
            </w:r>
            <w:r>
              <w:rPr>
                <w:rFonts w:ascii="宋体" w:hAnsi="宋体" w:cs="宋体" w:hint="eastAsia"/>
                <w:sz w:val="24"/>
                <w:szCs w:val="24"/>
              </w:rPr>
              <w:t>具体</w:t>
            </w:r>
            <w:r>
              <w:rPr>
                <w:rFonts w:ascii="宋体" w:hAnsi="宋体" w:cs="宋体" w:hint="eastAsia"/>
                <w:sz w:val="24"/>
                <w:szCs w:val="24"/>
              </w:rPr>
              <w:t>情况</w:t>
            </w:r>
            <w:r>
              <w:rPr>
                <w:rFonts w:ascii="宋体" w:hAnsi="宋体" w:cs="宋体" w:hint="eastAsia"/>
                <w:sz w:val="24"/>
                <w:szCs w:val="24"/>
              </w:rPr>
              <w:t>待公司后续披露项目进展公告。</w:t>
            </w:r>
          </w:p>
          <w:p w14:paraId="61F57159" w14:textId="77777777" w:rsidR="00350817" w:rsidRDefault="00350817">
            <w:pPr>
              <w:adjustRightInd w:val="0"/>
              <w:snapToGrid w:val="0"/>
              <w:spacing w:line="336" w:lineRule="auto"/>
              <w:ind w:firstLineChars="200" w:firstLine="480"/>
              <w:rPr>
                <w:rFonts w:ascii="宋体" w:hAnsi="宋体" w:cs="宋体"/>
                <w:sz w:val="24"/>
                <w:szCs w:val="24"/>
              </w:rPr>
            </w:pPr>
          </w:p>
          <w:p w14:paraId="0CE4E81B" w14:textId="77777777" w:rsidR="00350817" w:rsidRDefault="00C5456E">
            <w:pPr>
              <w:adjustRightInd w:val="0"/>
              <w:snapToGrid w:val="0"/>
              <w:spacing w:line="336" w:lineRule="auto"/>
              <w:ind w:firstLineChars="200" w:firstLine="48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、公司市值管理方面有什么规划？</w:t>
            </w:r>
          </w:p>
          <w:p w14:paraId="78C9974A" w14:textId="77777777" w:rsidR="00350817" w:rsidRDefault="00C5456E">
            <w:pPr>
              <w:adjustRightInd w:val="0"/>
              <w:snapToGrid w:val="0"/>
              <w:spacing w:line="336" w:lineRule="auto"/>
              <w:ind w:firstLineChars="200" w:firstLine="480"/>
              <w:rPr>
                <w:rFonts w:ascii="宋体" w:hAnsi="宋体" w:cs="宋体"/>
                <w:sz w:val="24"/>
                <w:szCs w:val="24"/>
              </w:rPr>
            </w:pPr>
            <w:r>
              <w:rPr>
                <w:rFonts w:ascii="宋体" w:hAnsi="宋体" w:cs="宋体" w:hint="eastAsia"/>
                <w:sz w:val="24"/>
                <w:szCs w:val="24"/>
              </w:rPr>
              <w:t>答：公司非常重视投资者关系管理及市值管理工作，企业市值是企业经营成果的体现。近年来，公司围绕价值经营与价值实现，持续创新开展多渠道、多形式的投关活动，借助资本市场赋能企业价值实现。一方面，公司通过投资者热线、电子邮箱、上证</w:t>
            </w:r>
            <w:r>
              <w:rPr>
                <w:rFonts w:ascii="宋体" w:hAnsi="宋体" w:cs="宋体" w:hint="eastAsia"/>
                <w:sz w:val="24"/>
                <w:szCs w:val="24"/>
              </w:rPr>
              <w:t>E</w:t>
            </w:r>
            <w:r>
              <w:rPr>
                <w:rFonts w:ascii="宋体" w:hAnsi="宋体" w:cs="宋体" w:hint="eastAsia"/>
                <w:sz w:val="24"/>
                <w:szCs w:val="24"/>
              </w:rPr>
              <w:t>互动等方式远程回复投资者的提问；另一方面，通过走出去与引进来相结合的方式加大开展资本市场沟通力度，定期与机构投资者和行业研究员进行互动交流，建立积极融洽的沟通机制。未来，我们将一如既往地抓经营、重管控，通过创新管理机制不断提升公司的经营业绩，从而提升企业价值，并通过现金分红等方式积极回报</w:t>
            </w:r>
            <w:r>
              <w:rPr>
                <w:rFonts w:ascii="宋体" w:hAnsi="宋体" w:cs="宋体" w:hint="eastAsia"/>
                <w:sz w:val="24"/>
                <w:szCs w:val="24"/>
              </w:rPr>
              <w:t>广大投资者。</w:t>
            </w:r>
          </w:p>
        </w:tc>
      </w:tr>
      <w:tr w:rsidR="00350817" w14:paraId="0D34C6E6" w14:textId="77777777">
        <w:trPr>
          <w:trHeight w:val="90"/>
        </w:trPr>
        <w:tc>
          <w:tcPr>
            <w:tcW w:w="1526" w:type="dxa"/>
            <w:vAlign w:val="center"/>
          </w:tcPr>
          <w:p w14:paraId="37BBB9D5" w14:textId="77777777" w:rsidR="00350817" w:rsidRDefault="00C5456E">
            <w:pPr>
              <w:pStyle w:val="New0"/>
              <w:spacing w:line="348" w:lineRule="auto"/>
              <w:rPr>
                <w:rFonts w:ascii="Times New Roman" w:hAnsi="Times New Roman"/>
                <w:b/>
                <w:bCs/>
                <w:iCs/>
                <w:sz w:val="24"/>
              </w:rPr>
            </w:pPr>
            <w:r>
              <w:rPr>
                <w:rFonts w:ascii="Times New Roman" w:hAnsi="Times New Roman"/>
                <w:b/>
                <w:bCs/>
                <w:iCs/>
                <w:sz w:val="24"/>
              </w:rPr>
              <w:lastRenderedPageBreak/>
              <w:t>附件清单</w:t>
            </w:r>
          </w:p>
        </w:tc>
        <w:tc>
          <w:tcPr>
            <w:tcW w:w="6996" w:type="dxa"/>
            <w:vAlign w:val="center"/>
          </w:tcPr>
          <w:p w14:paraId="55D01714" w14:textId="77777777" w:rsidR="00350817" w:rsidRDefault="00C5456E">
            <w:pPr>
              <w:pStyle w:val="New0"/>
              <w:spacing w:line="348" w:lineRule="auto"/>
              <w:rPr>
                <w:rFonts w:ascii="Times New Roman" w:hAnsi="Times New Roman"/>
                <w:bCs/>
                <w:iCs/>
                <w:sz w:val="24"/>
              </w:rPr>
            </w:pPr>
            <w:r>
              <w:rPr>
                <w:rFonts w:ascii="Times New Roman" w:hAnsi="Times New Roman"/>
                <w:bCs/>
                <w:iCs/>
                <w:sz w:val="24"/>
              </w:rPr>
              <w:t>无。</w:t>
            </w:r>
          </w:p>
        </w:tc>
      </w:tr>
      <w:tr w:rsidR="00350817" w14:paraId="35C28DBD" w14:textId="77777777">
        <w:tc>
          <w:tcPr>
            <w:tcW w:w="1526" w:type="dxa"/>
            <w:vAlign w:val="center"/>
          </w:tcPr>
          <w:p w14:paraId="0DFE86D1" w14:textId="77777777" w:rsidR="00350817" w:rsidRDefault="00C5456E">
            <w:pPr>
              <w:pStyle w:val="New0"/>
              <w:spacing w:line="348" w:lineRule="auto"/>
              <w:rPr>
                <w:rFonts w:ascii="Times New Roman" w:hAnsi="Times New Roman"/>
                <w:b/>
                <w:bCs/>
                <w:iCs/>
                <w:sz w:val="24"/>
              </w:rPr>
            </w:pPr>
            <w:r>
              <w:rPr>
                <w:rFonts w:ascii="Times New Roman" w:hAnsi="Times New Roman"/>
                <w:b/>
                <w:bCs/>
                <w:iCs/>
                <w:sz w:val="24"/>
              </w:rPr>
              <w:t>日期</w:t>
            </w:r>
          </w:p>
        </w:tc>
        <w:tc>
          <w:tcPr>
            <w:tcW w:w="6996" w:type="dxa"/>
            <w:vAlign w:val="center"/>
          </w:tcPr>
          <w:p w14:paraId="0B41BE7B" w14:textId="77777777" w:rsidR="00350817" w:rsidRDefault="00C5456E">
            <w:pPr>
              <w:pStyle w:val="New0"/>
              <w:spacing w:line="348" w:lineRule="auto"/>
              <w:rPr>
                <w:rFonts w:ascii="Times New Roman" w:hAnsi="Times New Roman"/>
                <w:bCs/>
                <w:iCs/>
                <w:sz w:val="24"/>
              </w:rPr>
            </w:pPr>
            <w:r>
              <w:rPr>
                <w:rFonts w:ascii="Times New Roman" w:hAnsi="Times New Roman"/>
                <w:bCs/>
                <w:iCs/>
                <w:sz w:val="24"/>
              </w:rPr>
              <w:t>202</w:t>
            </w:r>
            <w:r>
              <w:rPr>
                <w:rFonts w:ascii="Times New Roman" w:hAnsi="Times New Roman" w:hint="eastAsia"/>
                <w:bCs/>
                <w:iCs/>
                <w:sz w:val="24"/>
              </w:rPr>
              <w:t>4</w:t>
            </w:r>
            <w:r>
              <w:rPr>
                <w:rFonts w:ascii="Times New Roman" w:hAnsi="Times New Roman"/>
                <w:bCs/>
                <w:iCs/>
                <w:sz w:val="24"/>
              </w:rPr>
              <w:t>年</w:t>
            </w:r>
            <w:r>
              <w:rPr>
                <w:rFonts w:ascii="Times New Roman" w:hAnsi="Times New Roman" w:hint="eastAsia"/>
                <w:bCs/>
                <w:iCs/>
                <w:sz w:val="24"/>
              </w:rPr>
              <w:t>9</w:t>
            </w:r>
            <w:r>
              <w:rPr>
                <w:rFonts w:ascii="Times New Roman" w:hAnsi="Times New Roman" w:hint="eastAsia"/>
                <w:bCs/>
                <w:iCs/>
                <w:sz w:val="24"/>
              </w:rPr>
              <w:t>月</w:t>
            </w:r>
            <w:r>
              <w:rPr>
                <w:rFonts w:ascii="Times New Roman" w:hAnsi="Times New Roman" w:hint="eastAsia"/>
                <w:bCs/>
                <w:iCs/>
                <w:sz w:val="24"/>
              </w:rPr>
              <w:t>30</w:t>
            </w:r>
            <w:r>
              <w:rPr>
                <w:rFonts w:ascii="Times New Roman" w:hAnsi="Times New Roman"/>
                <w:bCs/>
                <w:iCs/>
                <w:sz w:val="24"/>
              </w:rPr>
              <w:t>日</w:t>
            </w:r>
          </w:p>
        </w:tc>
      </w:tr>
    </w:tbl>
    <w:p w14:paraId="03D71355" w14:textId="77777777" w:rsidR="00350817" w:rsidRDefault="00350817">
      <w:pPr>
        <w:rPr>
          <w:rFonts w:ascii="Times New Roman" w:hAnsi="Times New Roman"/>
          <w:sz w:val="28"/>
          <w:szCs w:val="28"/>
        </w:rPr>
      </w:pPr>
    </w:p>
    <w:sectPr w:rsidR="00350817">
      <w:footerReference w:type="default" r:id="rId8"/>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8F0719" w14:textId="77777777" w:rsidR="00C5456E" w:rsidRDefault="00C5456E">
      <w:r>
        <w:separator/>
      </w:r>
    </w:p>
  </w:endnote>
  <w:endnote w:type="continuationSeparator" w:id="0">
    <w:p w14:paraId="0E92F0B3" w14:textId="77777777" w:rsidR="00C5456E" w:rsidRDefault="00C54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294211"/>
    </w:sdtPr>
    <w:sdtEndPr/>
    <w:sdtContent>
      <w:p w14:paraId="33D24DE0" w14:textId="77777777" w:rsidR="00350817" w:rsidRDefault="00C5456E">
        <w:pPr>
          <w:pStyle w:val="a6"/>
          <w:jc w:val="center"/>
        </w:pPr>
        <w:r>
          <w:fldChar w:fldCharType="begin"/>
        </w:r>
        <w:r>
          <w:instrText>PAGE   \* MERGEFORMAT</w:instrText>
        </w:r>
        <w:r>
          <w:fldChar w:fldCharType="separate"/>
        </w:r>
        <w:r w:rsidR="00170126" w:rsidRPr="00170126">
          <w:rPr>
            <w:noProof/>
            <w:lang w:val="zh-CN"/>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7FA601" w14:textId="77777777" w:rsidR="00C5456E" w:rsidRDefault="00C5456E">
      <w:r>
        <w:separator/>
      </w:r>
    </w:p>
  </w:footnote>
  <w:footnote w:type="continuationSeparator" w:id="0">
    <w:p w14:paraId="3AB74580" w14:textId="77777777" w:rsidR="00C5456E" w:rsidRDefault="00C5456E">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何骥">
    <w15:presenceInfo w15:providerId="WPS Office" w15:userId="29934736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trackRevisions/>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5ZmYwNDIwMGE1YjNjMWQ2NTVmOWQxZjQ4NmVkZjQifQ=="/>
  </w:docVars>
  <w:rsids>
    <w:rsidRoot w:val="00172A27"/>
    <w:rsid w:val="00005BE5"/>
    <w:rsid w:val="00012A14"/>
    <w:rsid w:val="00051401"/>
    <w:rsid w:val="000729AD"/>
    <w:rsid w:val="00075373"/>
    <w:rsid w:val="000B3CDB"/>
    <w:rsid w:val="000B5A24"/>
    <w:rsid w:val="000D5F99"/>
    <w:rsid w:val="000E7FD8"/>
    <w:rsid w:val="000F3952"/>
    <w:rsid w:val="00111F29"/>
    <w:rsid w:val="001408E3"/>
    <w:rsid w:val="0014474A"/>
    <w:rsid w:val="001549ED"/>
    <w:rsid w:val="00170126"/>
    <w:rsid w:val="00172A27"/>
    <w:rsid w:val="00173BDF"/>
    <w:rsid w:val="0019468E"/>
    <w:rsid w:val="001C5BB5"/>
    <w:rsid w:val="001F4888"/>
    <w:rsid w:val="002037D4"/>
    <w:rsid w:val="00260223"/>
    <w:rsid w:val="00282BE8"/>
    <w:rsid w:val="002A4B4C"/>
    <w:rsid w:val="002D7F64"/>
    <w:rsid w:val="00303F67"/>
    <w:rsid w:val="003215D0"/>
    <w:rsid w:val="003333AB"/>
    <w:rsid w:val="00350817"/>
    <w:rsid w:val="00370EA2"/>
    <w:rsid w:val="00415011"/>
    <w:rsid w:val="004502D8"/>
    <w:rsid w:val="004609B1"/>
    <w:rsid w:val="004762D3"/>
    <w:rsid w:val="004D0367"/>
    <w:rsid w:val="004D0F55"/>
    <w:rsid w:val="004E12F1"/>
    <w:rsid w:val="004F05BD"/>
    <w:rsid w:val="0054333A"/>
    <w:rsid w:val="005508BF"/>
    <w:rsid w:val="005516FE"/>
    <w:rsid w:val="005A56BD"/>
    <w:rsid w:val="005B0351"/>
    <w:rsid w:val="005D3B41"/>
    <w:rsid w:val="00610F76"/>
    <w:rsid w:val="00612FCB"/>
    <w:rsid w:val="00621D23"/>
    <w:rsid w:val="006267C4"/>
    <w:rsid w:val="00654E41"/>
    <w:rsid w:val="00660154"/>
    <w:rsid w:val="00660AD4"/>
    <w:rsid w:val="006A76EB"/>
    <w:rsid w:val="00714BDD"/>
    <w:rsid w:val="00726C8D"/>
    <w:rsid w:val="00735737"/>
    <w:rsid w:val="007572EB"/>
    <w:rsid w:val="007A6170"/>
    <w:rsid w:val="007D2B30"/>
    <w:rsid w:val="007D484F"/>
    <w:rsid w:val="00807D0E"/>
    <w:rsid w:val="00837B23"/>
    <w:rsid w:val="00856970"/>
    <w:rsid w:val="00900289"/>
    <w:rsid w:val="009E3246"/>
    <w:rsid w:val="00A6191B"/>
    <w:rsid w:val="00A628F4"/>
    <w:rsid w:val="00A70EAF"/>
    <w:rsid w:val="00A71EBF"/>
    <w:rsid w:val="00A74DB1"/>
    <w:rsid w:val="00AE2EA5"/>
    <w:rsid w:val="00AE7B95"/>
    <w:rsid w:val="00AF217D"/>
    <w:rsid w:val="00B008D6"/>
    <w:rsid w:val="00B13B61"/>
    <w:rsid w:val="00B45C19"/>
    <w:rsid w:val="00B53767"/>
    <w:rsid w:val="00B636F0"/>
    <w:rsid w:val="00B67E74"/>
    <w:rsid w:val="00B72B1E"/>
    <w:rsid w:val="00B95F24"/>
    <w:rsid w:val="00BA60E8"/>
    <w:rsid w:val="00BB66D9"/>
    <w:rsid w:val="00BC6896"/>
    <w:rsid w:val="00BE3D4A"/>
    <w:rsid w:val="00BF44E6"/>
    <w:rsid w:val="00C528EC"/>
    <w:rsid w:val="00C5456E"/>
    <w:rsid w:val="00C9040D"/>
    <w:rsid w:val="00C96D4E"/>
    <w:rsid w:val="00CC5CA9"/>
    <w:rsid w:val="00CF0CB9"/>
    <w:rsid w:val="00D466A6"/>
    <w:rsid w:val="00D70E55"/>
    <w:rsid w:val="00D764E4"/>
    <w:rsid w:val="00D82ADB"/>
    <w:rsid w:val="00E06D0E"/>
    <w:rsid w:val="00E23F3C"/>
    <w:rsid w:val="00E310B8"/>
    <w:rsid w:val="00E62CB1"/>
    <w:rsid w:val="00E67BAB"/>
    <w:rsid w:val="00EA2A0B"/>
    <w:rsid w:val="00EB3F3E"/>
    <w:rsid w:val="00ED68F4"/>
    <w:rsid w:val="00EF628C"/>
    <w:rsid w:val="00F071C8"/>
    <w:rsid w:val="00F42141"/>
    <w:rsid w:val="00F846A9"/>
    <w:rsid w:val="00FC0EF6"/>
    <w:rsid w:val="00FC7064"/>
    <w:rsid w:val="00FE1056"/>
    <w:rsid w:val="00FE18DA"/>
    <w:rsid w:val="012F77FB"/>
    <w:rsid w:val="01663B09"/>
    <w:rsid w:val="017052C2"/>
    <w:rsid w:val="01BE6AF9"/>
    <w:rsid w:val="0220070B"/>
    <w:rsid w:val="0272649F"/>
    <w:rsid w:val="031B1925"/>
    <w:rsid w:val="040A0C52"/>
    <w:rsid w:val="04414F29"/>
    <w:rsid w:val="057E50FA"/>
    <w:rsid w:val="062E19DF"/>
    <w:rsid w:val="079F2DB5"/>
    <w:rsid w:val="07DD5908"/>
    <w:rsid w:val="086C2CFF"/>
    <w:rsid w:val="086F3FA3"/>
    <w:rsid w:val="08C40CF3"/>
    <w:rsid w:val="09C6525C"/>
    <w:rsid w:val="09F04B00"/>
    <w:rsid w:val="0A1D72FB"/>
    <w:rsid w:val="0A9172F3"/>
    <w:rsid w:val="0AD97127"/>
    <w:rsid w:val="0C112E71"/>
    <w:rsid w:val="0C702A5E"/>
    <w:rsid w:val="0E776918"/>
    <w:rsid w:val="0E8F0CEC"/>
    <w:rsid w:val="0EA06710"/>
    <w:rsid w:val="0FF51325"/>
    <w:rsid w:val="108D02AC"/>
    <w:rsid w:val="10A9384D"/>
    <w:rsid w:val="112573D4"/>
    <w:rsid w:val="11882673"/>
    <w:rsid w:val="11975CCC"/>
    <w:rsid w:val="12C41C61"/>
    <w:rsid w:val="12F31613"/>
    <w:rsid w:val="141F5C26"/>
    <w:rsid w:val="1450602A"/>
    <w:rsid w:val="1491634A"/>
    <w:rsid w:val="14D507B4"/>
    <w:rsid w:val="15146085"/>
    <w:rsid w:val="158F0E59"/>
    <w:rsid w:val="15E962C8"/>
    <w:rsid w:val="17090DA6"/>
    <w:rsid w:val="1761330E"/>
    <w:rsid w:val="177855D8"/>
    <w:rsid w:val="187F55E4"/>
    <w:rsid w:val="18EF7F00"/>
    <w:rsid w:val="19297D6C"/>
    <w:rsid w:val="19CC5666"/>
    <w:rsid w:val="1ACA7824"/>
    <w:rsid w:val="1B153B0F"/>
    <w:rsid w:val="1B2D6D86"/>
    <w:rsid w:val="1BD92B22"/>
    <w:rsid w:val="1CCF12B9"/>
    <w:rsid w:val="1CEA0CB6"/>
    <w:rsid w:val="1D590854"/>
    <w:rsid w:val="1DB47768"/>
    <w:rsid w:val="1E7233D8"/>
    <w:rsid w:val="1FED4FD6"/>
    <w:rsid w:val="20333C9A"/>
    <w:rsid w:val="203606F7"/>
    <w:rsid w:val="210420AB"/>
    <w:rsid w:val="226E1C50"/>
    <w:rsid w:val="232C2FB8"/>
    <w:rsid w:val="23C737F1"/>
    <w:rsid w:val="2513238F"/>
    <w:rsid w:val="2522011E"/>
    <w:rsid w:val="26FA6683"/>
    <w:rsid w:val="27A41130"/>
    <w:rsid w:val="28740B91"/>
    <w:rsid w:val="29333E09"/>
    <w:rsid w:val="293765A7"/>
    <w:rsid w:val="2A396FA8"/>
    <w:rsid w:val="2ADE3EBE"/>
    <w:rsid w:val="2B2A2B97"/>
    <w:rsid w:val="2C742F1C"/>
    <w:rsid w:val="2C8974F1"/>
    <w:rsid w:val="2C8D1007"/>
    <w:rsid w:val="2D4F45EC"/>
    <w:rsid w:val="2DBC19FE"/>
    <w:rsid w:val="30091B5C"/>
    <w:rsid w:val="30371B9A"/>
    <w:rsid w:val="31A53D8D"/>
    <w:rsid w:val="3208431E"/>
    <w:rsid w:val="32440EDC"/>
    <w:rsid w:val="32654D10"/>
    <w:rsid w:val="326C0551"/>
    <w:rsid w:val="33690F44"/>
    <w:rsid w:val="33CE2331"/>
    <w:rsid w:val="356B0A3B"/>
    <w:rsid w:val="362C4BA3"/>
    <w:rsid w:val="36704ABB"/>
    <w:rsid w:val="373C3BA7"/>
    <w:rsid w:val="38CD681E"/>
    <w:rsid w:val="38DC5496"/>
    <w:rsid w:val="39760E2C"/>
    <w:rsid w:val="39D37144"/>
    <w:rsid w:val="39D4375B"/>
    <w:rsid w:val="39D964F3"/>
    <w:rsid w:val="39DC36C8"/>
    <w:rsid w:val="3A3042F0"/>
    <w:rsid w:val="3A5B4367"/>
    <w:rsid w:val="3A811C01"/>
    <w:rsid w:val="3A953F23"/>
    <w:rsid w:val="3BD0316A"/>
    <w:rsid w:val="3BEE40FB"/>
    <w:rsid w:val="3C5C4961"/>
    <w:rsid w:val="3E7551CA"/>
    <w:rsid w:val="3ED846AD"/>
    <w:rsid w:val="3FD2226D"/>
    <w:rsid w:val="401B340B"/>
    <w:rsid w:val="40293542"/>
    <w:rsid w:val="4037674B"/>
    <w:rsid w:val="40F912CC"/>
    <w:rsid w:val="41557C10"/>
    <w:rsid w:val="42A329D9"/>
    <w:rsid w:val="431B63A1"/>
    <w:rsid w:val="469B1418"/>
    <w:rsid w:val="46CE0C62"/>
    <w:rsid w:val="46F56910"/>
    <w:rsid w:val="47D546FC"/>
    <w:rsid w:val="481E5EE0"/>
    <w:rsid w:val="484F0AC7"/>
    <w:rsid w:val="48562A5D"/>
    <w:rsid w:val="48D2515B"/>
    <w:rsid w:val="4933371F"/>
    <w:rsid w:val="49B37CF3"/>
    <w:rsid w:val="4A1C0F29"/>
    <w:rsid w:val="4A9F3C99"/>
    <w:rsid w:val="4B7B1369"/>
    <w:rsid w:val="4BDB5432"/>
    <w:rsid w:val="4C0E4530"/>
    <w:rsid w:val="4D171D2A"/>
    <w:rsid w:val="4DF5519C"/>
    <w:rsid w:val="4E004A5C"/>
    <w:rsid w:val="4EED3194"/>
    <w:rsid w:val="4F376605"/>
    <w:rsid w:val="50CE348B"/>
    <w:rsid w:val="51A83C8D"/>
    <w:rsid w:val="53E607EA"/>
    <w:rsid w:val="546F389A"/>
    <w:rsid w:val="554C3B9F"/>
    <w:rsid w:val="557378ED"/>
    <w:rsid w:val="55E40C52"/>
    <w:rsid w:val="579C7722"/>
    <w:rsid w:val="583F204E"/>
    <w:rsid w:val="58AE5E7C"/>
    <w:rsid w:val="595E459B"/>
    <w:rsid w:val="59817DB6"/>
    <w:rsid w:val="5A7D0C9E"/>
    <w:rsid w:val="5AD41F13"/>
    <w:rsid w:val="5BFA6489"/>
    <w:rsid w:val="5C6B3654"/>
    <w:rsid w:val="5CE91611"/>
    <w:rsid w:val="5D2D269B"/>
    <w:rsid w:val="5D5201C0"/>
    <w:rsid w:val="5DC9716E"/>
    <w:rsid w:val="5DDE5652"/>
    <w:rsid w:val="5E613EA4"/>
    <w:rsid w:val="5FEA56D8"/>
    <w:rsid w:val="607313C1"/>
    <w:rsid w:val="60B66CA4"/>
    <w:rsid w:val="60E640CC"/>
    <w:rsid w:val="60FD3B15"/>
    <w:rsid w:val="62315391"/>
    <w:rsid w:val="62B05907"/>
    <w:rsid w:val="62C108C4"/>
    <w:rsid w:val="634927F8"/>
    <w:rsid w:val="63921342"/>
    <w:rsid w:val="64287ECD"/>
    <w:rsid w:val="6498572D"/>
    <w:rsid w:val="64B9162B"/>
    <w:rsid w:val="65D976D1"/>
    <w:rsid w:val="663740B6"/>
    <w:rsid w:val="665C68CF"/>
    <w:rsid w:val="66601051"/>
    <w:rsid w:val="667667E2"/>
    <w:rsid w:val="66902670"/>
    <w:rsid w:val="66F75934"/>
    <w:rsid w:val="6710771C"/>
    <w:rsid w:val="678E1D9F"/>
    <w:rsid w:val="679D374F"/>
    <w:rsid w:val="68053E8D"/>
    <w:rsid w:val="69F65C1A"/>
    <w:rsid w:val="6A275748"/>
    <w:rsid w:val="6A36252B"/>
    <w:rsid w:val="6A724BD9"/>
    <w:rsid w:val="6AE826A6"/>
    <w:rsid w:val="6B0200D2"/>
    <w:rsid w:val="6B83735C"/>
    <w:rsid w:val="6E2F47E7"/>
    <w:rsid w:val="6E3E5853"/>
    <w:rsid w:val="6E576C48"/>
    <w:rsid w:val="6E5C1E06"/>
    <w:rsid w:val="6E711399"/>
    <w:rsid w:val="6E7D2E87"/>
    <w:rsid w:val="6EC33075"/>
    <w:rsid w:val="6F595014"/>
    <w:rsid w:val="713D060F"/>
    <w:rsid w:val="72075026"/>
    <w:rsid w:val="722608CA"/>
    <w:rsid w:val="72DF1AB0"/>
    <w:rsid w:val="730B5005"/>
    <w:rsid w:val="732B0626"/>
    <w:rsid w:val="73FE0E42"/>
    <w:rsid w:val="74314109"/>
    <w:rsid w:val="745B2A20"/>
    <w:rsid w:val="74911176"/>
    <w:rsid w:val="749E60E7"/>
    <w:rsid w:val="74F846EB"/>
    <w:rsid w:val="755D4A2E"/>
    <w:rsid w:val="76044EAD"/>
    <w:rsid w:val="7614107A"/>
    <w:rsid w:val="763E50EE"/>
    <w:rsid w:val="76D07EF6"/>
    <w:rsid w:val="77565CA2"/>
    <w:rsid w:val="77CA4C87"/>
    <w:rsid w:val="78093CAC"/>
    <w:rsid w:val="78607595"/>
    <w:rsid w:val="788861F9"/>
    <w:rsid w:val="78CA023E"/>
    <w:rsid w:val="795D77B7"/>
    <w:rsid w:val="79BD7ABA"/>
    <w:rsid w:val="7A2F7E05"/>
    <w:rsid w:val="7AAA5956"/>
    <w:rsid w:val="7AAC015C"/>
    <w:rsid w:val="7AB5242F"/>
    <w:rsid w:val="7AF87737"/>
    <w:rsid w:val="7B0B1932"/>
    <w:rsid w:val="7B1D2DF5"/>
    <w:rsid w:val="7B292635"/>
    <w:rsid w:val="7B2A3C6E"/>
    <w:rsid w:val="7B5629F9"/>
    <w:rsid w:val="7C3073CD"/>
    <w:rsid w:val="7D236D81"/>
    <w:rsid w:val="7D2C2DAC"/>
    <w:rsid w:val="7E1249E7"/>
    <w:rsid w:val="7E8779D6"/>
    <w:rsid w:val="7FAE7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unhideWhenUsed="0" w:qFormat="1"/>
    <w:lsdException w:name="footer" w:semiHidden="0" w:unhideWhenUsed="0"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lsdException w:name="Body Text Inden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ascii="Calibri" w:hAnsi="Calibri"/>
      <w:kern w:val="2"/>
      <w:sz w:val="21"/>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pPr>
      <w:keepNext/>
      <w:keepLines/>
      <w:spacing w:line="560" w:lineRule="exact"/>
      <w:ind w:firstLineChars="200" w:firstLine="880"/>
      <w:outlineLvl w:val="1"/>
    </w:pPr>
    <w:rPr>
      <w:rFonts w:ascii="Arial" w:eastAsia="黑体" w:hAnsi="Arial" w:cs="宋体"/>
      <w:sz w:val="32"/>
      <w:szCs w:val="22"/>
    </w:rPr>
  </w:style>
  <w:style w:type="paragraph" w:styleId="3">
    <w:name w:val="heading 3"/>
    <w:basedOn w:val="a"/>
    <w:next w:val="a"/>
    <w:autoRedefine/>
    <w:unhideWhenUsed/>
    <w:qFormat/>
    <w:pPr>
      <w:snapToGrid w:val="0"/>
      <w:spacing w:line="580" w:lineRule="exact"/>
      <w:ind w:firstLineChars="200" w:firstLine="560"/>
      <w:jc w:val="left"/>
      <w:outlineLvl w:val="2"/>
    </w:pPr>
    <w:rPr>
      <w:rFonts w:ascii="宋体" w:eastAsia="楷体" w:hAnsi="宋体" w:hint="eastAsia"/>
      <w:kern w:val="0"/>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qFormat/>
    <w:pPr>
      <w:jc w:val="left"/>
    </w:pPr>
  </w:style>
  <w:style w:type="paragraph" w:styleId="a4">
    <w:name w:val="Body Text Indent"/>
    <w:autoRedefine/>
    <w:uiPriority w:val="99"/>
    <w:qFormat/>
    <w:pPr>
      <w:spacing w:after="120"/>
      <w:ind w:leftChars="200" w:left="420"/>
    </w:pPr>
    <w:rPr>
      <w:rFonts w:ascii="Calibri" w:hAnsi="Calibri"/>
    </w:rPr>
  </w:style>
  <w:style w:type="paragraph" w:styleId="a5">
    <w:name w:val="Balloon Text"/>
    <w:basedOn w:val="a"/>
    <w:link w:val="Char0"/>
    <w:autoRedefine/>
    <w:qFormat/>
    <w:rPr>
      <w:sz w:val="18"/>
      <w:szCs w:val="18"/>
    </w:rPr>
  </w:style>
  <w:style w:type="paragraph" w:styleId="a6">
    <w:name w:val="footer"/>
    <w:basedOn w:val="a"/>
    <w:link w:val="Char1"/>
    <w:autoRedefine/>
    <w:uiPriority w:val="99"/>
    <w:qFormat/>
    <w:pPr>
      <w:tabs>
        <w:tab w:val="center" w:pos="4153"/>
        <w:tab w:val="right" w:pos="8306"/>
      </w:tabs>
      <w:snapToGrid w:val="0"/>
      <w:jc w:val="left"/>
    </w:pPr>
    <w:rPr>
      <w:sz w:val="18"/>
    </w:rPr>
  </w:style>
  <w:style w:type="paragraph" w:styleId="a7">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8">
    <w:name w:val="Normal (Web)"/>
    <w:basedOn w:val="a"/>
    <w:autoRedefine/>
    <w:uiPriority w:val="99"/>
    <w:qFormat/>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2"/>
    <w:autoRedefine/>
    <w:qFormat/>
    <w:rPr>
      <w:b/>
      <w:bCs/>
    </w:rPr>
  </w:style>
  <w:style w:type="character" w:styleId="aa">
    <w:name w:val="annotation reference"/>
    <w:autoRedefine/>
    <w:qFormat/>
    <w:rPr>
      <w:sz w:val="21"/>
      <w:szCs w:val="21"/>
    </w:rPr>
  </w:style>
  <w:style w:type="character" w:customStyle="1" w:styleId="Char1">
    <w:name w:val="页脚 Char"/>
    <w:link w:val="a6"/>
    <w:autoRedefine/>
    <w:uiPriority w:val="99"/>
    <w:qFormat/>
    <w:rPr>
      <w:kern w:val="2"/>
      <w:sz w:val="18"/>
    </w:rPr>
  </w:style>
  <w:style w:type="character" w:customStyle="1" w:styleId="New">
    <w:name w:val="页码 New"/>
    <w:basedOn w:val="a0"/>
    <w:autoRedefine/>
    <w:qFormat/>
  </w:style>
  <w:style w:type="character" w:customStyle="1" w:styleId="NewNew">
    <w:name w:val="页码 New New"/>
    <w:basedOn w:val="a0"/>
    <w:autoRedefine/>
    <w:qFormat/>
  </w:style>
  <w:style w:type="character" w:customStyle="1" w:styleId="NewNewNew">
    <w:name w:val="页码 New New New"/>
    <w:basedOn w:val="a0"/>
    <w:autoRedefine/>
    <w:qFormat/>
  </w:style>
  <w:style w:type="character" w:customStyle="1" w:styleId="Char0">
    <w:name w:val="批注框文本 Char"/>
    <w:link w:val="a5"/>
    <w:autoRedefine/>
    <w:qFormat/>
    <w:rPr>
      <w:kern w:val="2"/>
      <w:sz w:val="18"/>
      <w:szCs w:val="18"/>
    </w:rPr>
  </w:style>
  <w:style w:type="character" w:customStyle="1" w:styleId="Char2">
    <w:name w:val="批注主题 Char"/>
    <w:link w:val="a9"/>
    <w:autoRedefine/>
    <w:qFormat/>
    <w:rPr>
      <w:b/>
      <w:bCs/>
      <w:kern w:val="2"/>
      <w:sz w:val="21"/>
    </w:rPr>
  </w:style>
  <w:style w:type="character" w:customStyle="1" w:styleId="Char">
    <w:name w:val="批注文字 Char"/>
    <w:link w:val="a3"/>
    <w:autoRedefine/>
    <w:qFormat/>
    <w:rPr>
      <w:kern w:val="2"/>
      <w:sz w:val="21"/>
    </w:rPr>
  </w:style>
  <w:style w:type="character" w:customStyle="1" w:styleId="NewNewNewNew">
    <w:name w:val="页码 New New New New"/>
    <w:basedOn w:val="a0"/>
    <w:autoRedefine/>
    <w:qFormat/>
  </w:style>
  <w:style w:type="paragraph" w:customStyle="1" w:styleId="NewNew0">
    <w:name w:val="正文 New New"/>
    <w:autoRedefine/>
    <w:qFormat/>
    <w:pPr>
      <w:widowControl w:val="0"/>
      <w:jc w:val="both"/>
    </w:pPr>
    <w:rPr>
      <w:rFonts w:ascii="Calibri" w:hAnsi="Calibri"/>
      <w:kern w:val="2"/>
      <w:sz w:val="21"/>
    </w:rPr>
  </w:style>
  <w:style w:type="paragraph" w:customStyle="1" w:styleId="New0">
    <w:name w:val="正文 New"/>
    <w:autoRedefine/>
    <w:qFormat/>
    <w:pPr>
      <w:widowControl w:val="0"/>
      <w:jc w:val="both"/>
    </w:pPr>
    <w:rPr>
      <w:rFonts w:ascii="Calibri" w:hAnsi="Calibri"/>
      <w:kern w:val="2"/>
      <w:sz w:val="21"/>
      <w:szCs w:val="24"/>
    </w:rPr>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paragraph" w:customStyle="1" w:styleId="10">
    <w:name w:val="页眉1"/>
    <w:basedOn w:val="a"/>
    <w:autoRedefine/>
    <w:uiPriority w:val="99"/>
    <w:qFormat/>
    <w:pPr>
      <w:pBdr>
        <w:bottom w:val="single" w:sz="6" w:space="1" w:color="auto"/>
      </w:pBdr>
      <w:tabs>
        <w:tab w:val="center" w:pos="4153"/>
        <w:tab w:val="right" w:pos="8306"/>
      </w:tabs>
      <w:snapToGrid w:val="0"/>
      <w:jc w:val="right"/>
    </w:pPr>
    <w:rPr>
      <w:rFonts w:hint="eastAsia"/>
    </w:rPr>
  </w:style>
  <w:style w:type="paragraph" w:customStyle="1" w:styleId="New1">
    <w:name w:val="页眉 New"/>
    <w:basedOn w:val="NewNew0"/>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NewNewNew0">
    <w:name w:val="页脚 New New New"/>
    <w:basedOn w:val="NewNewNew1"/>
    <w:autoRedefine/>
    <w:qFormat/>
    <w:pPr>
      <w:tabs>
        <w:tab w:val="center" w:pos="4153"/>
        <w:tab w:val="right" w:pos="8306"/>
      </w:tabs>
      <w:snapToGrid w:val="0"/>
      <w:jc w:val="left"/>
    </w:pPr>
    <w:rPr>
      <w:sz w:val="18"/>
    </w:rPr>
  </w:style>
  <w:style w:type="paragraph" w:customStyle="1" w:styleId="NewNewNew1">
    <w:name w:val="正文 New New New"/>
    <w:autoRedefine/>
    <w:qFormat/>
    <w:pPr>
      <w:widowControl w:val="0"/>
      <w:jc w:val="both"/>
    </w:pPr>
    <w:rPr>
      <w:rFonts w:ascii="Calibri" w:hAnsi="Calibri"/>
      <w:kern w:val="2"/>
      <w:sz w:val="21"/>
    </w:rPr>
  </w:style>
  <w:style w:type="paragraph" w:customStyle="1" w:styleId="NewNew1">
    <w:name w:val="页眉 New New"/>
    <w:basedOn w:val="NewNewNew1"/>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NewNewNewNewNewNewNewNewNewNewNew">
    <w:name w:val="正文 New New New New New New New New New New New"/>
    <w:autoRedefine/>
    <w:qFormat/>
    <w:pPr>
      <w:widowControl w:val="0"/>
      <w:jc w:val="both"/>
    </w:pPr>
    <w:rPr>
      <w:rFonts w:ascii="Calibri" w:hAnsi="Calibri"/>
      <w:kern w:val="2"/>
      <w:sz w:val="21"/>
    </w:rPr>
  </w:style>
  <w:style w:type="paragraph" w:customStyle="1" w:styleId="NewNewNewNewNew">
    <w:name w:val="正文 New New New New New"/>
    <w:autoRedefine/>
    <w:qFormat/>
    <w:pPr>
      <w:widowControl w:val="0"/>
      <w:jc w:val="both"/>
    </w:pPr>
    <w:rPr>
      <w:rFonts w:ascii="Calibri" w:hAnsi="Calibri"/>
      <w:kern w:val="2"/>
      <w:sz w:val="21"/>
    </w:rPr>
  </w:style>
  <w:style w:type="paragraph" w:customStyle="1" w:styleId="New2">
    <w:name w:val="页脚 New"/>
    <w:basedOn w:val="New0"/>
    <w:autoRedefine/>
    <w:qFormat/>
    <w:pPr>
      <w:tabs>
        <w:tab w:val="center" w:pos="4153"/>
        <w:tab w:val="right" w:pos="8306"/>
      </w:tabs>
      <w:snapToGrid w:val="0"/>
      <w:jc w:val="left"/>
    </w:pPr>
    <w:rPr>
      <w:sz w:val="18"/>
      <w:szCs w:val="18"/>
    </w:rPr>
  </w:style>
  <w:style w:type="paragraph" w:customStyle="1" w:styleId="11">
    <w:name w:val="页脚1"/>
    <w:basedOn w:val="a"/>
    <w:autoRedefine/>
    <w:uiPriority w:val="99"/>
    <w:qFormat/>
    <w:pPr>
      <w:tabs>
        <w:tab w:val="center" w:pos="4153"/>
        <w:tab w:val="right" w:pos="8306"/>
      </w:tabs>
      <w:snapToGrid w:val="0"/>
      <w:jc w:val="right"/>
    </w:pPr>
    <w:rPr>
      <w:rFonts w:hint="eastAsia"/>
    </w:rPr>
  </w:style>
  <w:style w:type="paragraph" w:customStyle="1" w:styleId="NewNewNewNewNewNewNewNewNew">
    <w:name w:val="正文 New New New New New New New New New"/>
    <w:autoRedefine/>
    <w:qFormat/>
    <w:pPr>
      <w:widowControl w:val="0"/>
      <w:jc w:val="both"/>
    </w:pPr>
    <w:rPr>
      <w:rFonts w:ascii="Calibri" w:hAnsi="Calibri"/>
      <w:kern w:val="2"/>
      <w:sz w:val="21"/>
    </w:rPr>
  </w:style>
  <w:style w:type="paragraph" w:customStyle="1" w:styleId="NewNew2">
    <w:name w:val="页脚 New New"/>
    <w:basedOn w:val="NewNew0"/>
    <w:autoRedefine/>
    <w:qFormat/>
    <w:pPr>
      <w:tabs>
        <w:tab w:val="center" w:pos="4153"/>
        <w:tab w:val="right" w:pos="8306"/>
      </w:tabs>
      <w:snapToGrid w:val="0"/>
      <w:jc w:val="left"/>
    </w:pPr>
    <w:rPr>
      <w:sz w:val="18"/>
    </w:rPr>
  </w:style>
  <w:style w:type="paragraph" w:customStyle="1" w:styleId="NewNewNewNew0">
    <w:name w:val="页脚 New New New New"/>
    <w:basedOn w:val="NewNewNewNewNewNewNewNewNewNewNewNew"/>
    <w:autoRedefine/>
    <w:qFormat/>
    <w:pPr>
      <w:tabs>
        <w:tab w:val="center" w:pos="4153"/>
        <w:tab w:val="right" w:pos="8306"/>
      </w:tabs>
      <w:snapToGrid w:val="0"/>
      <w:jc w:val="left"/>
    </w:pPr>
    <w:rPr>
      <w:sz w:val="18"/>
      <w:szCs w:val="18"/>
    </w:rPr>
  </w:style>
  <w:style w:type="paragraph" w:customStyle="1" w:styleId="NewNewNewNewNewNewNewNewNewNewNewNew">
    <w:name w:val="正文 New New New New New New New New New New New New"/>
    <w:autoRedefine/>
    <w:qFormat/>
    <w:pPr>
      <w:widowControl w:val="0"/>
      <w:jc w:val="both"/>
    </w:pPr>
    <w:rPr>
      <w:rFonts w:ascii="Calibri" w:hAnsi="Calibri"/>
      <w:kern w:val="2"/>
      <w:sz w:val="21"/>
      <w:szCs w:val="24"/>
    </w:rPr>
  </w:style>
  <w:style w:type="paragraph" w:styleId="ab">
    <w:name w:val="List Paragraph"/>
    <w:basedOn w:val="a"/>
    <w:autoRedefine/>
    <w:uiPriority w:val="34"/>
    <w:qFormat/>
    <w:pPr>
      <w:widowControl/>
      <w:ind w:firstLineChars="200" w:firstLine="420"/>
      <w:jc w:val="left"/>
    </w:pPr>
    <w:rPr>
      <w:rFonts w:ascii="宋体" w:hAnsi="宋体" w:cs="宋体"/>
      <w:kern w:val="0"/>
      <w:sz w:val="24"/>
      <w:szCs w:val="24"/>
    </w:rPr>
  </w:style>
  <w:style w:type="paragraph" w:customStyle="1" w:styleId="12">
    <w:name w:val="修订1"/>
    <w:autoRedefine/>
    <w:uiPriority w:val="99"/>
    <w:qFormat/>
    <w:rPr>
      <w:rFonts w:ascii="Calibri" w:hAnsi="Calibri"/>
      <w:kern w:val="2"/>
      <w:sz w:val="21"/>
    </w:rPr>
  </w:style>
  <w:style w:type="paragraph" w:customStyle="1" w:styleId="NewNewNewNew1">
    <w:name w:val="正文 New New New New"/>
    <w:autoRedefine/>
    <w:qFormat/>
    <w:pPr>
      <w:widowControl w:val="0"/>
      <w:jc w:val="both"/>
    </w:pPr>
    <w:rPr>
      <w:rFonts w:ascii="Calibri" w:hAnsi="Calibri"/>
      <w:kern w:val="2"/>
      <w:sz w:val="21"/>
    </w:rPr>
  </w:style>
  <w:style w:type="paragraph" w:customStyle="1" w:styleId="NewNewNewNewNewNewNewNewNewNew">
    <w:name w:val="正文 New New New New New New New New New New"/>
    <w:autoRedefine/>
    <w:qFormat/>
    <w:pPr>
      <w:widowControl w:val="0"/>
      <w:jc w:val="both"/>
    </w:pPr>
    <w:rPr>
      <w:rFonts w:ascii="Calibri" w:hAnsi="Calibri"/>
      <w:kern w:val="2"/>
      <w:sz w:val="21"/>
    </w:rPr>
  </w:style>
  <w:style w:type="paragraph" w:customStyle="1" w:styleId="NewNewNewNewNewNew">
    <w:name w:val="正文 New New New New New New"/>
    <w:autoRedefine/>
    <w:qFormat/>
    <w:pPr>
      <w:widowControl w:val="0"/>
      <w:jc w:val="both"/>
    </w:pPr>
    <w:rPr>
      <w:rFonts w:ascii="Calibri" w:hAnsi="Calibri"/>
      <w:kern w:val="2"/>
      <w:sz w:val="21"/>
    </w:rPr>
  </w:style>
  <w:style w:type="paragraph" w:customStyle="1" w:styleId="NewNewNewNewNewNewNewNewNewNewNewNewNew">
    <w:name w:val="正文 New New New New New New New New New New New New New"/>
    <w:autoRedefine/>
    <w:qFormat/>
    <w:pPr>
      <w:widowControl w:val="0"/>
      <w:jc w:val="both"/>
    </w:pPr>
    <w:rPr>
      <w:rFonts w:ascii="Calibri" w:hAnsi="Calibri"/>
      <w:kern w:val="2"/>
      <w:sz w:val="21"/>
    </w:rPr>
  </w:style>
  <w:style w:type="paragraph" w:customStyle="1" w:styleId="NewNewNewNewNewNewNew">
    <w:name w:val="正文 New New New New New New New"/>
    <w:autoRedefine/>
    <w:qFormat/>
    <w:pPr>
      <w:widowControl w:val="0"/>
      <w:jc w:val="both"/>
    </w:pPr>
    <w:rPr>
      <w:rFonts w:ascii="Calibri" w:hAnsi="Calibri"/>
      <w:kern w:val="2"/>
      <w:sz w:val="21"/>
    </w:rPr>
  </w:style>
  <w:style w:type="paragraph" w:customStyle="1" w:styleId="NewNewNewNewNewNewNewNew">
    <w:name w:val="正文 New New New New New New New New"/>
    <w:autoRedefine/>
    <w:qFormat/>
    <w:pPr>
      <w:widowControl w:val="0"/>
      <w:jc w:val="both"/>
    </w:pPr>
    <w:rPr>
      <w:rFonts w:ascii="Calibri" w:hAnsi="Calibri"/>
      <w:kern w:val="2"/>
      <w:sz w:val="21"/>
    </w:rPr>
  </w:style>
  <w:style w:type="paragraph" w:customStyle="1" w:styleId="13">
    <w:name w:val="正文1"/>
    <w:autoRedefine/>
    <w:qFormat/>
    <w:pPr>
      <w:jc w:val="both"/>
    </w:pPr>
    <w:rPr>
      <w:kern w:val="2"/>
      <w:sz w:val="21"/>
      <w:szCs w:val="21"/>
    </w:rPr>
  </w:style>
  <w:style w:type="character" w:customStyle="1" w:styleId="2Char">
    <w:name w:val="标题 2 Char"/>
    <w:basedOn w:val="a0"/>
    <w:link w:val="2"/>
    <w:autoRedefine/>
    <w:qFormat/>
    <w:rPr>
      <w:rFonts w:ascii="Arial" w:eastAsia="黑体" w:hAnsi="Arial" w:cs="宋体"/>
      <w:kern w:val="2"/>
      <w:sz w:val="32"/>
      <w:szCs w:val="22"/>
    </w:rPr>
  </w:style>
  <w:style w:type="character" w:customStyle="1" w:styleId="1Char">
    <w:name w:val="标题 1 Char"/>
    <w:basedOn w:val="a0"/>
    <w:link w:val="1"/>
    <w:autoRedefine/>
    <w:uiPriority w:val="9"/>
    <w:qFormat/>
    <w:rPr>
      <w:rFonts w:ascii="Calibri" w:hAnsi="Calibri"/>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unhideWhenUsed="0" w:qFormat="1"/>
    <w:lsdException w:name="footer" w:semiHidden="0" w:unhideWhenUsed="0"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lsdException w:name="Body Text Inden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ascii="Calibri" w:hAnsi="Calibri"/>
      <w:kern w:val="2"/>
      <w:sz w:val="21"/>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pPr>
      <w:keepNext/>
      <w:keepLines/>
      <w:spacing w:line="560" w:lineRule="exact"/>
      <w:ind w:firstLineChars="200" w:firstLine="880"/>
      <w:outlineLvl w:val="1"/>
    </w:pPr>
    <w:rPr>
      <w:rFonts w:ascii="Arial" w:eastAsia="黑体" w:hAnsi="Arial" w:cs="宋体"/>
      <w:sz w:val="32"/>
      <w:szCs w:val="22"/>
    </w:rPr>
  </w:style>
  <w:style w:type="paragraph" w:styleId="3">
    <w:name w:val="heading 3"/>
    <w:basedOn w:val="a"/>
    <w:next w:val="a"/>
    <w:autoRedefine/>
    <w:unhideWhenUsed/>
    <w:qFormat/>
    <w:pPr>
      <w:snapToGrid w:val="0"/>
      <w:spacing w:line="580" w:lineRule="exact"/>
      <w:ind w:firstLineChars="200" w:firstLine="560"/>
      <w:jc w:val="left"/>
      <w:outlineLvl w:val="2"/>
    </w:pPr>
    <w:rPr>
      <w:rFonts w:ascii="宋体" w:eastAsia="楷体" w:hAnsi="宋体" w:hint="eastAsia"/>
      <w:kern w:val="0"/>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qFormat/>
    <w:pPr>
      <w:jc w:val="left"/>
    </w:pPr>
  </w:style>
  <w:style w:type="paragraph" w:styleId="a4">
    <w:name w:val="Body Text Indent"/>
    <w:autoRedefine/>
    <w:uiPriority w:val="99"/>
    <w:qFormat/>
    <w:pPr>
      <w:spacing w:after="120"/>
      <w:ind w:leftChars="200" w:left="420"/>
    </w:pPr>
    <w:rPr>
      <w:rFonts w:ascii="Calibri" w:hAnsi="Calibri"/>
    </w:rPr>
  </w:style>
  <w:style w:type="paragraph" w:styleId="a5">
    <w:name w:val="Balloon Text"/>
    <w:basedOn w:val="a"/>
    <w:link w:val="Char0"/>
    <w:autoRedefine/>
    <w:qFormat/>
    <w:rPr>
      <w:sz w:val="18"/>
      <w:szCs w:val="18"/>
    </w:rPr>
  </w:style>
  <w:style w:type="paragraph" w:styleId="a6">
    <w:name w:val="footer"/>
    <w:basedOn w:val="a"/>
    <w:link w:val="Char1"/>
    <w:autoRedefine/>
    <w:uiPriority w:val="99"/>
    <w:qFormat/>
    <w:pPr>
      <w:tabs>
        <w:tab w:val="center" w:pos="4153"/>
        <w:tab w:val="right" w:pos="8306"/>
      </w:tabs>
      <w:snapToGrid w:val="0"/>
      <w:jc w:val="left"/>
    </w:pPr>
    <w:rPr>
      <w:sz w:val="18"/>
    </w:rPr>
  </w:style>
  <w:style w:type="paragraph" w:styleId="a7">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8">
    <w:name w:val="Normal (Web)"/>
    <w:basedOn w:val="a"/>
    <w:autoRedefine/>
    <w:uiPriority w:val="99"/>
    <w:qFormat/>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2"/>
    <w:autoRedefine/>
    <w:qFormat/>
    <w:rPr>
      <w:b/>
      <w:bCs/>
    </w:rPr>
  </w:style>
  <w:style w:type="character" w:styleId="aa">
    <w:name w:val="annotation reference"/>
    <w:autoRedefine/>
    <w:qFormat/>
    <w:rPr>
      <w:sz w:val="21"/>
      <w:szCs w:val="21"/>
    </w:rPr>
  </w:style>
  <w:style w:type="character" w:customStyle="1" w:styleId="Char1">
    <w:name w:val="页脚 Char"/>
    <w:link w:val="a6"/>
    <w:autoRedefine/>
    <w:uiPriority w:val="99"/>
    <w:qFormat/>
    <w:rPr>
      <w:kern w:val="2"/>
      <w:sz w:val="18"/>
    </w:rPr>
  </w:style>
  <w:style w:type="character" w:customStyle="1" w:styleId="New">
    <w:name w:val="页码 New"/>
    <w:basedOn w:val="a0"/>
    <w:autoRedefine/>
    <w:qFormat/>
  </w:style>
  <w:style w:type="character" w:customStyle="1" w:styleId="NewNew">
    <w:name w:val="页码 New New"/>
    <w:basedOn w:val="a0"/>
    <w:autoRedefine/>
    <w:qFormat/>
  </w:style>
  <w:style w:type="character" w:customStyle="1" w:styleId="NewNewNew">
    <w:name w:val="页码 New New New"/>
    <w:basedOn w:val="a0"/>
    <w:autoRedefine/>
    <w:qFormat/>
  </w:style>
  <w:style w:type="character" w:customStyle="1" w:styleId="Char0">
    <w:name w:val="批注框文本 Char"/>
    <w:link w:val="a5"/>
    <w:autoRedefine/>
    <w:qFormat/>
    <w:rPr>
      <w:kern w:val="2"/>
      <w:sz w:val="18"/>
      <w:szCs w:val="18"/>
    </w:rPr>
  </w:style>
  <w:style w:type="character" w:customStyle="1" w:styleId="Char2">
    <w:name w:val="批注主题 Char"/>
    <w:link w:val="a9"/>
    <w:autoRedefine/>
    <w:qFormat/>
    <w:rPr>
      <w:b/>
      <w:bCs/>
      <w:kern w:val="2"/>
      <w:sz w:val="21"/>
    </w:rPr>
  </w:style>
  <w:style w:type="character" w:customStyle="1" w:styleId="Char">
    <w:name w:val="批注文字 Char"/>
    <w:link w:val="a3"/>
    <w:autoRedefine/>
    <w:qFormat/>
    <w:rPr>
      <w:kern w:val="2"/>
      <w:sz w:val="21"/>
    </w:rPr>
  </w:style>
  <w:style w:type="character" w:customStyle="1" w:styleId="NewNewNewNew">
    <w:name w:val="页码 New New New New"/>
    <w:basedOn w:val="a0"/>
    <w:autoRedefine/>
    <w:qFormat/>
  </w:style>
  <w:style w:type="paragraph" w:customStyle="1" w:styleId="NewNew0">
    <w:name w:val="正文 New New"/>
    <w:autoRedefine/>
    <w:qFormat/>
    <w:pPr>
      <w:widowControl w:val="0"/>
      <w:jc w:val="both"/>
    </w:pPr>
    <w:rPr>
      <w:rFonts w:ascii="Calibri" w:hAnsi="Calibri"/>
      <w:kern w:val="2"/>
      <w:sz w:val="21"/>
    </w:rPr>
  </w:style>
  <w:style w:type="paragraph" w:customStyle="1" w:styleId="New0">
    <w:name w:val="正文 New"/>
    <w:autoRedefine/>
    <w:qFormat/>
    <w:pPr>
      <w:widowControl w:val="0"/>
      <w:jc w:val="both"/>
    </w:pPr>
    <w:rPr>
      <w:rFonts w:ascii="Calibri" w:hAnsi="Calibri"/>
      <w:kern w:val="2"/>
      <w:sz w:val="21"/>
      <w:szCs w:val="24"/>
    </w:rPr>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paragraph" w:customStyle="1" w:styleId="10">
    <w:name w:val="页眉1"/>
    <w:basedOn w:val="a"/>
    <w:autoRedefine/>
    <w:uiPriority w:val="99"/>
    <w:qFormat/>
    <w:pPr>
      <w:pBdr>
        <w:bottom w:val="single" w:sz="6" w:space="1" w:color="auto"/>
      </w:pBdr>
      <w:tabs>
        <w:tab w:val="center" w:pos="4153"/>
        <w:tab w:val="right" w:pos="8306"/>
      </w:tabs>
      <w:snapToGrid w:val="0"/>
      <w:jc w:val="right"/>
    </w:pPr>
    <w:rPr>
      <w:rFonts w:hint="eastAsia"/>
    </w:rPr>
  </w:style>
  <w:style w:type="paragraph" w:customStyle="1" w:styleId="New1">
    <w:name w:val="页眉 New"/>
    <w:basedOn w:val="NewNew0"/>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NewNewNew0">
    <w:name w:val="页脚 New New New"/>
    <w:basedOn w:val="NewNewNew1"/>
    <w:autoRedefine/>
    <w:qFormat/>
    <w:pPr>
      <w:tabs>
        <w:tab w:val="center" w:pos="4153"/>
        <w:tab w:val="right" w:pos="8306"/>
      </w:tabs>
      <w:snapToGrid w:val="0"/>
      <w:jc w:val="left"/>
    </w:pPr>
    <w:rPr>
      <w:sz w:val="18"/>
    </w:rPr>
  </w:style>
  <w:style w:type="paragraph" w:customStyle="1" w:styleId="NewNewNew1">
    <w:name w:val="正文 New New New"/>
    <w:autoRedefine/>
    <w:qFormat/>
    <w:pPr>
      <w:widowControl w:val="0"/>
      <w:jc w:val="both"/>
    </w:pPr>
    <w:rPr>
      <w:rFonts w:ascii="Calibri" w:hAnsi="Calibri"/>
      <w:kern w:val="2"/>
      <w:sz w:val="21"/>
    </w:rPr>
  </w:style>
  <w:style w:type="paragraph" w:customStyle="1" w:styleId="NewNew1">
    <w:name w:val="页眉 New New"/>
    <w:basedOn w:val="NewNewNew1"/>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NewNewNewNewNewNewNewNewNewNewNew">
    <w:name w:val="正文 New New New New New New New New New New New"/>
    <w:autoRedefine/>
    <w:qFormat/>
    <w:pPr>
      <w:widowControl w:val="0"/>
      <w:jc w:val="both"/>
    </w:pPr>
    <w:rPr>
      <w:rFonts w:ascii="Calibri" w:hAnsi="Calibri"/>
      <w:kern w:val="2"/>
      <w:sz w:val="21"/>
    </w:rPr>
  </w:style>
  <w:style w:type="paragraph" w:customStyle="1" w:styleId="NewNewNewNewNew">
    <w:name w:val="正文 New New New New New"/>
    <w:autoRedefine/>
    <w:qFormat/>
    <w:pPr>
      <w:widowControl w:val="0"/>
      <w:jc w:val="both"/>
    </w:pPr>
    <w:rPr>
      <w:rFonts w:ascii="Calibri" w:hAnsi="Calibri"/>
      <w:kern w:val="2"/>
      <w:sz w:val="21"/>
    </w:rPr>
  </w:style>
  <w:style w:type="paragraph" w:customStyle="1" w:styleId="New2">
    <w:name w:val="页脚 New"/>
    <w:basedOn w:val="New0"/>
    <w:autoRedefine/>
    <w:qFormat/>
    <w:pPr>
      <w:tabs>
        <w:tab w:val="center" w:pos="4153"/>
        <w:tab w:val="right" w:pos="8306"/>
      </w:tabs>
      <w:snapToGrid w:val="0"/>
      <w:jc w:val="left"/>
    </w:pPr>
    <w:rPr>
      <w:sz w:val="18"/>
      <w:szCs w:val="18"/>
    </w:rPr>
  </w:style>
  <w:style w:type="paragraph" w:customStyle="1" w:styleId="11">
    <w:name w:val="页脚1"/>
    <w:basedOn w:val="a"/>
    <w:autoRedefine/>
    <w:uiPriority w:val="99"/>
    <w:qFormat/>
    <w:pPr>
      <w:tabs>
        <w:tab w:val="center" w:pos="4153"/>
        <w:tab w:val="right" w:pos="8306"/>
      </w:tabs>
      <w:snapToGrid w:val="0"/>
      <w:jc w:val="right"/>
    </w:pPr>
    <w:rPr>
      <w:rFonts w:hint="eastAsia"/>
    </w:rPr>
  </w:style>
  <w:style w:type="paragraph" w:customStyle="1" w:styleId="NewNewNewNewNewNewNewNewNew">
    <w:name w:val="正文 New New New New New New New New New"/>
    <w:autoRedefine/>
    <w:qFormat/>
    <w:pPr>
      <w:widowControl w:val="0"/>
      <w:jc w:val="both"/>
    </w:pPr>
    <w:rPr>
      <w:rFonts w:ascii="Calibri" w:hAnsi="Calibri"/>
      <w:kern w:val="2"/>
      <w:sz w:val="21"/>
    </w:rPr>
  </w:style>
  <w:style w:type="paragraph" w:customStyle="1" w:styleId="NewNew2">
    <w:name w:val="页脚 New New"/>
    <w:basedOn w:val="NewNew0"/>
    <w:autoRedefine/>
    <w:qFormat/>
    <w:pPr>
      <w:tabs>
        <w:tab w:val="center" w:pos="4153"/>
        <w:tab w:val="right" w:pos="8306"/>
      </w:tabs>
      <w:snapToGrid w:val="0"/>
      <w:jc w:val="left"/>
    </w:pPr>
    <w:rPr>
      <w:sz w:val="18"/>
    </w:rPr>
  </w:style>
  <w:style w:type="paragraph" w:customStyle="1" w:styleId="NewNewNewNew0">
    <w:name w:val="页脚 New New New New"/>
    <w:basedOn w:val="NewNewNewNewNewNewNewNewNewNewNewNew"/>
    <w:autoRedefine/>
    <w:qFormat/>
    <w:pPr>
      <w:tabs>
        <w:tab w:val="center" w:pos="4153"/>
        <w:tab w:val="right" w:pos="8306"/>
      </w:tabs>
      <w:snapToGrid w:val="0"/>
      <w:jc w:val="left"/>
    </w:pPr>
    <w:rPr>
      <w:sz w:val="18"/>
      <w:szCs w:val="18"/>
    </w:rPr>
  </w:style>
  <w:style w:type="paragraph" w:customStyle="1" w:styleId="NewNewNewNewNewNewNewNewNewNewNewNew">
    <w:name w:val="正文 New New New New New New New New New New New New"/>
    <w:autoRedefine/>
    <w:qFormat/>
    <w:pPr>
      <w:widowControl w:val="0"/>
      <w:jc w:val="both"/>
    </w:pPr>
    <w:rPr>
      <w:rFonts w:ascii="Calibri" w:hAnsi="Calibri"/>
      <w:kern w:val="2"/>
      <w:sz w:val="21"/>
      <w:szCs w:val="24"/>
    </w:rPr>
  </w:style>
  <w:style w:type="paragraph" w:styleId="ab">
    <w:name w:val="List Paragraph"/>
    <w:basedOn w:val="a"/>
    <w:autoRedefine/>
    <w:uiPriority w:val="34"/>
    <w:qFormat/>
    <w:pPr>
      <w:widowControl/>
      <w:ind w:firstLineChars="200" w:firstLine="420"/>
      <w:jc w:val="left"/>
    </w:pPr>
    <w:rPr>
      <w:rFonts w:ascii="宋体" w:hAnsi="宋体" w:cs="宋体"/>
      <w:kern w:val="0"/>
      <w:sz w:val="24"/>
      <w:szCs w:val="24"/>
    </w:rPr>
  </w:style>
  <w:style w:type="paragraph" w:customStyle="1" w:styleId="12">
    <w:name w:val="修订1"/>
    <w:autoRedefine/>
    <w:uiPriority w:val="99"/>
    <w:qFormat/>
    <w:rPr>
      <w:rFonts w:ascii="Calibri" w:hAnsi="Calibri"/>
      <w:kern w:val="2"/>
      <w:sz w:val="21"/>
    </w:rPr>
  </w:style>
  <w:style w:type="paragraph" w:customStyle="1" w:styleId="NewNewNewNew1">
    <w:name w:val="正文 New New New New"/>
    <w:autoRedefine/>
    <w:qFormat/>
    <w:pPr>
      <w:widowControl w:val="0"/>
      <w:jc w:val="both"/>
    </w:pPr>
    <w:rPr>
      <w:rFonts w:ascii="Calibri" w:hAnsi="Calibri"/>
      <w:kern w:val="2"/>
      <w:sz w:val="21"/>
    </w:rPr>
  </w:style>
  <w:style w:type="paragraph" w:customStyle="1" w:styleId="NewNewNewNewNewNewNewNewNewNew">
    <w:name w:val="正文 New New New New New New New New New New"/>
    <w:autoRedefine/>
    <w:qFormat/>
    <w:pPr>
      <w:widowControl w:val="0"/>
      <w:jc w:val="both"/>
    </w:pPr>
    <w:rPr>
      <w:rFonts w:ascii="Calibri" w:hAnsi="Calibri"/>
      <w:kern w:val="2"/>
      <w:sz w:val="21"/>
    </w:rPr>
  </w:style>
  <w:style w:type="paragraph" w:customStyle="1" w:styleId="NewNewNewNewNewNew">
    <w:name w:val="正文 New New New New New New"/>
    <w:autoRedefine/>
    <w:qFormat/>
    <w:pPr>
      <w:widowControl w:val="0"/>
      <w:jc w:val="both"/>
    </w:pPr>
    <w:rPr>
      <w:rFonts w:ascii="Calibri" w:hAnsi="Calibri"/>
      <w:kern w:val="2"/>
      <w:sz w:val="21"/>
    </w:rPr>
  </w:style>
  <w:style w:type="paragraph" w:customStyle="1" w:styleId="NewNewNewNewNewNewNewNewNewNewNewNewNew">
    <w:name w:val="正文 New New New New New New New New New New New New New"/>
    <w:autoRedefine/>
    <w:qFormat/>
    <w:pPr>
      <w:widowControl w:val="0"/>
      <w:jc w:val="both"/>
    </w:pPr>
    <w:rPr>
      <w:rFonts w:ascii="Calibri" w:hAnsi="Calibri"/>
      <w:kern w:val="2"/>
      <w:sz w:val="21"/>
    </w:rPr>
  </w:style>
  <w:style w:type="paragraph" w:customStyle="1" w:styleId="NewNewNewNewNewNewNew">
    <w:name w:val="正文 New New New New New New New"/>
    <w:autoRedefine/>
    <w:qFormat/>
    <w:pPr>
      <w:widowControl w:val="0"/>
      <w:jc w:val="both"/>
    </w:pPr>
    <w:rPr>
      <w:rFonts w:ascii="Calibri" w:hAnsi="Calibri"/>
      <w:kern w:val="2"/>
      <w:sz w:val="21"/>
    </w:rPr>
  </w:style>
  <w:style w:type="paragraph" w:customStyle="1" w:styleId="NewNewNewNewNewNewNewNew">
    <w:name w:val="正文 New New New New New New New New"/>
    <w:autoRedefine/>
    <w:qFormat/>
    <w:pPr>
      <w:widowControl w:val="0"/>
      <w:jc w:val="both"/>
    </w:pPr>
    <w:rPr>
      <w:rFonts w:ascii="Calibri" w:hAnsi="Calibri"/>
      <w:kern w:val="2"/>
      <w:sz w:val="21"/>
    </w:rPr>
  </w:style>
  <w:style w:type="paragraph" w:customStyle="1" w:styleId="13">
    <w:name w:val="正文1"/>
    <w:autoRedefine/>
    <w:qFormat/>
    <w:pPr>
      <w:jc w:val="both"/>
    </w:pPr>
    <w:rPr>
      <w:kern w:val="2"/>
      <w:sz w:val="21"/>
      <w:szCs w:val="21"/>
    </w:rPr>
  </w:style>
  <w:style w:type="character" w:customStyle="1" w:styleId="2Char">
    <w:name w:val="标题 2 Char"/>
    <w:basedOn w:val="a0"/>
    <w:link w:val="2"/>
    <w:autoRedefine/>
    <w:qFormat/>
    <w:rPr>
      <w:rFonts w:ascii="Arial" w:eastAsia="黑体" w:hAnsi="Arial" w:cs="宋体"/>
      <w:kern w:val="2"/>
      <w:sz w:val="32"/>
      <w:szCs w:val="22"/>
    </w:rPr>
  </w:style>
  <w:style w:type="character" w:customStyle="1" w:styleId="1Char">
    <w:name w:val="标题 1 Char"/>
    <w:basedOn w:val="a0"/>
    <w:link w:val="1"/>
    <w:autoRedefine/>
    <w:uiPriority w:val="9"/>
    <w:qFormat/>
    <w:rPr>
      <w:rFonts w:ascii="Calibri" w:hAnsi="Calibri"/>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D781F-8105-49FF-905D-DF824AB66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292</Words>
  <Characters>1671</Characters>
  <Application>Microsoft Office Word</Application>
  <DocSecurity>0</DocSecurity>
  <Lines>13</Lines>
  <Paragraphs>3</Paragraphs>
  <ScaleCrop>false</ScaleCrop>
  <Company>Microsoft</Company>
  <LinksUpToDate>false</LinksUpToDate>
  <CharactersWithSpaces>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投资者关系活动记录表</dc:title>
  <dc:creator>Administrator</dc:creator>
  <cp:lastModifiedBy>杨洁芸</cp:lastModifiedBy>
  <cp:revision>9</cp:revision>
  <cp:lastPrinted>2024-08-02T08:58:00Z</cp:lastPrinted>
  <dcterms:created xsi:type="dcterms:W3CDTF">2024-06-30T08:07:00Z</dcterms:created>
  <dcterms:modified xsi:type="dcterms:W3CDTF">2024-09-30T08:30:00Z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7F72A572134945338C059A3A2B816031_13</vt:lpwstr>
  </property>
</Properties>
</file>