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795A4F2" w14:textId="77777777" w:rsidR="008F5021" w:rsidRDefault="00000000">
      <w:pPr>
        <w:pStyle w:val="ab"/>
        <w:spacing w:before="0" w:beforeAutospacing="0" w:after="0" w:afterAutospacing="0" w:line="360" w:lineRule="auto"/>
        <w:ind w:firstLineChars="200" w:firstLine="480"/>
        <w:rPr>
          <w:rFonts w:hint="eastAsia"/>
        </w:rPr>
      </w:pPr>
      <w:r>
        <w:rPr>
          <w:rFonts w:hint="eastAsia"/>
        </w:rPr>
        <w:t>证券代码：</w:t>
      </w:r>
      <w:r>
        <w:rPr>
          <w:rFonts w:hint="eastAsia"/>
          <w:b/>
        </w:rPr>
        <w:t>6</w:t>
      </w:r>
      <w:r>
        <w:rPr>
          <w:b/>
        </w:rPr>
        <w:t>00941</w:t>
      </w:r>
      <w:r>
        <w:rPr>
          <w:rFonts w:hint="eastAsia"/>
        </w:rPr>
        <w:t xml:space="preserve">                          证券简称：</w:t>
      </w:r>
      <w:r>
        <w:rPr>
          <w:rFonts w:hint="eastAsia"/>
          <w:b/>
        </w:rPr>
        <w:t>中国移动</w:t>
      </w:r>
    </w:p>
    <w:p w14:paraId="52E5A204" w14:textId="77777777" w:rsidR="008F5021" w:rsidRDefault="00000000">
      <w:pPr>
        <w:pStyle w:val="ab"/>
        <w:spacing w:before="0" w:beforeAutospacing="0" w:after="0" w:afterAutospacing="0" w:line="360" w:lineRule="auto"/>
        <w:jc w:val="center"/>
        <w:rPr>
          <w:rFonts w:hint="eastAsia"/>
          <w:b/>
        </w:rPr>
      </w:pPr>
      <w:r>
        <w:rPr>
          <w:rFonts w:hint="eastAsia"/>
          <w:b/>
        </w:rPr>
        <w:t>中国移动有限公司投资者关系活动记录表</w:t>
      </w:r>
    </w:p>
    <w:p w14:paraId="4E8565F1" w14:textId="77777777" w:rsidR="008F5021" w:rsidRDefault="00000000">
      <w:pPr>
        <w:pStyle w:val="ab"/>
        <w:spacing w:before="0" w:beforeAutospacing="0" w:after="0" w:afterAutospacing="0" w:line="360" w:lineRule="auto"/>
        <w:ind w:firstLineChars="200" w:firstLine="480"/>
        <w:jc w:val="right"/>
        <w:rPr>
          <w:rFonts w:hint="eastAsia"/>
        </w:rPr>
      </w:pPr>
      <w:r>
        <w:rPr>
          <w:rFonts w:hint="eastAsia"/>
        </w:rPr>
        <w:t>编号：2024-006</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96"/>
        <w:gridCol w:w="6586"/>
      </w:tblGrid>
      <w:tr w:rsidR="008F5021" w14:paraId="6F7A6796" w14:textId="77777777">
        <w:tc>
          <w:tcPr>
            <w:tcW w:w="1696" w:type="dxa"/>
          </w:tcPr>
          <w:p w14:paraId="6EA4BD5E" w14:textId="77777777" w:rsidR="008F5021" w:rsidRDefault="00000000">
            <w:pPr>
              <w:pStyle w:val="ab"/>
              <w:spacing w:before="0" w:beforeAutospacing="0" w:after="0" w:afterAutospacing="0" w:line="360" w:lineRule="auto"/>
              <w:rPr>
                <w:rFonts w:hint="eastAsia"/>
              </w:rPr>
            </w:pPr>
            <w:r>
              <w:rPr>
                <w:rFonts w:hint="eastAsia"/>
              </w:rPr>
              <w:t>投资者关系活动类别</w:t>
            </w:r>
          </w:p>
        </w:tc>
        <w:tc>
          <w:tcPr>
            <w:tcW w:w="6586" w:type="dxa"/>
          </w:tcPr>
          <w:p w14:paraId="4101B1CA" w14:textId="77777777" w:rsidR="008F5021" w:rsidRDefault="00000000">
            <w:pPr>
              <w:pStyle w:val="ab"/>
              <w:spacing w:line="360" w:lineRule="auto"/>
              <w:rPr>
                <w:rFonts w:hint="eastAsia"/>
              </w:rPr>
            </w:pPr>
            <w:r>
              <w:rPr>
                <w:rFonts w:hint="eastAsia"/>
              </w:rPr>
              <w:sym w:font="Wingdings 2" w:char="0052"/>
            </w:r>
            <w:r>
              <w:rPr>
                <w:rFonts w:hint="eastAsia"/>
              </w:rPr>
              <w:t>特定对象调研 □分析</w:t>
            </w:r>
            <w:proofErr w:type="gramStart"/>
            <w:r>
              <w:rPr>
                <w:rFonts w:hint="eastAsia"/>
              </w:rPr>
              <w:t>师会议</w:t>
            </w:r>
            <w:proofErr w:type="gramEnd"/>
            <w:r>
              <w:rPr>
                <w:rFonts w:hint="eastAsia"/>
              </w:rPr>
              <w:t xml:space="preserve"> □媒体采访 □业绩说明会</w:t>
            </w:r>
          </w:p>
          <w:p w14:paraId="790E68EC" w14:textId="77777777" w:rsidR="008F5021" w:rsidRDefault="00000000">
            <w:pPr>
              <w:pStyle w:val="ab"/>
              <w:spacing w:line="360" w:lineRule="auto"/>
              <w:rPr>
                <w:rFonts w:hint="eastAsia"/>
              </w:rPr>
            </w:pPr>
            <w:r>
              <w:rPr>
                <w:rFonts w:hint="eastAsia"/>
              </w:rPr>
              <w:t xml:space="preserve">□新闻发布会 </w:t>
            </w:r>
            <w:r>
              <w:rPr>
                <w:rFonts w:hint="eastAsia"/>
              </w:rPr>
              <w:sym w:font="Wingdings 2" w:char="00A3"/>
            </w:r>
            <w:r>
              <w:rPr>
                <w:rFonts w:hint="eastAsia"/>
              </w:rPr>
              <w:t xml:space="preserve">路演活动 </w:t>
            </w:r>
            <w:r>
              <w:rPr>
                <w:rFonts w:hint="eastAsia"/>
              </w:rPr>
              <w:sym w:font="Wingdings 2" w:char="0052"/>
            </w:r>
            <w:r>
              <w:rPr>
                <w:rFonts w:hint="eastAsia"/>
              </w:rPr>
              <w:t>现场参观</w:t>
            </w:r>
          </w:p>
          <w:p w14:paraId="38DC1E12" w14:textId="77777777" w:rsidR="008F5021" w:rsidRDefault="00000000">
            <w:pPr>
              <w:pStyle w:val="ab"/>
              <w:spacing w:before="0" w:beforeAutospacing="0" w:after="0" w:afterAutospacing="0" w:line="360" w:lineRule="auto"/>
              <w:rPr>
                <w:rFonts w:hint="eastAsia"/>
              </w:rPr>
            </w:pPr>
            <w:r>
              <w:rPr>
                <w:rFonts w:hint="eastAsia"/>
              </w:rPr>
              <w:t>□其他 （</w:t>
            </w:r>
            <w:proofErr w:type="gramStart"/>
            <w:r>
              <w:rPr>
                <w:rFonts w:hint="eastAsia"/>
              </w:rPr>
              <w:t>请文字</w:t>
            </w:r>
            <w:proofErr w:type="gramEnd"/>
            <w:r>
              <w:rPr>
                <w:rFonts w:hint="eastAsia"/>
              </w:rPr>
              <w:t>说明其他活动内容）</w:t>
            </w:r>
          </w:p>
        </w:tc>
      </w:tr>
      <w:tr w:rsidR="008F5021" w14:paraId="23F8E20A" w14:textId="77777777">
        <w:trPr>
          <w:trHeight w:val="988"/>
        </w:trPr>
        <w:tc>
          <w:tcPr>
            <w:tcW w:w="1696" w:type="dxa"/>
          </w:tcPr>
          <w:p w14:paraId="45E4D788" w14:textId="77777777" w:rsidR="008F5021" w:rsidRDefault="00000000">
            <w:pPr>
              <w:pStyle w:val="ab"/>
              <w:spacing w:before="0" w:beforeAutospacing="0" w:after="0" w:afterAutospacing="0" w:line="360" w:lineRule="auto"/>
              <w:rPr>
                <w:rFonts w:hint="eastAsia"/>
              </w:rPr>
            </w:pPr>
            <w:r>
              <w:rPr>
                <w:rFonts w:hint="eastAsia"/>
              </w:rPr>
              <w:t>参与单位名称及人员姓名</w:t>
            </w:r>
          </w:p>
        </w:tc>
        <w:tc>
          <w:tcPr>
            <w:tcW w:w="6586" w:type="dxa"/>
          </w:tcPr>
          <w:p w14:paraId="772D67ED" w14:textId="77777777" w:rsidR="008F5021" w:rsidRDefault="00000000">
            <w:pPr>
              <w:pStyle w:val="ab"/>
              <w:spacing w:line="360" w:lineRule="auto"/>
              <w:rPr>
                <w:rFonts w:hint="eastAsia"/>
              </w:rPr>
            </w:pPr>
            <w:r>
              <w:rPr>
                <w:rFonts w:hint="eastAsia"/>
              </w:rPr>
              <w:t>（排名不分先后）广发证券、华泰证券、天风证券、招商证券、</w:t>
            </w:r>
            <w:proofErr w:type="gramStart"/>
            <w:r>
              <w:rPr>
                <w:rFonts w:hint="eastAsia"/>
              </w:rPr>
              <w:t>浙商证券</w:t>
            </w:r>
            <w:proofErr w:type="gramEnd"/>
            <w:r>
              <w:rPr>
                <w:rFonts w:hint="eastAsia"/>
              </w:rPr>
              <w:t>、中金公司、中信证券、博时基金、大成基金、淡水泉投资、富国基金、国寿资产、国泰基金、南方基金、前海开源基金、人保资产、中信证券资管、</w:t>
            </w:r>
            <w:r>
              <w:t>中信证券自营、中兴汉广投资</w:t>
            </w:r>
          </w:p>
        </w:tc>
      </w:tr>
      <w:tr w:rsidR="008F5021" w14:paraId="723E6FFE" w14:textId="77777777">
        <w:tc>
          <w:tcPr>
            <w:tcW w:w="1696" w:type="dxa"/>
          </w:tcPr>
          <w:p w14:paraId="1E0465B0" w14:textId="77777777" w:rsidR="008F5021" w:rsidRDefault="00000000">
            <w:pPr>
              <w:pStyle w:val="ab"/>
              <w:spacing w:before="0" w:beforeAutospacing="0" w:after="0" w:afterAutospacing="0" w:line="360" w:lineRule="auto"/>
              <w:rPr>
                <w:rFonts w:hint="eastAsia"/>
              </w:rPr>
            </w:pPr>
            <w:r>
              <w:rPr>
                <w:rFonts w:hint="eastAsia"/>
              </w:rPr>
              <w:t>时间</w:t>
            </w:r>
          </w:p>
        </w:tc>
        <w:tc>
          <w:tcPr>
            <w:tcW w:w="6586" w:type="dxa"/>
          </w:tcPr>
          <w:p w14:paraId="29BDD26D" w14:textId="77777777" w:rsidR="008F5021" w:rsidRDefault="00000000">
            <w:pPr>
              <w:pStyle w:val="ab"/>
              <w:spacing w:before="0" w:beforeAutospacing="0" w:after="0" w:afterAutospacing="0" w:line="360" w:lineRule="auto"/>
              <w:rPr>
                <w:rFonts w:hint="eastAsia"/>
              </w:rPr>
            </w:pPr>
            <w:r>
              <w:rPr>
                <w:rFonts w:hint="eastAsia"/>
              </w:rPr>
              <w:t>2</w:t>
            </w:r>
            <w:r>
              <w:t>02</w:t>
            </w:r>
            <w:r>
              <w:rPr>
                <w:rFonts w:hint="eastAsia"/>
              </w:rPr>
              <w:t>4年9月27日</w:t>
            </w:r>
          </w:p>
        </w:tc>
      </w:tr>
      <w:tr w:rsidR="008F5021" w14:paraId="1805A13E" w14:textId="77777777">
        <w:tc>
          <w:tcPr>
            <w:tcW w:w="1696" w:type="dxa"/>
          </w:tcPr>
          <w:p w14:paraId="605B5FA7" w14:textId="77777777" w:rsidR="008F5021" w:rsidRDefault="00000000">
            <w:pPr>
              <w:pStyle w:val="ab"/>
              <w:spacing w:before="0" w:beforeAutospacing="0" w:after="0" w:afterAutospacing="0" w:line="360" w:lineRule="auto"/>
              <w:rPr>
                <w:rFonts w:hint="eastAsia"/>
              </w:rPr>
            </w:pPr>
            <w:r>
              <w:rPr>
                <w:rFonts w:hint="eastAsia"/>
              </w:rPr>
              <w:t>地点</w:t>
            </w:r>
          </w:p>
        </w:tc>
        <w:tc>
          <w:tcPr>
            <w:tcW w:w="6586" w:type="dxa"/>
          </w:tcPr>
          <w:p w14:paraId="2C717797" w14:textId="77777777" w:rsidR="008F5021" w:rsidRDefault="00000000">
            <w:pPr>
              <w:pStyle w:val="ab"/>
              <w:spacing w:before="0" w:beforeAutospacing="0" w:after="0" w:afterAutospacing="0" w:line="360" w:lineRule="auto"/>
              <w:rPr>
                <w:rFonts w:hint="eastAsia"/>
              </w:rPr>
            </w:pPr>
            <w:r>
              <w:rPr>
                <w:rFonts w:hint="eastAsia"/>
              </w:rPr>
              <w:t>公司会议室</w:t>
            </w:r>
          </w:p>
        </w:tc>
      </w:tr>
      <w:tr w:rsidR="008F5021" w14:paraId="599150B8" w14:textId="77777777">
        <w:trPr>
          <w:trHeight w:val="1155"/>
        </w:trPr>
        <w:tc>
          <w:tcPr>
            <w:tcW w:w="1696" w:type="dxa"/>
          </w:tcPr>
          <w:p w14:paraId="2B0782A5" w14:textId="77777777" w:rsidR="008F5021" w:rsidRDefault="00000000">
            <w:pPr>
              <w:pStyle w:val="ab"/>
              <w:spacing w:before="0" w:beforeAutospacing="0" w:after="0" w:afterAutospacing="0" w:line="360" w:lineRule="auto"/>
              <w:rPr>
                <w:rFonts w:hint="eastAsia"/>
              </w:rPr>
            </w:pPr>
            <w:r>
              <w:rPr>
                <w:rFonts w:hint="eastAsia"/>
              </w:rPr>
              <w:t>上市公司接待人员姓名</w:t>
            </w:r>
          </w:p>
        </w:tc>
        <w:tc>
          <w:tcPr>
            <w:tcW w:w="6586" w:type="dxa"/>
          </w:tcPr>
          <w:p w14:paraId="5A2BB37B" w14:textId="77777777" w:rsidR="008F5021" w:rsidRDefault="00000000">
            <w:pPr>
              <w:pStyle w:val="ab"/>
              <w:spacing w:before="0" w:beforeAutospacing="0" w:after="0" w:afterAutospacing="0" w:line="360" w:lineRule="auto"/>
              <w:rPr>
                <w:rFonts w:hint="eastAsia"/>
              </w:rPr>
            </w:pPr>
            <w:r>
              <w:rPr>
                <w:rFonts w:hint="eastAsia"/>
              </w:rPr>
              <w:t>中国移动证券事务部有关人员</w:t>
            </w:r>
          </w:p>
        </w:tc>
      </w:tr>
      <w:tr w:rsidR="008F5021" w14:paraId="2BF8C8F9" w14:textId="77777777">
        <w:trPr>
          <w:trHeight w:val="1266"/>
        </w:trPr>
        <w:tc>
          <w:tcPr>
            <w:tcW w:w="1696" w:type="dxa"/>
          </w:tcPr>
          <w:p w14:paraId="36D29748" w14:textId="77777777" w:rsidR="008F5021" w:rsidRDefault="00000000">
            <w:pPr>
              <w:pStyle w:val="ab"/>
              <w:spacing w:before="0" w:beforeAutospacing="0" w:after="0" w:afterAutospacing="0" w:line="360" w:lineRule="auto"/>
              <w:rPr>
                <w:rFonts w:hint="eastAsia"/>
              </w:rPr>
            </w:pPr>
            <w:r>
              <w:rPr>
                <w:rFonts w:hint="eastAsia"/>
              </w:rPr>
              <w:t>投资者关系活动主要内容介绍</w:t>
            </w:r>
          </w:p>
        </w:tc>
        <w:tc>
          <w:tcPr>
            <w:tcW w:w="6586" w:type="dxa"/>
          </w:tcPr>
          <w:p w14:paraId="48028956" w14:textId="77777777" w:rsidR="008F5021" w:rsidRDefault="00000000">
            <w:pPr>
              <w:pStyle w:val="ab"/>
              <w:spacing w:before="0" w:beforeAutospacing="0" w:after="0" w:afterAutospacing="0" w:line="360" w:lineRule="auto"/>
              <w:ind w:firstLineChars="200" w:firstLine="480"/>
              <w:rPr>
                <w:rFonts w:hint="eastAsia"/>
              </w:rPr>
            </w:pPr>
            <w:r>
              <w:rPr>
                <w:rFonts w:hint="eastAsia"/>
              </w:rPr>
              <w:t>问答环节主要内容（以下内容中相关财务数据均为国际财务报告准则下数据，相关详情可参考公司于联交所网站或本公司官方网站发布的港股业绩公告、业绩推介材料等文件）：</w:t>
            </w:r>
          </w:p>
          <w:p w14:paraId="245B7C77" w14:textId="77777777" w:rsidR="008F5021" w:rsidRDefault="00000000">
            <w:pPr>
              <w:pStyle w:val="ab"/>
              <w:numPr>
                <w:ilvl w:val="0"/>
                <w:numId w:val="1"/>
              </w:numPr>
              <w:spacing w:before="0" w:beforeAutospacing="0" w:after="0" w:afterAutospacing="0" w:line="360" w:lineRule="auto"/>
              <w:ind w:firstLineChars="200" w:firstLine="482"/>
              <w:rPr>
                <w:rFonts w:hint="eastAsia"/>
                <w:b/>
              </w:rPr>
            </w:pPr>
            <w:r>
              <w:rPr>
                <w:rFonts w:hint="eastAsia"/>
                <w:b/>
              </w:rPr>
              <w:t>请问公司采取哪些举措助力资本市场稳定运行？</w:t>
            </w:r>
          </w:p>
          <w:p w14:paraId="64C29B00" w14:textId="77777777" w:rsidR="008F5021" w:rsidRDefault="00000000">
            <w:pPr>
              <w:pStyle w:val="ab"/>
              <w:spacing w:before="0" w:beforeAutospacing="0" w:after="0" w:afterAutospacing="0" w:line="360" w:lineRule="auto"/>
              <w:ind w:firstLineChars="200" w:firstLine="480"/>
              <w:rPr>
                <w:rFonts w:hint="eastAsia"/>
              </w:rPr>
            </w:pPr>
            <w:r>
              <w:rPr>
                <w:rFonts w:hint="eastAsia"/>
              </w:rPr>
              <w:t>中国移动一直以来积极贯彻落实党中央、国务院以及监管机构的相关规定要求，公司持续做好提高上市公司质量相关工作，支持资本市场健康发展：</w:t>
            </w:r>
            <w:r>
              <w:rPr>
                <w:rFonts w:hint="eastAsia"/>
                <w:b/>
                <w:bCs/>
              </w:rPr>
              <w:t>一是</w:t>
            </w:r>
            <w:r>
              <w:rPr>
                <w:rFonts w:hint="eastAsia"/>
              </w:rPr>
              <w:t>夯实企业经营基本面，始终把做</w:t>
            </w:r>
            <w:proofErr w:type="gramStart"/>
            <w:r>
              <w:rPr>
                <w:rFonts w:hint="eastAsia"/>
              </w:rPr>
              <w:t>强做</w:t>
            </w:r>
            <w:proofErr w:type="gramEnd"/>
            <w:r>
              <w:rPr>
                <w:rFonts w:hint="eastAsia"/>
              </w:rPr>
              <w:t>优企业基本面摆在首要位置，努力实现公司经营可持续良好发展。</w:t>
            </w:r>
            <w:r>
              <w:rPr>
                <w:rFonts w:hint="eastAsia"/>
                <w:b/>
                <w:bCs/>
              </w:rPr>
              <w:t>二是</w:t>
            </w:r>
            <w:r>
              <w:rPr>
                <w:rFonts w:hint="eastAsia"/>
              </w:rPr>
              <w:t>科学制定分红派息政策，上市二十多年来坚持真金白银回馈股东，从2024年起，三年内以现金方式分配的利润逐步提升至当</w:t>
            </w:r>
            <w:proofErr w:type="gramStart"/>
            <w:r>
              <w:rPr>
                <w:rFonts w:hint="eastAsia"/>
              </w:rPr>
              <w:t>年股东</w:t>
            </w:r>
            <w:proofErr w:type="gramEnd"/>
            <w:r>
              <w:rPr>
                <w:rFonts w:hint="eastAsia"/>
              </w:rPr>
              <w:t>应占利润的75%以上。</w:t>
            </w:r>
            <w:r>
              <w:rPr>
                <w:rFonts w:hint="eastAsia"/>
                <w:b/>
                <w:bCs/>
              </w:rPr>
              <w:t>三是</w:t>
            </w:r>
            <w:r>
              <w:rPr>
                <w:rFonts w:hint="eastAsia"/>
              </w:rPr>
              <w:t>合理运用增持、回购等资本市场工具，着力提</w:t>
            </w:r>
            <w:proofErr w:type="gramStart"/>
            <w:r>
              <w:rPr>
                <w:rFonts w:hint="eastAsia"/>
              </w:rPr>
              <w:t>振市</w:t>
            </w:r>
            <w:r>
              <w:rPr>
                <w:rFonts w:hint="eastAsia"/>
              </w:rPr>
              <w:lastRenderedPageBreak/>
              <w:t>场</w:t>
            </w:r>
            <w:proofErr w:type="gramEnd"/>
            <w:r>
              <w:rPr>
                <w:rFonts w:hint="eastAsia"/>
              </w:rPr>
              <w:t>信心。</w:t>
            </w:r>
            <w:r>
              <w:rPr>
                <w:rFonts w:hint="eastAsia"/>
                <w:b/>
                <w:bCs/>
              </w:rPr>
              <w:t>四是</w:t>
            </w:r>
            <w:r>
              <w:rPr>
                <w:rFonts w:hint="eastAsia"/>
              </w:rPr>
              <w:t>创新加强投资者沟通，增进资本市场对公司的理解和认同。</w:t>
            </w:r>
            <w:r>
              <w:rPr>
                <w:rFonts w:hint="eastAsia"/>
                <w:b/>
                <w:bCs/>
              </w:rPr>
              <w:t>五是</w:t>
            </w:r>
            <w:r>
              <w:rPr>
                <w:rFonts w:hint="eastAsia"/>
              </w:rPr>
              <w:t>高度重视信息披露质量。</w:t>
            </w:r>
            <w:r>
              <w:rPr>
                <w:rFonts w:hint="eastAsia"/>
                <w:b/>
                <w:bCs/>
              </w:rPr>
              <w:t>六是</w:t>
            </w:r>
            <w:r>
              <w:rPr>
                <w:rFonts w:hint="eastAsia"/>
              </w:rPr>
              <w:t>研究优化估值模型，推动市场对公司的估值向全面反映公司高股息、科技创新、</w:t>
            </w:r>
            <w:proofErr w:type="gramStart"/>
            <w:r>
              <w:rPr>
                <w:rFonts w:hint="eastAsia"/>
              </w:rPr>
              <w:t>数智转型</w:t>
            </w:r>
            <w:proofErr w:type="gramEnd"/>
            <w:r>
              <w:rPr>
                <w:rFonts w:hint="eastAsia"/>
              </w:rPr>
              <w:t>等价值的新估值模型转变。</w:t>
            </w:r>
          </w:p>
          <w:p w14:paraId="18C12A91" w14:textId="77777777" w:rsidR="008F5021" w:rsidRDefault="00000000">
            <w:pPr>
              <w:pStyle w:val="ab"/>
              <w:numPr>
                <w:ilvl w:val="0"/>
                <w:numId w:val="1"/>
              </w:numPr>
              <w:spacing w:before="0" w:beforeAutospacing="0" w:after="0" w:afterAutospacing="0" w:line="360" w:lineRule="auto"/>
              <w:ind w:firstLineChars="200" w:firstLine="482"/>
              <w:rPr>
                <w:rFonts w:hint="eastAsia"/>
                <w:b/>
              </w:rPr>
            </w:pPr>
            <w:r>
              <w:rPr>
                <w:rFonts w:hint="eastAsia"/>
                <w:b/>
              </w:rPr>
              <w:t xml:space="preserve">请问公司的期权计划目前进展如何？ </w:t>
            </w:r>
          </w:p>
          <w:p w14:paraId="458AAECE" w14:textId="77777777" w:rsidR="008F5021" w:rsidRDefault="00000000">
            <w:pPr>
              <w:pStyle w:val="ab"/>
              <w:spacing w:before="0" w:beforeAutospacing="0" w:after="0" w:afterAutospacing="0" w:line="360" w:lineRule="auto"/>
              <w:ind w:firstLineChars="200" w:firstLine="480"/>
              <w:rPr>
                <w:rFonts w:hint="eastAsia"/>
              </w:rPr>
            </w:pPr>
            <w:r>
              <w:rPr>
                <w:rFonts w:hint="eastAsia"/>
              </w:rPr>
              <w:t>公司于2020年5月20日举行的股东周年大会上，通过决议案批准采纳公司股票期权激励计划。公司两轮股票期权分别于2020年、</w:t>
            </w:r>
            <w:proofErr w:type="gramStart"/>
            <w:r>
              <w:rPr>
                <w:rFonts w:hint="eastAsia"/>
              </w:rPr>
              <w:t>2022年授出</w:t>
            </w:r>
            <w:proofErr w:type="gramEnd"/>
            <w:r>
              <w:rPr>
                <w:rFonts w:hint="eastAsia"/>
              </w:rPr>
              <w:t>3.06亿股、6.08亿股。授予日起24个月内，不得行使股票期权；若达到该计划规定的开放行权条件，</w:t>
            </w:r>
            <w:proofErr w:type="gramStart"/>
            <w:r>
              <w:rPr>
                <w:rFonts w:hint="eastAsia"/>
              </w:rPr>
              <w:t>授出的</w:t>
            </w:r>
            <w:proofErr w:type="gramEnd"/>
            <w:r>
              <w:rPr>
                <w:rFonts w:hint="eastAsia"/>
              </w:rPr>
              <w:t>股票期权将分三批开放如下：第一批（</w:t>
            </w:r>
            <w:proofErr w:type="gramStart"/>
            <w:r>
              <w:rPr>
                <w:rFonts w:hint="eastAsia"/>
              </w:rPr>
              <w:t>占授出</w:t>
            </w:r>
            <w:proofErr w:type="gramEnd"/>
            <w:r>
              <w:rPr>
                <w:rFonts w:hint="eastAsia"/>
              </w:rPr>
              <w:t>的股票期权的40%）将于授予日起24个月后的首个交易日开放行权、第二批（</w:t>
            </w:r>
            <w:proofErr w:type="gramStart"/>
            <w:r>
              <w:rPr>
                <w:rFonts w:hint="eastAsia"/>
              </w:rPr>
              <w:t>占授出</w:t>
            </w:r>
            <w:proofErr w:type="gramEnd"/>
            <w:r>
              <w:rPr>
                <w:rFonts w:hint="eastAsia"/>
              </w:rPr>
              <w:t>的股票期权的30%）将于授予日起36个月后的首个交易日开放行权、第三批（</w:t>
            </w:r>
            <w:proofErr w:type="gramStart"/>
            <w:r>
              <w:rPr>
                <w:rFonts w:hint="eastAsia"/>
              </w:rPr>
              <w:t>占授出</w:t>
            </w:r>
            <w:proofErr w:type="gramEnd"/>
            <w:r>
              <w:rPr>
                <w:rFonts w:hint="eastAsia"/>
              </w:rPr>
              <w:t>的股票期权的30%）将于授予日起48个月后的首个交易日开放行权。</w:t>
            </w:r>
          </w:p>
          <w:p w14:paraId="7460DC2A" w14:textId="77777777" w:rsidR="008F5021" w:rsidRDefault="00000000">
            <w:pPr>
              <w:pStyle w:val="ab"/>
              <w:spacing w:before="0" w:beforeAutospacing="0" w:after="0" w:afterAutospacing="0" w:line="360" w:lineRule="auto"/>
              <w:ind w:firstLineChars="200" w:firstLine="480"/>
              <w:rPr>
                <w:rFonts w:hint="eastAsia"/>
              </w:rPr>
            </w:pPr>
            <w:r>
              <w:rPr>
                <w:rFonts w:hint="eastAsia"/>
              </w:rPr>
              <w:t>股权激励计划进一步完善了公司治理结构，建立健全了员工与股东、公司“利益共享、风险共担”的中长期激励机制，对激励、保留公司核心骨干员工，促进公司业绩提升和长期稳定发展，发挥了重要作用。</w:t>
            </w:r>
          </w:p>
          <w:p w14:paraId="42EB3477" w14:textId="77777777" w:rsidR="008F5021" w:rsidRDefault="00000000">
            <w:pPr>
              <w:pStyle w:val="ab"/>
              <w:numPr>
                <w:ilvl w:val="0"/>
                <w:numId w:val="1"/>
              </w:numPr>
              <w:spacing w:before="0" w:beforeAutospacing="0" w:after="0" w:afterAutospacing="0" w:line="360" w:lineRule="auto"/>
              <w:ind w:firstLineChars="200" w:firstLine="482"/>
              <w:rPr>
                <w:rFonts w:hint="eastAsia"/>
                <w:b/>
              </w:rPr>
            </w:pPr>
            <w:r>
              <w:rPr>
                <w:rFonts w:hint="eastAsia"/>
                <w:b/>
              </w:rPr>
              <w:t xml:space="preserve">请问公司经营业绩情况如何？ </w:t>
            </w:r>
          </w:p>
          <w:p w14:paraId="544880C9" w14:textId="77777777" w:rsidR="008F5021" w:rsidRDefault="00000000">
            <w:pPr>
              <w:pStyle w:val="ab"/>
              <w:spacing w:before="0" w:beforeAutospacing="0" w:after="0" w:afterAutospacing="0" w:line="360" w:lineRule="auto"/>
              <w:ind w:firstLineChars="200" w:firstLine="480"/>
              <w:rPr>
                <w:rFonts w:hint="eastAsia"/>
              </w:rPr>
            </w:pPr>
            <w:r>
              <w:rPr>
                <w:rFonts w:hint="eastAsia"/>
              </w:rPr>
              <w:t>今年上半年，公司的盈利在高基数基础上继续实现良好增长，公司净利润达802亿元，同比增长5.3%；ROA为8.0%，同比提升0.2PP；ROE为11.8%，同比提升0.3PP，公司盈利能力持续提升，在全球运营商中处于领先水平。</w:t>
            </w:r>
          </w:p>
          <w:p w14:paraId="7C818AC3" w14:textId="77777777" w:rsidR="008F5021" w:rsidRDefault="00000000">
            <w:pPr>
              <w:pStyle w:val="ab"/>
              <w:spacing w:before="0" w:beforeAutospacing="0" w:after="0" w:afterAutospacing="0" w:line="360" w:lineRule="auto"/>
              <w:ind w:firstLineChars="200" w:firstLine="480"/>
              <w:rPr>
                <w:rFonts w:hint="eastAsia"/>
              </w:rPr>
            </w:pPr>
            <w:r>
              <w:rPr>
                <w:rFonts w:hint="eastAsia"/>
              </w:rPr>
              <w:t>公司的经营发展呈现波浪式前进、螺旋式上升态势。公司下半年重点开展三大行动：</w:t>
            </w:r>
            <w:r>
              <w:rPr>
                <w:rFonts w:hint="eastAsia"/>
                <w:b/>
                <w:bCs/>
              </w:rPr>
              <w:t>一是“两个新型”升级计划</w:t>
            </w:r>
            <w:r>
              <w:rPr>
                <w:rFonts w:hint="eastAsia"/>
              </w:rPr>
              <w:t>，逐步</w:t>
            </w:r>
            <w:proofErr w:type="gramStart"/>
            <w:r>
              <w:rPr>
                <w:rFonts w:hint="eastAsia"/>
              </w:rPr>
              <w:t>向算力</w:t>
            </w:r>
            <w:proofErr w:type="gramEnd"/>
            <w:r>
              <w:rPr>
                <w:rFonts w:hint="eastAsia"/>
              </w:rPr>
              <w:t>网络、低空经济、卫星互联网等新型信息基础设施及相应的新型信息服务体系升级。</w:t>
            </w:r>
            <w:r>
              <w:rPr>
                <w:rFonts w:hint="eastAsia"/>
                <w:b/>
                <w:bCs/>
              </w:rPr>
              <w:t>二是“AI+”行动计划，</w:t>
            </w:r>
            <w:r>
              <w:rPr>
                <w:rFonts w:hint="eastAsia"/>
              </w:rPr>
              <w:t>一方面实现AI技术能力的规模效应，系统提升大算力、</w:t>
            </w:r>
            <w:r>
              <w:rPr>
                <w:rFonts w:hint="eastAsia"/>
              </w:rPr>
              <w:lastRenderedPageBreak/>
              <w:t>大数据、大模型供给能力，打造超</w:t>
            </w:r>
            <w:proofErr w:type="gramStart"/>
            <w:r>
              <w:rPr>
                <w:rFonts w:hint="eastAsia"/>
              </w:rPr>
              <w:t>万卡智算集群</w:t>
            </w:r>
            <w:proofErr w:type="gramEnd"/>
            <w:r>
              <w:rPr>
                <w:rFonts w:hint="eastAsia"/>
              </w:rPr>
              <w:t>，沉淀万亿级token数据集，推进万亿参数大模型训练；另一方面实现AI经济效益的规模效应，将AI和其他新型技术融合创新，赋能个人、家庭、政企市场的AI应用，如AI+DICT等。同时公司内部广泛应用AI技术，目前公司上岗数字员工5.5万个，助力低成本高效运营。</w:t>
            </w:r>
            <w:r>
              <w:rPr>
                <w:rFonts w:hint="eastAsia"/>
                <w:b/>
                <w:bCs/>
              </w:rPr>
              <w:t>三是</w:t>
            </w:r>
            <w:proofErr w:type="gramStart"/>
            <w:r>
              <w:rPr>
                <w:rFonts w:hint="eastAsia"/>
                <w:b/>
                <w:bCs/>
              </w:rPr>
              <w:t>“BASIC6”科创计划</w:t>
            </w:r>
            <w:proofErr w:type="gramEnd"/>
            <w:r>
              <w:rPr>
                <w:rFonts w:hint="eastAsia"/>
                <w:b/>
                <w:bCs/>
              </w:rPr>
              <w:t>，</w:t>
            </w:r>
            <w:r>
              <w:rPr>
                <w:rFonts w:hint="eastAsia"/>
              </w:rPr>
              <w:t>大力推进大数据、人工智能、安全、能力中台、</w:t>
            </w:r>
            <w:proofErr w:type="gramStart"/>
            <w:r>
              <w:rPr>
                <w:rFonts w:hint="eastAsia"/>
              </w:rPr>
              <w:t>算力网络</w:t>
            </w:r>
            <w:proofErr w:type="gramEnd"/>
            <w:r>
              <w:rPr>
                <w:rFonts w:hint="eastAsia"/>
              </w:rPr>
              <w:t>、6G等领域的科技创新，这几年已经卓有成效。</w:t>
            </w:r>
          </w:p>
          <w:p w14:paraId="10B562B0" w14:textId="77777777" w:rsidR="008F5021" w:rsidRDefault="00000000">
            <w:pPr>
              <w:pStyle w:val="ab"/>
              <w:numPr>
                <w:ilvl w:val="0"/>
                <w:numId w:val="1"/>
              </w:numPr>
              <w:spacing w:before="0" w:beforeAutospacing="0" w:after="0" w:afterAutospacing="0" w:line="360" w:lineRule="auto"/>
              <w:ind w:firstLineChars="200" w:firstLine="482"/>
              <w:rPr>
                <w:rFonts w:hint="eastAsia"/>
                <w:b/>
              </w:rPr>
            </w:pPr>
            <w:r>
              <w:rPr>
                <w:rFonts w:hint="eastAsia"/>
                <w:b/>
              </w:rPr>
              <w:t>请问公司未来的资本开支规划是什么？对经营现金流的展望如何？</w:t>
            </w:r>
          </w:p>
          <w:p w14:paraId="1997B98E" w14:textId="77777777" w:rsidR="008F5021" w:rsidRDefault="00000000">
            <w:pPr>
              <w:pStyle w:val="ab"/>
              <w:spacing w:before="0" w:beforeAutospacing="0" w:after="0" w:afterAutospacing="0" w:line="360" w:lineRule="auto"/>
              <w:ind w:firstLineChars="200" w:firstLine="480"/>
              <w:rPr>
                <w:rFonts w:hint="eastAsia"/>
              </w:rPr>
            </w:pPr>
            <w:r>
              <w:rPr>
                <w:rFonts w:hint="eastAsia"/>
              </w:rPr>
              <w:t>公司资本开支在2020至2022年是高峰期，去年公司资本开支已经开始下降，今年将继续下降，全年资本开支控制在年初指引的1,730亿元范围内，</w:t>
            </w:r>
            <w:proofErr w:type="gramStart"/>
            <w:r>
              <w:rPr>
                <w:rFonts w:hint="eastAsia"/>
              </w:rPr>
              <w:t>占收比</w:t>
            </w:r>
            <w:proofErr w:type="gramEnd"/>
            <w:r>
              <w:rPr>
                <w:rFonts w:hint="eastAsia"/>
              </w:rPr>
              <w:t>下降至20%以内。如果没有特殊原因，预计未来两年总体资本开支将保持稳中有降，资本开支</w:t>
            </w:r>
            <w:proofErr w:type="gramStart"/>
            <w:r>
              <w:rPr>
                <w:rFonts w:hint="eastAsia"/>
              </w:rPr>
              <w:t>占收比持续</w:t>
            </w:r>
            <w:proofErr w:type="gramEnd"/>
            <w:r>
              <w:rPr>
                <w:rFonts w:hint="eastAsia"/>
              </w:rPr>
              <w:t>下降。</w:t>
            </w:r>
          </w:p>
          <w:p w14:paraId="6CB6383A" w14:textId="77777777" w:rsidR="008F5021" w:rsidRDefault="00000000">
            <w:pPr>
              <w:pStyle w:val="ab"/>
              <w:spacing w:before="0" w:beforeAutospacing="0" w:after="0" w:afterAutospacing="0" w:line="360" w:lineRule="auto"/>
              <w:ind w:firstLineChars="200" w:firstLine="480"/>
              <w:rPr>
                <w:rFonts w:hint="eastAsia"/>
              </w:rPr>
            </w:pPr>
            <w:r>
              <w:rPr>
                <w:rFonts w:hint="eastAsia"/>
              </w:rPr>
              <w:t>中国移动一直是一家现金流充沛、健康的公司。今年上半年经营活动现金净流入1,314亿元，自由现金流674亿元，现金</w:t>
            </w:r>
            <w:proofErr w:type="gramStart"/>
            <w:r>
              <w:rPr>
                <w:rFonts w:hint="eastAsia"/>
              </w:rPr>
              <w:t>流保持</w:t>
            </w:r>
            <w:proofErr w:type="gramEnd"/>
            <w:r>
              <w:rPr>
                <w:rFonts w:hint="eastAsia"/>
              </w:rPr>
              <w:t>健康。今年上半年经营活动现金净流入有所下降，主要是两方面原因，</w:t>
            </w:r>
            <w:r>
              <w:rPr>
                <w:rFonts w:hint="eastAsia"/>
                <w:b/>
                <w:bCs/>
              </w:rPr>
              <w:t>一是</w:t>
            </w:r>
            <w:r>
              <w:rPr>
                <w:rFonts w:hint="eastAsia"/>
              </w:rPr>
              <w:t>政企业务回款速度有所放缓，应收账款有所增加。政企业务一般采用后付费模式，信用周期整体较个人客户长，项目回款大多集中在年末，应收账款</w:t>
            </w:r>
            <w:proofErr w:type="gramStart"/>
            <w:r>
              <w:rPr>
                <w:rFonts w:hint="eastAsia"/>
              </w:rPr>
              <w:t>往往呈前高</w:t>
            </w:r>
            <w:proofErr w:type="gramEnd"/>
            <w:r>
              <w:rPr>
                <w:rFonts w:hint="eastAsia"/>
              </w:rPr>
              <w:t>后低的趋势。</w:t>
            </w:r>
            <w:r>
              <w:rPr>
                <w:rFonts w:hint="eastAsia"/>
                <w:b/>
                <w:bCs/>
              </w:rPr>
              <w:t>二是</w:t>
            </w:r>
            <w:r>
              <w:rPr>
                <w:rFonts w:hint="eastAsia"/>
              </w:rPr>
              <w:t>公司支持上下游产业链，对外付款进度较快，上半年应付账款同比增速仅0.2%，较去年底增速仅3.9%。全年公司将力争实现自由现金</w:t>
            </w:r>
            <w:proofErr w:type="gramStart"/>
            <w:r>
              <w:rPr>
                <w:rFonts w:hint="eastAsia"/>
              </w:rPr>
              <w:t>流保持</w:t>
            </w:r>
            <w:proofErr w:type="gramEnd"/>
            <w:r>
              <w:rPr>
                <w:rFonts w:hint="eastAsia"/>
              </w:rPr>
              <w:t>平稳。</w:t>
            </w:r>
          </w:p>
          <w:p w14:paraId="2597F964" w14:textId="77777777" w:rsidR="008F5021" w:rsidRDefault="00000000">
            <w:pPr>
              <w:pStyle w:val="ab"/>
              <w:numPr>
                <w:ilvl w:val="0"/>
                <w:numId w:val="1"/>
              </w:numPr>
              <w:spacing w:before="0" w:beforeAutospacing="0" w:after="0" w:afterAutospacing="0" w:line="360" w:lineRule="auto"/>
              <w:ind w:firstLineChars="200" w:firstLine="482"/>
              <w:rPr>
                <w:rFonts w:hint="eastAsia"/>
                <w:b/>
              </w:rPr>
            </w:pPr>
            <w:r>
              <w:rPr>
                <w:rFonts w:hint="eastAsia"/>
                <w:b/>
              </w:rPr>
              <w:t>能否展望下中长期ARPU的发展趋势？</w:t>
            </w:r>
          </w:p>
          <w:p w14:paraId="52472F98" w14:textId="77777777" w:rsidR="008F5021" w:rsidRDefault="00000000">
            <w:pPr>
              <w:pStyle w:val="ab"/>
              <w:spacing w:before="0" w:beforeAutospacing="0" w:after="0" w:afterAutospacing="0" w:line="360" w:lineRule="auto"/>
              <w:ind w:firstLineChars="200" w:firstLine="480"/>
              <w:rPr>
                <w:rFonts w:hint="eastAsia"/>
              </w:rPr>
            </w:pPr>
            <w:r>
              <w:rPr>
                <w:rFonts w:hint="eastAsia"/>
              </w:rPr>
              <w:t>移动通信运营目前处于新旧动能转换的新发展阶段，上半年移动ARPU小幅下降主要有三方面原因。</w:t>
            </w:r>
            <w:r>
              <w:rPr>
                <w:rFonts w:hint="eastAsia"/>
                <w:b/>
                <w:bCs/>
              </w:rPr>
              <w:t>一是</w:t>
            </w:r>
            <w:r>
              <w:rPr>
                <w:rFonts w:hint="eastAsia"/>
              </w:rPr>
              <w:t>规模增长动力不足，目前国内移动电话普及率已经达到125部/百人，公</w:t>
            </w:r>
            <w:r>
              <w:rPr>
                <w:rFonts w:hint="eastAsia"/>
              </w:rPr>
              <w:lastRenderedPageBreak/>
              <w:t>众市场趋于饱和。</w:t>
            </w:r>
            <w:r>
              <w:rPr>
                <w:rFonts w:hint="eastAsia"/>
                <w:b/>
                <w:bCs/>
              </w:rPr>
              <w:t>二是</w:t>
            </w:r>
            <w:r>
              <w:rPr>
                <w:rFonts w:hint="eastAsia"/>
              </w:rPr>
              <w:t>目前新增客户以中低档套餐消费的客户为主，同时公司结合一定场景发展副卡业务，对ARPU有所摊薄。</w:t>
            </w:r>
            <w:r>
              <w:rPr>
                <w:rFonts w:hint="eastAsia"/>
                <w:b/>
                <w:bCs/>
              </w:rPr>
              <w:t>三是</w:t>
            </w:r>
            <w:r>
              <w:rPr>
                <w:rFonts w:hint="eastAsia"/>
              </w:rPr>
              <w:t>流量增速有所放缓，主要由以下三方面导致：（1）客户上网时</w:t>
            </w:r>
            <w:proofErr w:type="gramStart"/>
            <w:r>
              <w:rPr>
                <w:rFonts w:hint="eastAsia"/>
              </w:rPr>
              <w:t>长进入</w:t>
            </w:r>
            <w:proofErr w:type="gramEnd"/>
            <w:r>
              <w:rPr>
                <w:rFonts w:hint="eastAsia"/>
              </w:rPr>
              <w:t>平稳期；（2）进一步激发流量的应用和业务还在培育发展，需要一定时间；（3）公司业务融合发展，个人市场流量受到多场景分流影响，一方面家庭市场增长比较快，随着家宽、FTTR等业务进一步发展，对个人上网流量有一定分流，另一方面随着“人车家”中“车”的场景应用越来越丰富，对个人流量也有一定分流。</w:t>
            </w:r>
          </w:p>
          <w:p w14:paraId="0FF9B1E3" w14:textId="77777777" w:rsidR="008F5021" w:rsidRDefault="00000000">
            <w:pPr>
              <w:pStyle w:val="ab"/>
              <w:spacing w:before="0" w:beforeAutospacing="0" w:after="0" w:afterAutospacing="0" w:line="360" w:lineRule="auto"/>
              <w:ind w:firstLineChars="200" w:firstLine="480"/>
              <w:rPr>
                <w:rFonts w:hint="eastAsia"/>
              </w:rPr>
            </w:pPr>
            <w:r>
              <w:rPr>
                <w:rFonts w:hint="eastAsia"/>
              </w:rPr>
              <w:t>下半年公司在C、H、N三个市场将采取一系列举措。</w:t>
            </w:r>
            <w:r>
              <w:rPr>
                <w:rFonts w:hint="eastAsia"/>
                <w:b/>
                <w:bCs/>
              </w:rPr>
              <w:t>个人市场方面，</w:t>
            </w:r>
            <w:r>
              <w:rPr>
                <w:rFonts w:hint="eastAsia"/>
              </w:rPr>
              <w:t>从基于通信要素的运营转为基于信息服务的运营，从共性转向个性，追求价值提升。</w:t>
            </w:r>
            <w:r>
              <w:rPr>
                <w:rFonts w:hint="eastAsia"/>
                <w:b/>
                <w:bCs/>
              </w:rPr>
              <w:t>家庭市场方面，</w:t>
            </w:r>
            <w:r>
              <w:rPr>
                <w:rFonts w:hint="eastAsia"/>
              </w:rPr>
              <w:t>构建“一根线、</w:t>
            </w:r>
            <w:proofErr w:type="gramStart"/>
            <w:r>
              <w:rPr>
                <w:rFonts w:hint="eastAsia"/>
              </w:rPr>
              <w:t>一</w:t>
            </w:r>
            <w:proofErr w:type="gramEnd"/>
            <w:r>
              <w:rPr>
                <w:rFonts w:hint="eastAsia"/>
              </w:rPr>
              <w:t>张网、一个家”的智慧家庭体系，一根线即通过全屋WIFI、千兆宽带和FTTR加强连接能力，</w:t>
            </w:r>
            <w:proofErr w:type="gramStart"/>
            <w:r>
              <w:rPr>
                <w:rFonts w:hint="eastAsia"/>
              </w:rPr>
              <w:t>一</w:t>
            </w:r>
            <w:proofErr w:type="gramEnd"/>
            <w:r>
              <w:rPr>
                <w:rFonts w:hint="eastAsia"/>
              </w:rPr>
              <w:t>张网即布局存储、算力、视频、感知、控制五大技术能力，一个家即围绕娱乐、健康、教育、生活、安全做一系列产品部署。</w:t>
            </w:r>
            <w:r>
              <w:rPr>
                <w:rFonts w:hint="eastAsia"/>
                <w:b/>
                <w:bCs/>
              </w:rPr>
              <w:t>新兴市场方面，</w:t>
            </w:r>
            <w:r>
              <w:rPr>
                <w:rFonts w:hint="eastAsia"/>
              </w:rPr>
              <w:t>围绕“5G+”、“AI+”部署一系列产品，布局好、设计好、运营好，打造有运营</w:t>
            </w:r>
            <w:proofErr w:type="gramStart"/>
            <w:r>
              <w:rPr>
                <w:rFonts w:hint="eastAsia"/>
              </w:rPr>
              <w:t>商特色</w:t>
            </w:r>
            <w:proofErr w:type="gramEnd"/>
            <w:r>
              <w:rPr>
                <w:rFonts w:hint="eastAsia"/>
              </w:rPr>
              <w:t>的“专精特新”，不断提升客户活跃度。在存量时代，公司将通过增量的思维不断寻找增长新空间、新引擎和新路径。</w:t>
            </w:r>
          </w:p>
          <w:p w14:paraId="792A18DE" w14:textId="77777777" w:rsidR="008F5021" w:rsidRDefault="00000000">
            <w:pPr>
              <w:pStyle w:val="ab"/>
              <w:numPr>
                <w:ilvl w:val="0"/>
                <w:numId w:val="1"/>
              </w:numPr>
              <w:spacing w:before="0" w:beforeAutospacing="0" w:after="0" w:afterAutospacing="0" w:line="360" w:lineRule="auto"/>
              <w:ind w:firstLineChars="200" w:firstLine="482"/>
              <w:rPr>
                <w:rFonts w:hint="eastAsia"/>
                <w:b/>
              </w:rPr>
            </w:pPr>
            <w:r>
              <w:rPr>
                <w:rFonts w:hint="eastAsia"/>
                <w:b/>
              </w:rPr>
              <w:t>公司主要通过哪些举措实现应收账款的控制？后续信用减值的发展趋势怎样？</w:t>
            </w:r>
          </w:p>
          <w:p w14:paraId="5F0900D2" w14:textId="77777777" w:rsidR="008F5021" w:rsidRDefault="00000000">
            <w:pPr>
              <w:pStyle w:val="ab"/>
              <w:spacing w:before="0" w:beforeAutospacing="0" w:after="0" w:afterAutospacing="0" w:line="360" w:lineRule="auto"/>
              <w:ind w:firstLineChars="200" w:firstLine="480"/>
              <w:rPr>
                <w:rFonts w:hint="eastAsia"/>
              </w:rPr>
            </w:pPr>
            <w:r>
              <w:rPr>
                <w:rFonts w:hint="eastAsia"/>
              </w:rPr>
              <w:t>今年上半年，公司应收账款和信用减值有所上升，整体可控。公司将在以下四个方面进一步发力，</w:t>
            </w:r>
            <w:r>
              <w:rPr>
                <w:rFonts w:hint="eastAsia"/>
                <w:b/>
                <w:bCs/>
              </w:rPr>
              <w:t>一是</w:t>
            </w:r>
            <w:r>
              <w:rPr>
                <w:rFonts w:hint="eastAsia"/>
              </w:rPr>
              <w:t>坚持有利润、有现金流的收入，加强项目的管理；</w:t>
            </w:r>
            <w:r>
              <w:rPr>
                <w:rFonts w:hint="eastAsia"/>
                <w:b/>
                <w:bCs/>
              </w:rPr>
              <w:t>二是</w:t>
            </w:r>
            <w:r>
              <w:rPr>
                <w:rFonts w:hint="eastAsia"/>
              </w:rPr>
              <w:t>加强源头管理，做好客户信用的分级管理；</w:t>
            </w:r>
            <w:r>
              <w:rPr>
                <w:rFonts w:hint="eastAsia"/>
                <w:b/>
                <w:bCs/>
              </w:rPr>
              <w:t>三是</w:t>
            </w:r>
            <w:r>
              <w:rPr>
                <w:rFonts w:hint="eastAsia"/>
              </w:rPr>
              <w:t>重视过程管控，加强全生命周期管理；</w:t>
            </w:r>
            <w:r>
              <w:rPr>
                <w:rFonts w:hint="eastAsia"/>
                <w:b/>
                <w:bCs/>
              </w:rPr>
              <w:t>四是</w:t>
            </w:r>
            <w:r>
              <w:rPr>
                <w:rFonts w:hint="eastAsia"/>
              </w:rPr>
              <w:t>加强重点催收，对大额欠费开展集中攻坚。相信全年应收账款、信用减值指标在现在的基础上会得到改善。</w:t>
            </w:r>
          </w:p>
          <w:p w14:paraId="77716203" w14:textId="77777777" w:rsidR="008F5021" w:rsidRDefault="00000000">
            <w:pPr>
              <w:pStyle w:val="ab"/>
              <w:numPr>
                <w:ilvl w:val="0"/>
                <w:numId w:val="1"/>
              </w:numPr>
              <w:spacing w:before="0" w:beforeAutospacing="0" w:after="0" w:afterAutospacing="0" w:line="360" w:lineRule="auto"/>
              <w:ind w:firstLineChars="200" w:firstLine="482"/>
              <w:rPr>
                <w:rFonts w:hint="eastAsia"/>
                <w:b/>
              </w:rPr>
            </w:pPr>
            <w:r>
              <w:rPr>
                <w:rFonts w:hint="eastAsia"/>
                <w:b/>
              </w:rPr>
              <w:lastRenderedPageBreak/>
              <w:t>能否介绍下公司</w:t>
            </w:r>
            <w:proofErr w:type="gramStart"/>
            <w:r>
              <w:rPr>
                <w:rFonts w:hint="eastAsia"/>
                <w:b/>
              </w:rPr>
              <w:t>算力网络</w:t>
            </w:r>
            <w:proofErr w:type="gramEnd"/>
            <w:r>
              <w:rPr>
                <w:rFonts w:hint="eastAsia"/>
                <w:b/>
              </w:rPr>
              <w:t>未来的发展规划？</w:t>
            </w:r>
          </w:p>
          <w:p w14:paraId="53C9F23E" w14:textId="77777777" w:rsidR="008F5021" w:rsidRDefault="00000000">
            <w:pPr>
              <w:pStyle w:val="ab"/>
              <w:spacing w:before="0" w:beforeAutospacing="0" w:after="0" w:afterAutospacing="0" w:line="360" w:lineRule="auto"/>
              <w:ind w:firstLineChars="200" w:firstLine="480"/>
              <w:jc w:val="both"/>
              <w:rPr>
                <w:rFonts w:hint="eastAsia"/>
              </w:rPr>
            </w:pPr>
            <w:r>
              <w:rPr>
                <w:rFonts w:hint="eastAsia"/>
              </w:rPr>
              <w:t>今年上半年，公司通</w:t>
            </w:r>
            <w:proofErr w:type="gramStart"/>
            <w:r>
              <w:rPr>
                <w:rFonts w:hint="eastAsia"/>
              </w:rPr>
              <w:t>算规模</w:t>
            </w:r>
            <w:proofErr w:type="gramEnd"/>
            <w:r>
              <w:rPr>
                <w:rFonts w:hint="eastAsia"/>
              </w:rPr>
              <w:t>达8.2 EFLOPS（FP32）、</w:t>
            </w:r>
            <w:proofErr w:type="gramStart"/>
            <w:r>
              <w:rPr>
                <w:rFonts w:hint="eastAsia"/>
              </w:rPr>
              <w:t>智算规模</w:t>
            </w:r>
            <w:proofErr w:type="gramEnd"/>
            <w:r>
              <w:rPr>
                <w:rFonts w:hint="eastAsia"/>
              </w:rPr>
              <w:t>达19.6 EFLOPS（FP16），“N+X”多层级、全覆盖</w:t>
            </w:r>
            <w:proofErr w:type="gramStart"/>
            <w:r>
              <w:rPr>
                <w:rFonts w:hint="eastAsia"/>
              </w:rPr>
              <w:t>智算能力</w:t>
            </w:r>
            <w:proofErr w:type="gramEnd"/>
            <w:r>
              <w:rPr>
                <w:rFonts w:hint="eastAsia"/>
              </w:rPr>
              <w:t>布局不断完善，呼和浩特、哈尔滨等</w:t>
            </w:r>
            <w:proofErr w:type="gramStart"/>
            <w:r>
              <w:rPr>
                <w:rFonts w:hint="eastAsia"/>
              </w:rPr>
              <w:t>8个智算中心</w:t>
            </w:r>
            <w:proofErr w:type="gramEnd"/>
            <w:r>
              <w:rPr>
                <w:rFonts w:hint="eastAsia"/>
              </w:rPr>
              <w:t>节点已于今年6月上线投产，预计</w:t>
            </w:r>
            <w:proofErr w:type="gramStart"/>
            <w:r>
              <w:rPr>
                <w:rFonts w:hint="eastAsia"/>
              </w:rPr>
              <w:t>全年智算规模</w:t>
            </w:r>
            <w:proofErr w:type="gramEnd"/>
            <w:r>
              <w:rPr>
                <w:rFonts w:hint="eastAsia"/>
              </w:rPr>
              <w:t>不低于24.0 EFLOPS（FP16）。</w:t>
            </w:r>
          </w:p>
          <w:p w14:paraId="055F16C2" w14:textId="77777777" w:rsidR="008F5021" w:rsidRDefault="00000000">
            <w:pPr>
              <w:pStyle w:val="ab"/>
              <w:spacing w:before="0" w:beforeAutospacing="0" w:after="0" w:afterAutospacing="0" w:line="360" w:lineRule="auto"/>
              <w:ind w:firstLineChars="200" w:firstLine="480"/>
              <w:jc w:val="both"/>
              <w:rPr>
                <w:rFonts w:hint="eastAsia"/>
              </w:rPr>
            </w:pPr>
            <w:r>
              <w:rPr>
                <w:rFonts w:hint="eastAsia"/>
              </w:rPr>
              <w:t>公司积极贯彻国家“东数西算”工程部署，规划建设若干超大智算集群，未来既满足公司的人工智能基础模型、行业模型训练之需，也面向社会、企业提供</w:t>
            </w:r>
            <w:proofErr w:type="gramStart"/>
            <w:r>
              <w:rPr>
                <w:rFonts w:hint="eastAsia"/>
              </w:rPr>
              <w:t>推和训的算力</w:t>
            </w:r>
            <w:proofErr w:type="gramEnd"/>
            <w:r>
              <w:rPr>
                <w:rFonts w:hint="eastAsia"/>
              </w:rPr>
              <w:t>服务。</w:t>
            </w:r>
            <w:proofErr w:type="gramStart"/>
            <w:r>
              <w:rPr>
                <w:rFonts w:hint="eastAsia"/>
              </w:rPr>
              <w:t>智算业务</w:t>
            </w:r>
            <w:proofErr w:type="gramEnd"/>
            <w:r>
              <w:rPr>
                <w:rFonts w:hint="eastAsia"/>
              </w:rPr>
              <w:t>对外提供的服务包括以下模式：</w:t>
            </w:r>
            <w:r>
              <w:rPr>
                <w:rFonts w:hint="eastAsia"/>
                <w:b/>
                <w:bCs/>
              </w:rPr>
              <w:t>一</w:t>
            </w:r>
            <w:proofErr w:type="gramStart"/>
            <w:r>
              <w:rPr>
                <w:rFonts w:hint="eastAsia"/>
                <w:b/>
                <w:bCs/>
              </w:rPr>
              <w:t>是</w:t>
            </w:r>
            <w:r>
              <w:rPr>
                <w:rFonts w:hint="eastAsia"/>
              </w:rPr>
              <w:t>智算</w:t>
            </w:r>
            <w:proofErr w:type="gramEnd"/>
            <w:r>
              <w:rPr>
                <w:rFonts w:hint="eastAsia"/>
              </w:rPr>
              <w:t>IDC服务，向客户提供IDC+硬件服务，满足客户千卡、万卡</w:t>
            </w:r>
            <w:proofErr w:type="gramStart"/>
            <w:r>
              <w:rPr>
                <w:rFonts w:hint="eastAsia"/>
              </w:rPr>
              <w:t>级智算</w:t>
            </w:r>
            <w:proofErr w:type="gramEnd"/>
            <w:r>
              <w:rPr>
                <w:rFonts w:hint="eastAsia"/>
              </w:rPr>
              <w:t>中心部署要求；</w:t>
            </w:r>
            <w:r>
              <w:rPr>
                <w:rFonts w:hint="eastAsia"/>
                <w:b/>
                <w:bCs/>
              </w:rPr>
              <w:t>二是</w:t>
            </w:r>
            <w:r>
              <w:rPr>
                <w:rFonts w:hint="eastAsia"/>
              </w:rPr>
              <w:t>AI</w:t>
            </w:r>
            <w:proofErr w:type="gramStart"/>
            <w:r>
              <w:rPr>
                <w:rFonts w:hint="eastAsia"/>
              </w:rPr>
              <w:t>算力服务</w:t>
            </w:r>
            <w:proofErr w:type="gramEnd"/>
            <w:r>
              <w:rPr>
                <w:rFonts w:hint="eastAsia"/>
              </w:rPr>
              <w:t>模式，是N节点资源的主要变现模式，基于自</w:t>
            </w:r>
            <w:proofErr w:type="gramStart"/>
            <w:r>
              <w:rPr>
                <w:rFonts w:hint="eastAsia"/>
              </w:rPr>
              <w:t>建智算中心</w:t>
            </w:r>
            <w:proofErr w:type="gramEnd"/>
            <w:r>
              <w:rPr>
                <w:rFonts w:hint="eastAsia"/>
              </w:rPr>
              <w:t>对外</w:t>
            </w:r>
            <w:proofErr w:type="gramStart"/>
            <w:r>
              <w:rPr>
                <w:rFonts w:hint="eastAsia"/>
              </w:rPr>
              <w:t>提供算力服务</w:t>
            </w:r>
            <w:proofErr w:type="gramEnd"/>
            <w:r>
              <w:rPr>
                <w:rFonts w:hint="eastAsia"/>
              </w:rPr>
              <w:t>、平台服务和模型服务；</w:t>
            </w:r>
            <w:r>
              <w:rPr>
                <w:rFonts w:hint="eastAsia"/>
                <w:b/>
                <w:bCs/>
              </w:rPr>
              <w:t>三是</w:t>
            </w:r>
            <w:r w:rsidRPr="00E45253">
              <w:rPr>
                <w:rFonts w:hint="eastAsia"/>
              </w:rPr>
              <w:t>“</w:t>
            </w:r>
            <w:r>
              <w:rPr>
                <w:rFonts w:hint="eastAsia"/>
              </w:rPr>
              <w:t>AI+”一站式服务，</w:t>
            </w:r>
            <w:proofErr w:type="gramStart"/>
            <w:r>
              <w:rPr>
                <w:rFonts w:hint="eastAsia"/>
              </w:rPr>
              <w:t>融合算力资源</w:t>
            </w:r>
            <w:proofErr w:type="gramEnd"/>
            <w:r>
              <w:rPr>
                <w:rFonts w:hint="eastAsia"/>
              </w:rPr>
              <w:t>和行业大模型能力，</w:t>
            </w:r>
            <w:proofErr w:type="gramStart"/>
            <w:r>
              <w:rPr>
                <w:rFonts w:hint="eastAsia"/>
              </w:rPr>
              <w:t>结合云网协同</w:t>
            </w:r>
            <w:proofErr w:type="gramEnd"/>
            <w:r>
              <w:rPr>
                <w:rFonts w:hint="eastAsia"/>
              </w:rPr>
              <w:t>优势，形成“AI算力+大模型+应用”一体化服务。</w:t>
            </w:r>
          </w:p>
        </w:tc>
      </w:tr>
      <w:tr w:rsidR="008F5021" w14:paraId="5A34ACF4" w14:textId="77777777">
        <w:tc>
          <w:tcPr>
            <w:tcW w:w="1696" w:type="dxa"/>
          </w:tcPr>
          <w:p w14:paraId="0242D0A7" w14:textId="77777777" w:rsidR="008F5021" w:rsidRDefault="00000000">
            <w:pPr>
              <w:pStyle w:val="ab"/>
              <w:spacing w:before="0" w:beforeAutospacing="0" w:after="0" w:afterAutospacing="0" w:line="360" w:lineRule="auto"/>
              <w:rPr>
                <w:rFonts w:hint="eastAsia"/>
              </w:rPr>
            </w:pPr>
            <w:r>
              <w:rPr>
                <w:rFonts w:hint="eastAsia"/>
              </w:rPr>
              <w:lastRenderedPageBreak/>
              <w:t>附件清单（如有）</w:t>
            </w:r>
          </w:p>
        </w:tc>
        <w:tc>
          <w:tcPr>
            <w:tcW w:w="6586" w:type="dxa"/>
          </w:tcPr>
          <w:p w14:paraId="584B4220" w14:textId="77777777" w:rsidR="008F5021" w:rsidRDefault="008F5021">
            <w:pPr>
              <w:pStyle w:val="ab"/>
              <w:spacing w:before="0" w:beforeAutospacing="0" w:after="0" w:afterAutospacing="0" w:line="360" w:lineRule="auto"/>
              <w:rPr>
                <w:rFonts w:hint="eastAsia"/>
                <w:b/>
              </w:rPr>
            </w:pPr>
          </w:p>
        </w:tc>
      </w:tr>
      <w:tr w:rsidR="008F5021" w14:paraId="48F7B1DB" w14:textId="77777777">
        <w:tc>
          <w:tcPr>
            <w:tcW w:w="1696" w:type="dxa"/>
          </w:tcPr>
          <w:p w14:paraId="31DBE9A1" w14:textId="77777777" w:rsidR="008F5021" w:rsidRDefault="00000000">
            <w:pPr>
              <w:pStyle w:val="ab"/>
              <w:spacing w:before="0" w:beforeAutospacing="0" w:after="0" w:afterAutospacing="0" w:line="360" w:lineRule="auto"/>
              <w:rPr>
                <w:rFonts w:hint="eastAsia"/>
              </w:rPr>
            </w:pPr>
            <w:r>
              <w:rPr>
                <w:rFonts w:hint="eastAsia"/>
              </w:rPr>
              <w:t>日期</w:t>
            </w:r>
          </w:p>
        </w:tc>
        <w:tc>
          <w:tcPr>
            <w:tcW w:w="6586" w:type="dxa"/>
          </w:tcPr>
          <w:p w14:paraId="5C9E88EC" w14:textId="77777777" w:rsidR="008F5021" w:rsidRDefault="00000000">
            <w:pPr>
              <w:pStyle w:val="ab"/>
              <w:spacing w:before="0" w:beforeAutospacing="0" w:after="0" w:afterAutospacing="0" w:line="360" w:lineRule="auto"/>
              <w:rPr>
                <w:rFonts w:hint="eastAsia"/>
              </w:rPr>
            </w:pPr>
            <w:r>
              <w:rPr>
                <w:rFonts w:hint="eastAsia"/>
              </w:rPr>
              <w:t>2024年9月27日</w:t>
            </w:r>
          </w:p>
        </w:tc>
      </w:tr>
    </w:tbl>
    <w:p w14:paraId="616EFC84" w14:textId="77777777" w:rsidR="008F5021" w:rsidRDefault="008F5021"/>
    <w:sectPr w:rsidR="008F5021">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C95A8FB" w14:textId="77777777" w:rsidR="00495DDC" w:rsidRDefault="00495DDC" w:rsidP="00E45253">
      <w:r>
        <w:separator/>
      </w:r>
    </w:p>
  </w:endnote>
  <w:endnote w:type="continuationSeparator" w:id="0">
    <w:p w14:paraId="3FB5A4F0" w14:textId="77777777" w:rsidR="00495DDC" w:rsidRDefault="00495DDC" w:rsidP="00E452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E3DB3CA" w14:textId="77777777" w:rsidR="00495DDC" w:rsidRDefault="00495DDC" w:rsidP="00E45253">
      <w:r>
        <w:separator/>
      </w:r>
    </w:p>
  </w:footnote>
  <w:footnote w:type="continuationSeparator" w:id="0">
    <w:p w14:paraId="24DEB953" w14:textId="77777777" w:rsidR="00495DDC" w:rsidRDefault="00495DDC" w:rsidP="00E4525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AA67EB2E"/>
    <w:multiLevelType w:val="singleLevel"/>
    <w:tmpl w:val="AA67EB2E"/>
    <w:lvl w:ilvl="0">
      <w:start w:val="1"/>
      <w:numFmt w:val="decimal"/>
      <w:suff w:val="space"/>
      <w:lvlText w:val="%1."/>
      <w:lvlJc w:val="left"/>
    </w:lvl>
  </w:abstractNum>
  <w:num w:numId="1" w16cid:durableId="1815523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clean"/>
  <w:defaultTabStop w:val="420"/>
  <w:drawingGridVerticalSpacing w:val="156"/>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N2NmMjhjYTVmMTBlYmY5NTlmYTg0YjgyZmFhNGE3YjYifQ=="/>
  </w:docVars>
  <w:rsids>
    <w:rsidRoot w:val="00037B6D"/>
    <w:rsid w:val="89FC8088"/>
    <w:rsid w:val="8F6EB6B8"/>
    <w:rsid w:val="9EDFC77D"/>
    <w:rsid w:val="A9EF1389"/>
    <w:rsid w:val="AEBF71A6"/>
    <w:rsid w:val="B5FA5C98"/>
    <w:rsid w:val="B7FD51A0"/>
    <w:rsid w:val="BC313DA8"/>
    <w:rsid w:val="BC9FDB41"/>
    <w:rsid w:val="BCB76945"/>
    <w:rsid w:val="BCDC57DF"/>
    <w:rsid w:val="BE6D2F12"/>
    <w:rsid w:val="BEFFDAA5"/>
    <w:rsid w:val="BFBF8D30"/>
    <w:rsid w:val="BFF7B35F"/>
    <w:rsid w:val="BFFD4BDB"/>
    <w:rsid w:val="C38FC914"/>
    <w:rsid w:val="CDE6FEC6"/>
    <w:rsid w:val="CDFF7DCA"/>
    <w:rsid w:val="D3A63B7A"/>
    <w:rsid w:val="DACF98F9"/>
    <w:rsid w:val="DD7F557E"/>
    <w:rsid w:val="DEFC9A12"/>
    <w:rsid w:val="DFB6DA13"/>
    <w:rsid w:val="DFBF93C5"/>
    <w:rsid w:val="DFEFE4E2"/>
    <w:rsid w:val="DFFBF1F4"/>
    <w:rsid w:val="DFFF305F"/>
    <w:rsid w:val="E3DFBC2A"/>
    <w:rsid w:val="EBD9ED6A"/>
    <w:rsid w:val="EBFF7E62"/>
    <w:rsid w:val="EDBB7820"/>
    <w:rsid w:val="EDE7EC95"/>
    <w:rsid w:val="EFCEC015"/>
    <w:rsid w:val="F2B79CD3"/>
    <w:rsid w:val="F3D7A3DF"/>
    <w:rsid w:val="F3ED2C45"/>
    <w:rsid w:val="F5DE6135"/>
    <w:rsid w:val="F5FB3E5C"/>
    <w:rsid w:val="F5FF7079"/>
    <w:rsid w:val="F7774FFF"/>
    <w:rsid w:val="F7BFCB1C"/>
    <w:rsid w:val="F96EB800"/>
    <w:rsid w:val="FB255BE6"/>
    <w:rsid w:val="FB3FD260"/>
    <w:rsid w:val="FBEF8AD1"/>
    <w:rsid w:val="FBFE7F8E"/>
    <w:rsid w:val="FDB506C9"/>
    <w:rsid w:val="FE7F6B50"/>
    <w:rsid w:val="FE9F0C76"/>
    <w:rsid w:val="FEBEFE11"/>
    <w:rsid w:val="FEDEF4EB"/>
    <w:rsid w:val="FEFDA46D"/>
    <w:rsid w:val="FEFF141F"/>
    <w:rsid w:val="FF2FE175"/>
    <w:rsid w:val="FF3E5ED9"/>
    <w:rsid w:val="FF3F2490"/>
    <w:rsid w:val="FF7C36B7"/>
    <w:rsid w:val="FFA952D5"/>
    <w:rsid w:val="FFBB63D4"/>
    <w:rsid w:val="FFCB10AD"/>
    <w:rsid w:val="FFEEEA7B"/>
    <w:rsid w:val="FFF561E1"/>
    <w:rsid w:val="FFFA2AA3"/>
    <w:rsid w:val="FFFB20E0"/>
    <w:rsid w:val="FFFB9E05"/>
    <w:rsid w:val="FFFE92B6"/>
    <w:rsid w:val="FFFFFF85"/>
    <w:rsid w:val="00000EF1"/>
    <w:rsid w:val="00000FF2"/>
    <w:rsid w:val="0000232D"/>
    <w:rsid w:val="00003F86"/>
    <w:rsid w:val="00004F20"/>
    <w:rsid w:val="00005A42"/>
    <w:rsid w:val="000074AF"/>
    <w:rsid w:val="0000792E"/>
    <w:rsid w:val="00011D8A"/>
    <w:rsid w:val="000133E0"/>
    <w:rsid w:val="0001474B"/>
    <w:rsid w:val="000148E3"/>
    <w:rsid w:val="0001518B"/>
    <w:rsid w:val="000158A7"/>
    <w:rsid w:val="0001645D"/>
    <w:rsid w:val="00016771"/>
    <w:rsid w:val="00025BA7"/>
    <w:rsid w:val="0003428F"/>
    <w:rsid w:val="00037B6D"/>
    <w:rsid w:val="00043DC1"/>
    <w:rsid w:val="00044337"/>
    <w:rsid w:val="00044D33"/>
    <w:rsid w:val="00045752"/>
    <w:rsid w:val="000464AC"/>
    <w:rsid w:val="0005260A"/>
    <w:rsid w:val="00052E9A"/>
    <w:rsid w:val="0005515A"/>
    <w:rsid w:val="000559E1"/>
    <w:rsid w:val="00055A2C"/>
    <w:rsid w:val="00061696"/>
    <w:rsid w:val="00061B2C"/>
    <w:rsid w:val="00063F78"/>
    <w:rsid w:val="00067A3A"/>
    <w:rsid w:val="00072779"/>
    <w:rsid w:val="00072FF6"/>
    <w:rsid w:val="0007317F"/>
    <w:rsid w:val="00077072"/>
    <w:rsid w:val="00080065"/>
    <w:rsid w:val="00080153"/>
    <w:rsid w:val="00081053"/>
    <w:rsid w:val="00085106"/>
    <w:rsid w:val="00086BE6"/>
    <w:rsid w:val="00087480"/>
    <w:rsid w:val="00087E29"/>
    <w:rsid w:val="000916F2"/>
    <w:rsid w:val="000940F3"/>
    <w:rsid w:val="000958E2"/>
    <w:rsid w:val="000968C8"/>
    <w:rsid w:val="00097CA7"/>
    <w:rsid w:val="00097F92"/>
    <w:rsid w:val="000A0C5F"/>
    <w:rsid w:val="000A513B"/>
    <w:rsid w:val="000A5257"/>
    <w:rsid w:val="000A6CA5"/>
    <w:rsid w:val="000B000B"/>
    <w:rsid w:val="000B045C"/>
    <w:rsid w:val="000B328A"/>
    <w:rsid w:val="000B3B38"/>
    <w:rsid w:val="000B744F"/>
    <w:rsid w:val="000C358E"/>
    <w:rsid w:val="000C4EB0"/>
    <w:rsid w:val="000C660A"/>
    <w:rsid w:val="000D0F26"/>
    <w:rsid w:val="000D173D"/>
    <w:rsid w:val="000D1FBC"/>
    <w:rsid w:val="000D303A"/>
    <w:rsid w:val="000D5454"/>
    <w:rsid w:val="000F0EF5"/>
    <w:rsid w:val="000F3594"/>
    <w:rsid w:val="000F59AE"/>
    <w:rsid w:val="000F6879"/>
    <w:rsid w:val="000F7990"/>
    <w:rsid w:val="001001B1"/>
    <w:rsid w:val="0010388A"/>
    <w:rsid w:val="00103F61"/>
    <w:rsid w:val="00105155"/>
    <w:rsid w:val="001052B7"/>
    <w:rsid w:val="00107D4D"/>
    <w:rsid w:val="00110F3E"/>
    <w:rsid w:val="00111833"/>
    <w:rsid w:val="00113326"/>
    <w:rsid w:val="00113D0D"/>
    <w:rsid w:val="00114291"/>
    <w:rsid w:val="001165C5"/>
    <w:rsid w:val="00130125"/>
    <w:rsid w:val="001331F6"/>
    <w:rsid w:val="0013487D"/>
    <w:rsid w:val="00136530"/>
    <w:rsid w:val="00137331"/>
    <w:rsid w:val="001432DA"/>
    <w:rsid w:val="00144612"/>
    <w:rsid w:val="001456A9"/>
    <w:rsid w:val="001514CA"/>
    <w:rsid w:val="00151AA1"/>
    <w:rsid w:val="00151EB6"/>
    <w:rsid w:val="001541A9"/>
    <w:rsid w:val="001548D9"/>
    <w:rsid w:val="00155019"/>
    <w:rsid w:val="00157CC3"/>
    <w:rsid w:val="00160003"/>
    <w:rsid w:val="00161816"/>
    <w:rsid w:val="00163A14"/>
    <w:rsid w:val="00165E7B"/>
    <w:rsid w:val="00166949"/>
    <w:rsid w:val="00170AED"/>
    <w:rsid w:val="00171620"/>
    <w:rsid w:val="00177E31"/>
    <w:rsid w:val="00180E60"/>
    <w:rsid w:val="00184689"/>
    <w:rsid w:val="001905F9"/>
    <w:rsid w:val="00191384"/>
    <w:rsid w:val="00197658"/>
    <w:rsid w:val="001A138E"/>
    <w:rsid w:val="001A2B9F"/>
    <w:rsid w:val="001A791E"/>
    <w:rsid w:val="001B1AAE"/>
    <w:rsid w:val="001B2845"/>
    <w:rsid w:val="001B2953"/>
    <w:rsid w:val="001B3E03"/>
    <w:rsid w:val="001B6410"/>
    <w:rsid w:val="001C29F7"/>
    <w:rsid w:val="001C687D"/>
    <w:rsid w:val="001C746B"/>
    <w:rsid w:val="001D12B2"/>
    <w:rsid w:val="001D6886"/>
    <w:rsid w:val="001E34C1"/>
    <w:rsid w:val="001E3EC1"/>
    <w:rsid w:val="001E3FA5"/>
    <w:rsid w:val="001F006D"/>
    <w:rsid w:val="00200DDA"/>
    <w:rsid w:val="00201B90"/>
    <w:rsid w:val="0020789E"/>
    <w:rsid w:val="00210957"/>
    <w:rsid w:val="00213F92"/>
    <w:rsid w:val="0021725E"/>
    <w:rsid w:val="0022087B"/>
    <w:rsid w:val="00221852"/>
    <w:rsid w:val="00230BFC"/>
    <w:rsid w:val="00231DA6"/>
    <w:rsid w:val="00233CB9"/>
    <w:rsid w:val="00240ADE"/>
    <w:rsid w:val="00242465"/>
    <w:rsid w:val="00242768"/>
    <w:rsid w:val="00242B73"/>
    <w:rsid w:val="00247098"/>
    <w:rsid w:val="002529B8"/>
    <w:rsid w:val="0025324C"/>
    <w:rsid w:val="00253F13"/>
    <w:rsid w:val="002548AA"/>
    <w:rsid w:val="00256846"/>
    <w:rsid w:val="00261376"/>
    <w:rsid w:val="002615DE"/>
    <w:rsid w:val="00263895"/>
    <w:rsid w:val="00266F53"/>
    <w:rsid w:val="002676DF"/>
    <w:rsid w:val="00267F87"/>
    <w:rsid w:val="00270F87"/>
    <w:rsid w:val="002716A9"/>
    <w:rsid w:val="002725F7"/>
    <w:rsid w:val="00272710"/>
    <w:rsid w:val="00272D8C"/>
    <w:rsid w:val="002771AD"/>
    <w:rsid w:val="002773AD"/>
    <w:rsid w:val="00277646"/>
    <w:rsid w:val="0028066D"/>
    <w:rsid w:val="00280E61"/>
    <w:rsid w:val="00284325"/>
    <w:rsid w:val="0028584A"/>
    <w:rsid w:val="002861E8"/>
    <w:rsid w:val="00286DE3"/>
    <w:rsid w:val="002870E5"/>
    <w:rsid w:val="00287207"/>
    <w:rsid w:val="00291B52"/>
    <w:rsid w:val="00292685"/>
    <w:rsid w:val="00294CAD"/>
    <w:rsid w:val="002956BF"/>
    <w:rsid w:val="0029685B"/>
    <w:rsid w:val="002A1C06"/>
    <w:rsid w:val="002A21AC"/>
    <w:rsid w:val="002A274E"/>
    <w:rsid w:val="002A3969"/>
    <w:rsid w:val="002A3D4C"/>
    <w:rsid w:val="002A3E2B"/>
    <w:rsid w:val="002B0ED5"/>
    <w:rsid w:val="002B73A6"/>
    <w:rsid w:val="002B79A2"/>
    <w:rsid w:val="002C1983"/>
    <w:rsid w:val="002C4949"/>
    <w:rsid w:val="002C4CCE"/>
    <w:rsid w:val="002D204C"/>
    <w:rsid w:val="002D2630"/>
    <w:rsid w:val="002D6531"/>
    <w:rsid w:val="002D69E5"/>
    <w:rsid w:val="002E4746"/>
    <w:rsid w:val="002E49C9"/>
    <w:rsid w:val="002E75EC"/>
    <w:rsid w:val="002F0CE6"/>
    <w:rsid w:val="002F400A"/>
    <w:rsid w:val="002F561D"/>
    <w:rsid w:val="00303D8E"/>
    <w:rsid w:val="00304330"/>
    <w:rsid w:val="00306C2F"/>
    <w:rsid w:val="0030735C"/>
    <w:rsid w:val="0031015F"/>
    <w:rsid w:val="00311EB9"/>
    <w:rsid w:val="003146C3"/>
    <w:rsid w:val="00316793"/>
    <w:rsid w:val="0032040D"/>
    <w:rsid w:val="00321F93"/>
    <w:rsid w:val="003314B9"/>
    <w:rsid w:val="003344FD"/>
    <w:rsid w:val="00336983"/>
    <w:rsid w:val="00340F46"/>
    <w:rsid w:val="00344A2A"/>
    <w:rsid w:val="0035094A"/>
    <w:rsid w:val="00354646"/>
    <w:rsid w:val="00354FD7"/>
    <w:rsid w:val="003551ED"/>
    <w:rsid w:val="0035660F"/>
    <w:rsid w:val="00356747"/>
    <w:rsid w:val="00361CEB"/>
    <w:rsid w:val="00363420"/>
    <w:rsid w:val="003668B1"/>
    <w:rsid w:val="00366BF7"/>
    <w:rsid w:val="00366D30"/>
    <w:rsid w:val="00371040"/>
    <w:rsid w:val="0037155A"/>
    <w:rsid w:val="003746FD"/>
    <w:rsid w:val="0037510E"/>
    <w:rsid w:val="00376158"/>
    <w:rsid w:val="0037750A"/>
    <w:rsid w:val="00384D48"/>
    <w:rsid w:val="00385230"/>
    <w:rsid w:val="003909A9"/>
    <w:rsid w:val="00391ED1"/>
    <w:rsid w:val="0039350F"/>
    <w:rsid w:val="00394976"/>
    <w:rsid w:val="00395FBC"/>
    <w:rsid w:val="003979D0"/>
    <w:rsid w:val="003A0091"/>
    <w:rsid w:val="003A04EB"/>
    <w:rsid w:val="003A078C"/>
    <w:rsid w:val="003A129C"/>
    <w:rsid w:val="003A2B17"/>
    <w:rsid w:val="003A4BA9"/>
    <w:rsid w:val="003B1714"/>
    <w:rsid w:val="003B17FD"/>
    <w:rsid w:val="003B1FDD"/>
    <w:rsid w:val="003B3E36"/>
    <w:rsid w:val="003C1589"/>
    <w:rsid w:val="003C71CC"/>
    <w:rsid w:val="003C77FC"/>
    <w:rsid w:val="003D331C"/>
    <w:rsid w:val="003D6322"/>
    <w:rsid w:val="003E0940"/>
    <w:rsid w:val="003E135E"/>
    <w:rsid w:val="003E1D3F"/>
    <w:rsid w:val="003E2ED9"/>
    <w:rsid w:val="003E32D2"/>
    <w:rsid w:val="003E434C"/>
    <w:rsid w:val="003E7EE8"/>
    <w:rsid w:val="003F0220"/>
    <w:rsid w:val="003F044A"/>
    <w:rsid w:val="003F3AB5"/>
    <w:rsid w:val="003F3E0D"/>
    <w:rsid w:val="00400B64"/>
    <w:rsid w:val="00400FC6"/>
    <w:rsid w:val="00403E50"/>
    <w:rsid w:val="00405829"/>
    <w:rsid w:val="00406D23"/>
    <w:rsid w:val="00406E4A"/>
    <w:rsid w:val="00411C30"/>
    <w:rsid w:val="004175FA"/>
    <w:rsid w:val="00417DD7"/>
    <w:rsid w:val="004206D7"/>
    <w:rsid w:val="00420763"/>
    <w:rsid w:val="00421339"/>
    <w:rsid w:val="00424872"/>
    <w:rsid w:val="00425599"/>
    <w:rsid w:val="004270BA"/>
    <w:rsid w:val="004275C8"/>
    <w:rsid w:val="004309E8"/>
    <w:rsid w:val="004336CB"/>
    <w:rsid w:val="00434682"/>
    <w:rsid w:val="00434709"/>
    <w:rsid w:val="004351E7"/>
    <w:rsid w:val="0043711A"/>
    <w:rsid w:val="004371F9"/>
    <w:rsid w:val="00445643"/>
    <w:rsid w:val="00445D38"/>
    <w:rsid w:val="00450A08"/>
    <w:rsid w:val="00450C5D"/>
    <w:rsid w:val="00450F5A"/>
    <w:rsid w:val="0045132D"/>
    <w:rsid w:val="004517FF"/>
    <w:rsid w:val="00453D85"/>
    <w:rsid w:val="00454850"/>
    <w:rsid w:val="004605AD"/>
    <w:rsid w:val="0046061A"/>
    <w:rsid w:val="00463D3F"/>
    <w:rsid w:val="0046402E"/>
    <w:rsid w:val="004653F8"/>
    <w:rsid w:val="00466A05"/>
    <w:rsid w:val="00466F0C"/>
    <w:rsid w:val="0046755F"/>
    <w:rsid w:val="00470A9A"/>
    <w:rsid w:val="00470EA8"/>
    <w:rsid w:val="004744BC"/>
    <w:rsid w:val="00477FCC"/>
    <w:rsid w:val="0048018D"/>
    <w:rsid w:val="00484AF9"/>
    <w:rsid w:val="00484F8C"/>
    <w:rsid w:val="00490920"/>
    <w:rsid w:val="00491988"/>
    <w:rsid w:val="00492018"/>
    <w:rsid w:val="00495DDC"/>
    <w:rsid w:val="004964B9"/>
    <w:rsid w:val="00496FA4"/>
    <w:rsid w:val="004A069F"/>
    <w:rsid w:val="004A10FA"/>
    <w:rsid w:val="004A251C"/>
    <w:rsid w:val="004A2F14"/>
    <w:rsid w:val="004A30B9"/>
    <w:rsid w:val="004A4000"/>
    <w:rsid w:val="004A49AA"/>
    <w:rsid w:val="004A68AD"/>
    <w:rsid w:val="004B0000"/>
    <w:rsid w:val="004B26AC"/>
    <w:rsid w:val="004B554C"/>
    <w:rsid w:val="004C0671"/>
    <w:rsid w:val="004C33F2"/>
    <w:rsid w:val="004C3BAE"/>
    <w:rsid w:val="004C444F"/>
    <w:rsid w:val="004D06E9"/>
    <w:rsid w:val="004D370E"/>
    <w:rsid w:val="004D4709"/>
    <w:rsid w:val="004E2D6C"/>
    <w:rsid w:val="004E7563"/>
    <w:rsid w:val="004E7680"/>
    <w:rsid w:val="004F243D"/>
    <w:rsid w:val="005002C2"/>
    <w:rsid w:val="00510D88"/>
    <w:rsid w:val="00512476"/>
    <w:rsid w:val="00514306"/>
    <w:rsid w:val="005144CF"/>
    <w:rsid w:val="00516D8C"/>
    <w:rsid w:val="00517062"/>
    <w:rsid w:val="00517439"/>
    <w:rsid w:val="00517B12"/>
    <w:rsid w:val="005206BE"/>
    <w:rsid w:val="005226A4"/>
    <w:rsid w:val="005228A1"/>
    <w:rsid w:val="0052332E"/>
    <w:rsid w:val="00526A9E"/>
    <w:rsid w:val="00527623"/>
    <w:rsid w:val="00531780"/>
    <w:rsid w:val="005326F7"/>
    <w:rsid w:val="00537EE2"/>
    <w:rsid w:val="005406CE"/>
    <w:rsid w:val="00540B05"/>
    <w:rsid w:val="0054154C"/>
    <w:rsid w:val="00545CC4"/>
    <w:rsid w:val="00545E7F"/>
    <w:rsid w:val="005462C8"/>
    <w:rsid w:val="00546364"/>
    <w:rsid w:val="00547829"/>
    <w:rsid w:val="00547F21"/>
    <w:rsid w:val="00551F9A"/>
    <w:rsid w:val="00552B51"/>
    <w:rsid w:val="005534BB"/>
    <w:rsid w:val="00560984"/>
    <w:rsid w:val="0056242C"/>
    <w:rsid w:val="0056269D"/>
    <w:rsid w:val="00567054"/>
    <w:rsid w:val="00570D61"/>
    <w:rsid w:val="00571E67"/>
    <w:rsid w:val="00572AD7"/>
    <w:rsid w:val="0057373D"/>
    <w:rsid w:val="00574495"/>
    <w:rsid w:val="00575C10"/>
    <w:rsid w:val="00576299"/>
    <w:rsid w:val="0057746A"/>
    <w:rsid w:val="005804E0"/>
    <w:rsid w:val="005813CD"/>
    <w:rsid w:val="0058232E"/>
    <w:rsid w:val="00587DF9"/>
    <w:rsid w:val="005937A4"/>
    <w:rsid w:val="005945B0"/>
    <w:rsid w:val="005A12EA"/>
    <w:rsid w:val="005A14CE"/>
    <w:rsid w:val="005A2FD6"/>
    <w:rsid w:val="005A398C"/>
    <w:rsid w:val="005A4B8D"/>
    <w:rsid w:val="005A4F36"/>
    <w:rsid w:val="005B1149"/>
    <w:rsid w:val="005B3EED"/>
    <w:rsid w:val="005B40E3"/>
    <w:rsid w:val="005C131C"/>
    <w:rsid w:val="005C33F0"/>
    <w:rsid w:val="005C7376"/>
    <w:rsid w:val="005D1E4E"/>
    <w:rsid w:val="005D2D0D"/>
    <w:rsid w:val="005D665A"/>
    <w:rsid w:val="005D67AB"/>
    <w:rsid w:val="005D7158"/>
    <w:rsid w:val="005E01B6"/>
    <w:rsid w:val="005E1EFC"/>
    <w:rsid w:val="005E2BAC"/>
    <w:rsid w:val="005E5DCC"/>
    <w:rsid w:val="005E6180"/>
    <w:rsid w:val="005E68B7"/>
    <w:rsid w:val="005E6CFA"/>
    <w:rsid w:val="005E6D1C"/>
    <w:rsid w:val="005F0F8D"/>
    <w:rsid w:val="005F6729"/>
    <w:rsid w:val="005F77F4"/>
    <w:rsid w:val="005F7BE4"/>
    <w:rsid w:val="005F7FAB"/>
    <w:rsid w:val="006007B5"/>
    <w:rsid w:val="006013DF"/>
    <w:rsid w:val="0060501E"/>
    <w:rsid w:val="006061C6"/>
    <w:rsid w:val="00607209"/>
    <w:rsid w:val="00613888"/>
    <w:rsid w:val="00617312"/>
    <w:rsid w:val="00617E2D"/>
    <w:rsid w:val="00620A23"/>
    <w:rsid w:val="00621025"/>
    <w:rsid w:val="00622F75"/>
    <w:rsid w:val="00624126"/>
    <w:rsid w:val="00626E37"/>
    <w:rsid w:val="00631CDC"/>
    <w:rsid w:val="00631F6F"/>
    <w:rsid w:val="00632A66"/>
    <w:rsid w:val="00633487"/>
    <w:rsid w:val="00633AB9"/>
    <w:rsid w:val="006355AB"/>
    <w:rsid w:val="006372CD"/>
    <w:rsid w:val="00637C21"/>
    <w:rsid w:val="0064271D"/>
    <w:rsid w:val="00645CDB"/>
    <w:rsid w:val="00646FA0"/>
    <w:rsid w:val="006471C7"/>
    <w:rsid w:val="006472A1"/>
    <w:rsid w:val="0065091C"/>
    <w:rsid w:val="00651907"/>
    <w:rsid w:val="00653025"/>
    <w:rsid w:val="00654663"/>
    <w:rsid w:val="006561CC"/>
    <w:rsid w:val="0065632A"/>
    <w:rsid w:val="00660317"/>
    <w:rsid w:val="00662D59"/>
    <w:rsid w:val="0066382A"/>
    <w:rsid w:val="006639A6"/>
    <w:rsid w:val="00664EE5"/>
    <w:rsid w:val="006709FA"/>
    <w:rsid w:val="006726A1"/>
    <w:rsid w:val="00672D50"/>
    <w:rsid w:val="00673765"/>
    <w:rsid w:val="00675478"/>
    <w:rsid w:val="00676851"/>
    <w:rsid w:val="0068026E"/>
    <w:rsid w:val="006817FF"/>
    <w:rsid w:val="0068243A"/>
    <w:rsid w:val="00686756"/>
    <w:rsid w:val="00687B29"/>
    <w:rsid w:val="00693C7B"/>
    <w:rsid w:val="0069522C"/>
    <w:rsid w:val="00695D34"/>
    <w:rsid w:val="00697DE6"/>
    <w:rsid w:val="006A3A32"/>
    <w:rsid w:val="006A432F"/>
    <w:rsid w:val="006A6180"/>
    <w:rsid w:val="006A6AFD"/>
    <w:rsid w:val="006A7373"/>
    <w:rsid w:val="006A77E2"/>
    <w:rsid w:val="006A7931"/>
    <w:rsid w:val="006B011D"/>
    <w:rsid w:val="006B17A0"/>
    <w:rsid w:val="006B28F0"/>
    <w:rsid w:val="006C115B"/>
    <w:rsid w:val="006C19B3"/>
    <w:rsid w:val="006C1F8E"/>
    <w:rsid w:val="006D13AF"/>
    <w:rsid w:val="006D1DBA"/>
    <w:rsid w:val="006D74A5"/>
    <w:rsid w:val="006D7552"/>
    <w:rsid w:val="006E194D"/>
    <w:rsid w:val="006E3978"/>
    <w:rsid w:val="006E41A6"/>
    <w:rsid w:val="006E69A7"/>
    <w:rsid w:val="006F10D9"/>
    <w:rsid w:val="006F1FBE"/>
    <w:rsid w:val="006F2FE6"/>
    <w:rsid w:val="006F306B"/>
    <w:rsid w:val="006F4516"/>
    <w:rsid w:val="006F74C0"/>
    <w:rsid w:val="007003E8"/>
    <w:rsid w:val="00701853"/>
    <w:rsid w:val="0070550F"/>
    <w:rsid w:val="00706D44"/>
    <w:rsid w:val="00707DCF"/>
    <w:rsid w:val="00712275"/>
    <w:rsid w:val="007127EE"/>
    <w:rsid w:val="007131B2"/>
    <w:rsid w:val="007131B6"/>
    <w:rsid w:val="00716410"/>
    <w:rsid w:val="007168BA"/>
    <w:rsid w:val="00717C3D"/>
    <w:rsid w:val="00717DE7"/>
    <w:rsid w:val="0072158D"/>
    <w:rsid w:val="00722827"/>
    <w:rsid w:val="007238DE"/>
    <w:rsid w:val="007277E2"/>
    <w:rsid w:val="007323F5"/>
    <w:rsid w:val="00733183"/>
    <w:rsid w:val="007342ED"/>
    <w:rsid w:val="00734919"/>
    <w:rsid w:val="00741972"/>
    <w:rsid w:val="00743E73"/>
    <w:rsid w:val="007468EC"/>
    <w:rsid w:val="00750CD4"/>
    <w:rsid w:val="00752695"/>
    <w:rsid w:val="00754824"/>
    <w:rsid w:val="00754B4D"/>
    <w:rsid w:val="00755F28"/>
    <w:rsid w:val="00760A9A"/>
    <w:rsid w:val="007632DA"/>
    <w:rsid w:val="00770E5E"/>
    <w:rsid w:val="007728F8"/>
    <w:rsid w:val="00773FA5"/>
    <w:rsid w:val="007766DE"/>
    <w:rsid w:val="007804D1"/>
    <w:rsid w:val="007811AE"/>
    <w:rsid w:val="00781FA9"/>
    <w:rsid w:val="007876EC"/>
    <w:rsid w:val="0079311F"/>
    <w:rsid w:val="007939D8"/>
    <w:rsid w:val="007A0E8F"/>
    <w:rsid w:val="007A335A"/>
    <w:rsid w:val="007B09C8"/>
    <w:rsid w:val="007B61D0"/>
    <w:rsid w:val="007C12C1"/>
    <w:rsid w:val="007C2BBE"/>
    <w:rsid w:val="007D292F"/>
    <w:rsid w:val="007D3050"/>
    <w:rsid w:val="007D3567"/>
    <w:rsid w:val="007D48CA"/>
    <w:rsid w:val="007D7690"/>
    <w:rsid w:val="007E1B4F"/>
    <w:rsid w:val="007E4321"/>
    <w:rsid w:val="007E55B6"/>
    <w:rsid w:val="007E5765"/>
    <w:rsid w:val="007E6456"/>
    <w:rsid w:val="007E759D"/>
    <w:rsid w:val="007F1A5E"/>
    <w:rsid w:val="007F5484"/>
    <w:rsid w:val="007F5E9E"/>
    <w:rsid w:val="00800C03"/>
    <w:rsid w:val="00801BA5"/>
    <w:rsid w:val="00803A9A"/>
    <w:rsid w:val="00805615"/>
    <w:rsid w:val="00812178"/>
    <w:rsid w:val="00826898"/>
    <w:rsid w:val="00833F99"/>
    <w:rsid w:val="0083769B"/>
    <w:rsid w:val="00840FD0"/>
    <w:rsid w:val="00843605"/>
    <w:rsid w:val="00843932"/>
    <w:rsid w:val="008448AD"/>
    <w:rsid w:val="008473B2"/>
    <w:rsid w:val="00847DD7"/>
    <w:rsid w:val="00850D35"/>
    <w:rsid w:val="00852266"/>
    <w:rsid w:val="00856784"/>
    <w:rsid w:val="00856F20"/>
    <w:rsid w:val="008577E4"/>
    <w:rsid w:val="008603F9"/>
    <w:rsid w:val="0086040C"/>
    <w:rsid w:val="00862CF0"/>
    <w:rsid w:val="0087000E"/>
    <w:rsid w:val="00871E1D"/>
    <w:rsid w:val="00872244"/>
    <w:rsid w:val="00872C63"/>
    <w:rsid w:val="008730A7"/>
    <w:rsid w:val="008742F5"/>
    <w:rsid w:val="008750ED"/>
    <w:rsid w:val="00875586"/>
    <w:rsid w:val="00877804"/>
    <w:rsid w:val="008810ED"/>
    <w:rsid w:val="008822B0"/>
    <w:rsid w:val="008822D8"/>
    <w:rsid w:val="0088767A"/>
    <w:rsid w:val="00887FD6"/>
    <w:rsid w:val="00890605"/>
    <w:rsid w:val="0089103E"/>
    <w:rsid w:val="008923B0"/>
    <w:rsid w:val="00893510"/>
    <w:rsid w:val="0089648A"/>
    <w:rsid w:val="0089721E"/>
    <w:rsid w:val="00897351"/>
    <w:rsid w:val="00897966"/>
    <w:rsid w:val="008A4897"/>
    <w:rsid w:val="008A745D"/>
    <w:rsid w:val="008B2925"/>
    <w:rsid w:val="008B3D0F"/>
    <w:rsid w:val="008B5D92"/>
    <w:rsid w:val="008B6234"/>
    <w:rsid w:val="008B6680"/>
    <w:rsid w:val="008B73DA"/>
    <w:rsid w:val="008C4197"/>
    <w:rsid w:val="008C6501"/>
    <w:rsid w:val="008D14BC"/>
    <w:rsid w:val="008D1771"/>
    <w:rsid w:val="008D513C"/>
    <w:rsid w:val="008D6E57"/>
    <w:rsid w:val="008E034B"/>
    <w:rsid w:val="008E06F4"/>
    <w:rsid w:val="008E0DE5"/>
    <w:rsid w:val="008E50D2"/>
    <w:rsid w:val="008E60FE"/>
    <w:rsid w:val="008F36F2"/>
    <w:rsid w:val="008F5021"/>
    <w:rsid w:val="008F6B33"/>
    <w:rsid w:val="008F757C"/>
    <w:rsid w:val="00900897"/>
    <w:rsid w:val="009019A2"/>
    <w:rsid w:val="00906013"/>
    <w:rsid w:val="0090651B"/>
    <w:rsid w:val="00907C3D"/>
    <w:rsid w:val="00907CFE"/>
    <w:rsid w:val="00910E6F"/>
    <w:rsid w:val="00911866"/>
    <w:rsid w:val="009123F7"/>
    <w:rsid w:val="0091274C"/>
    <w:rsid w:val="00920DB5"/>
    <w:rsid w:val="00924A18"/>
    <w:rsid w:val="009260BD"/>
    <w:rsid w:val="00927A30"/>
    <w:rsid w:val="00927F10"/>
    <w:rsid w:val="00931F29"/>
    <w:rsid w:val="00932871"/>
    <w:rsid w:val="00932E17"/>
    <w:rsid w:val="00933B3B"/>
    <w:rsid w:val="00943CCF"/>
    <w:rsid w:val="00951435"/>
    <w:rsid w:val="009518FA"/>
    <w:rsid w:val="00952229"/>
    <w:rsid w:val="00955957"/>
    <w:rsid w:val="00956957"/>
    <w:rsid w:val="00957786"/>
    <w:rsid w:val="00957E92"/>
    <w:rsid w:val="00965435"/>
    <w:rsid w:val="00975333"/>
    <w:rsid w:val="009765D1"/>
    <w:rsid w:val="009830DC"/>
    <w:rsid w:val="00987DE6"/>
    <w:rsid w:val="00990A27"/>
    <w:rsid w:val="00991634"/>
    <w:rsid w:val="00991F43"/>
    <w:rsid w:val="00992F12"/>
    <w:rsid w:val="009940DE"/>
    <w:rsid w:val="009942BE"/>
    <w:rsid w:val="00996085"/>
    <w:rsid w:val="009A0BCB"/>
    <w:rsid w:val="009A2CAB"/>
    <w:rsid w:val="009A4E17"/>
    <w:rsid w:val="009A550F"/>
    <w:rsid w:val="009A6E23"/>
    <w:rsid w:val="009B465A"/>
    <w:rsid w:val="009B6910"/>
    <w:rsid w:val="009C05BE"/>
    <w:rsid w:val="009C0C1C"/>
    <w:rsid w:val="009C1528"/>
    <w:rsid w:val="009C1A30"/>
    <w:rsid w:val="009C7EB0"/>
    <w:rsid w:val="009D0D15"/>
    <w:rsid w:val="009D148C"/>
    <w:rsid w:val="009D1DEB"/>
    <w:rsid w:val="009D3D2C"/>
    <w:rsid w:val="009D3D55"/>
    <w:rsid w:val="009D55D0"/>
    <w:rsid w:val="009D735A"/>
    <w:rsid w:val="009E0845"/>
    <w:rsid w:val="009E21CC"/>
    <w:rsid w:val="009E4383"/>
    <w:rsid w:val="009E6C2F"/>
    <w:rsid w:val="009F1E7B"/>
    <w:rsid w:val="009F6954"/>
    <w:rsid w:val="00A00A5B"/>
    <w:rsid w:val="00A01C78"/>
    <w:rsid w:val="00A03662"/>
    <w:rsid w:val="00A060B1"/>
    <w:rsid w:val="00A062EF"/>
    <w:rsid w:val="00A118F0"/>
    <w:rsid w:val="00A128B6"/>
    <w:rsid w:val="00A12C46"/>
    <w:rsid w:val="00A15F78"/>
    <w:rsid w:val="00A17400"/>
    <w:rsid w:val="00A22803"/>
    <w:rsid w:val="00A22B92"/>
    <w:rsid w:val="00A22CE8"/>
    <w:rsid w:val="00A25D52"/>
    <w:rsid w:val="00A265AB"/>
    <w:rsid w:val="00A2757A"/>
    <w:rsid w:val="00A27CB3"/>
    <w:rsid w:val="00A30D61"/>
    <w:rsid w:val="00A352CA"/>
    <w:rsid w:val="00A36F67"/>
    <w:rsid w:val="00A44ADA"/>
    <w:rsid w:val="00A5002F"/>
    <w:rsid w:val="00A506DB"/>
    <w:rsid w:val="00A520EF"/>
    <w:rsid w:val="00A5338F"/>
    <w:rsid w:val="00A606EC"/>
    <w:rsid w:val="00A6193C"/>
    <w:rsid w:val="00A6251A"/>
    <w:rsid w:val="00A6603E"/>
    <w:rsid w:val="00A67251"/>
    <w:rsid w:val="00A70E23"/>
    <w:rsid w:val="00A72C03"/>
    <w:rsid w:val="00A7512F"/>
    <w:rsid w:val="00A7690F"/>
    <w:rsid w:val="00A772D9"/>
    <w:rsid w:val="00A77B16"/>
    <w:rsid w:val="00A81ACE"/>
    <w:rsid w:val="00A81F23"/>
    <w:rsid w:val="00A821FC"/>
    <w:rsid w:val="00A82657"/>
    <w:rsid w:val="00A83D2A"/>
    <w:rsid w:val="00A858AD"/>
    <w:rsid w:val="00A9026E"/>
    <w:rsid w:val="00A90448"/>
    <w:rsid w:val="00A96B16"/>
    <w:rsid w:val="00AA1696"/>
    <w:rsid w:val="00AA1745"/>
    <w:rsid w:val="00AA3535"/>
    <w:rsid w:val="00AA5ADB"/>
    <w:rsid w:val="00AA6745"/>
    <w:rsid w:val="00AB2379"/>
    <w:rsid w:val="00AB2736"/>
    <w:rsid w:val="00AB45BB"/>
    <w:rsid w:val="00AB4E18"/>
    <w:rsid w:val="00AB58C1"/>
    <w:rsid w:val="00AB5B48"/>
    <w:rsid w:val="00AB5D80"/>
    <w:rsid w:val="00AB715D"/>
    <w:rsid w:val="00AB7BFB"/>
    <w:rsid w:val="00AC3F51"/>
    <w:rsid w:val="00AC4939"/>
    <w:rsid w:val="00AC5E49"/>
    <w:rsid w:val="00AD05F7"/>
    <w:rsid w:val="00AD4DCC"/>
    <w:rsid w:val="00AE03C6"/>
    <w:rsid w:val="00AE0820"/>
    <w:rsid w:val="00AE3D5F"/>
    <w:rsid w:val="00AE59E8"/>
    <w:rsid w:val="00AE5A3B"/>
    <w:rsid w:val="00AE7CD5"/>
    <w:rsid w:val="00AF13EF"/>
    <w:rsid w:val="00AF2EDE"/>
    <w:rsid w:val="00AF50FD"/>
    <w:rsid w:val="00AF5E31"/>
    <w:rsid w:val="00AF624D"/>
    <w:rsid w:val="00AF64AE"/>
    <w:rsid w:val="00AF6B3C"/>
    <w:rsid w:val="00AF7FE5"/>
    <w:rsid w:val="00B015DF"/>
    <w:rsid w:val="00B027D8"/>
    <w:rsid w:val="00B02A22"/>
    <w:rsid w:val="00B03EED"/>
    <w:rsid w:val="00B04DF3"/>
    <w:rsid w:val="00B0563F"/>
    <w:rsid w:val="00B071F5"/>
    <w:rsid w:val="00B11122"/>
    <w:rsid w:val="00B112A7"/>
    <w:rsid w:val="00B124CA"/>
    <w:rsid w:val="00B13066"/>
    <w:rsid w:val="00B14826"/>
    <w:rsid w:val="00B2115C"/>
    <w:rsid w:val="00B217B8"/>
    <w:rsid w:val="00B22960"/>
    <w:rsid w:val="00B229AC"/>
    <w:rsid w:val="00B23776"/>
    <w:rsid w:val="00B269E1"/>
    <w:rsid w:val="00B30520"/>
    <w:rsid w:val="00B331F7"/>
    <w:rsid w:val="00B357AF"/>
    <w:rsid w:val="00B359BE"/>
    <w:rsid w:val="00B400BD"/>
    <w:rsid w:val="00B45C88"/>
    <w:rsid w:val="00B46B8D"/>
    <w:rsid w:val="00B5196A"/>
    <w:rsid w:val="00B51C68"/>
    <w:rsid w:val="00B53333"/>
    <w:rsid w:val="00B54C3C"/>
    <w:rsid w:val="00B57855"/>
    <w:rsid w:val="00B60C59"/>
    <w:rsid w:val="00B620EF"/>
    <w:rsid w:val="00B65432"/>
    <w:rsid w:val="00B679EB"/>
    <w:rsid w:val="00B71407"/>
    <w:rsid w:val="00B716DF"/>
    <w:rsid w:val="00B74CD8"/>
    <w:rsid w:val="00B812A9"/>
    <w:rsid w:val="00B815CE"/>
    <w:rsid w:val="00B81845"/>
    <w:rsid w:val="00B83178"/>
    <w:rsid w:val="00B8493E"/>
    <w:rsid w:val="00B87E67"/>
    <w:rsid w:val="00B9445C"/>
    <w:rsid w:val="00B965B7"/>
    <w:rsid w:val="00BA0DBF"/>
    <w:rsid w:val="00BA11D3"/>
    <w:rsid w:val="00BA1F46"/>
    <w:rsid w:val="00BA2D80"/>
    <w:rsid w:val="00BA3EB8"/>
    <w:rsid w:val="00BB0551"/>
    <w:rsid w:val="00BB13F5"/>
    <w:rsid w:val="00BB14D1"/>
    <w:rsid w:val="00BB2D58"/>
    <w:rsid w:val="00BB2D9E"/>
    <w:rsid w:val="00BB2E99"/>
    <w:rsid w:val="00BB5F63"/>
    <w:rsid w:val="00BB65A8"/>
    <w:rsid w:val="00BB66B2"/>
    <w:rsid w:val="00BC0BA3"/>
    <w:rsid w:val="00BC204C"/>
    <w:rsid w:val="00BC2743"/>
    <w:rsid w:val="00BC3F7B"/>
    <w:rsid w:val="00BC43AB"/>
    <w:rsid w:val="00BC5DFC"/>
    <w:rsid w:val="00BC6792"/>
    <w:rsid w:val="00BD1127"/>
    <w:rsid w:val="00BD374E"/>
    <w:rsid w:val="00BD44B9"/>
    <w:rsid w:val="00BD5777"/>
    <w:rsid w:val="00BD7C66"/>
    <w:rsid w:val="00BD7D3A"/>
    <w:rsid w:val="00BE0565"/>
    <w:rsid w:val="00BE12F3"/>
    <w:rsid w:val="00BE1427"/>
    <w:rsid w:val="00BE3314"/>
    <w:rsid w:val="00BE714E"/>
    <w:rsid w:val="00BF1AF1"/>
    <w:rsid w:val="00BF353A"/>
    <w:rsid w:val="00BF5EF1"/>
    <w:rsid w:val="00C0089D"/>
    <w:rsid w:val="00C0556C"/>
    <w:rsid w:val="00C05AE0"/>
    <w:rsid w:val="00C06BBA"/>
    <w:rsid w:val="00C077D2"/>
    <w:rsid w:val="00C15491"/>
    <w:rsid w:val="00C15856"/>
    <w:rsid w:val="00C17C1D"/>
    <w:rsid w:val="00C17D13"/>
    <w:rsid w:val="00C2139A"/>
    <w:rsid w:val="00C21D50"/>
    <w:rsid w:val="00C23562"/>
    <w:rsid w:val="00C240F4"/>
    <w:rsid w:val="00C268E4"/>
    <w:rsid w:val="00C27204"/>
    <w:rsid w:val="00C27A35"/>
    <w:rsid w:val="00C330F2"/>
    <w:rsid w:val="00C35363"/>
    <w:rsid w:val="00C37E42"/>
    <w:rsid w:val="00C41E35"/>
    <w:rsid w:val="00C421E8"/>
    <w:rsid w:val="00C4430E"/>
    <w:rsid w:val="00C4509F"/>
    <w:rsid w:val="00C479B6"/>
    <w:rsid w:val="00C5004C"/>
    <w:rsid w:val="00C5133D"/>
    <w:rsid w:val="00C530B1"/>
    <w:rsid w:val="00C558D8"/>
    <w:rsid w:val="00C6154E"/>
    <w:rsid w:val="00C61D21"/>
    <w:rsid w:val="00C61D85"/>
    <w:rsid w:val="00C63BAA"/>
    <w:rsid w:val="00C656CD"/>
    <w:rsid w:val="00C659BF"/>
    <w:rsid w:val="00C65B86"/>
    <w:rsid w:val="00C727A4"/>
    <w:rsid w:val="00C7407D"/>
    <w:rsid w:val="00C76DBE"/>
    <w:rsid w:val="00C82C7A"/>
    <w:rsid w:val="00C8334E"/>
    <w:rsid w:val="00C84FE8"/>
    <w:rsid w:val="00C87E35"/>
    <w:rsid w:val="00C90EB3"/>
    <w:rsid w:val="00C92E34"/>
    <w:rsid w:val="00C9397D"/>
    <w:rsid w:val="00C97A8A"/>
    <w:rsid w:val="00C97E86"/>
    <w:rsid w:val="00C97EC3"/>
    <w:rsid w:val="00CA2437"/>
    <w:rsid w:val="00CA4E35"/>
    <w:rsid w:val="00CA7C8B"/>
    <w:rsid w:val="00CB0209"/>
    <w:rsid w:val="00CB414C"/>
    <w:rsid w:val="00CB4245"/>
    <w:rsid w:val="00CB49F2"/>
    <w:rsid w:val="00CB6C44"/>
    <w:rsid w:val="00CC22F6"/>
    <w:rsid w:val="00CC7C6C"/>
    <w:rsid w:val="00CD1A6A"/>
    <w:rsid w:val="00CD1F40"/>
    <w:rsid w:val="00CD28CB"/>
    <w:rsid w:val="00CD3C85"/>
    <w:rsid w:val="00CD5E12"/>
    <w:rsid w:val="00CE12B3"/>
    <w:rsid w:val="00CE3891"/>
    <w:rsid w:val="00CE57BE"/>
    <w:rsid w:val="00CE5EC0"/>
    <w:rsid w:val="00CE63FA"/>
    <w:rsid w:val="00CE68BD"/>
    <w:rsid w:val="00CE7AC8"/>
    <w:rsid w:val="00CF1AB3"/>
    <w:rsid w:val="00CF357C"/>
    <w:rsid w:val="00CF3830"/>
    <w:rsid w:val="00CF6752"/>
    <w:rsid w:val="00CF726A"/>
    <w:rsid w:val="00CF7B49"/>
    <w:rsid w:val="00D00CF5"/>
    <w:rsid w:val="00D0254A"/>
    <w:rsid w:val="00D038B8"/>
    <w:rsid w:val="00D03CE2"/>
    <w:rsid w:val="00D06D75"/>
    <w:rsid w:val="00D13688"/>
    <w:rsid w:val="00D14348"/>
    <w:rsid w:val="00D1507D"/>
    <w:rsid w:val="00D16E20"/>
    <w:rsid w:val="00D17389"/>
    <w:rsid w:val="00D20A52"/>
    <w:rsid w:val="00D213FC"/>
    <w:rsid w:val="00D21CEF"/>
    <w:rsid w:val="00D260D0"/>
    <w:rsid w:val="00D273D8"/>
    <w:rsid w:val="00D2757A"/>
    <w:rsid w:val="00D27607"/>
    <w:rsid w:val="00D35B24"/>
    <w:rsid w:val="00D365F9"/>
    <w:rsid w:val="00D36E43"/>
    <w:rsid w:val="00D40AEF"/>
    <w:rsid w:val="00D43675"/>
    <w:rsid w:val="00D43977"/>
    <w:rsid w:val="00D449B2"/>
    <w:rsid w:val="00D44CFD"/>
    <w:rsid w:val="00D45871"/>
    <w:rsid w:val="00D45CD1"/>
    <w:rsid w:val="00D45E89"/>
    <w:rsid w:val="00D47CFC"/>
    <w:rsid w:val="00D506C6"/>
    <w:rsid w:val="00D52694"/>
    <w:rsid w:val="00D54038"/>
    <w:rsid w:val="00D5459E"/>
    <w:rsid w:val="00D54F9D"/>
    <w:rsid w:val="00D56440"/>
    <w:rsid w:val="00D578F6"/>
    <w:rsid w:val="00D6340F"/>
    <w:rsid w:val="00D64EC7"/>
    <w:rsid w:val="00D76F31"/>
    <w:rsid w:val="00D7750E"/>
    <w:rsid w:val="00D77E81"/>
    <w:rsid w:val="00D82182"/>
    <w:rsid w:val="00D82BB6"/>
    <w:rsid w:val="00D8331E"/>
    <w:rsid w:val="00D8600A"/>
    <w:rsid w:val="00D86467"/>
    <w:rsid w:val="00D86D71"/>
    <w:rsid w:val="00D9063A"/>
    <w:rsid w:val="00D90893"/>
    <w:rsid w:val="00D93539"/>
    <w:rsid w:val="00DA1733"/>
    <w:rsid w:val="00DA1C20"/>
    <w:rsid w:val="00DA497D"/>
    <w:rsid w:val="00DA5847"/>
    <w:rsid w:val="00DA5ED3"/>
    <w:rsid w:val="00DA7CDC"/>
    <w:rsid w:val="00DB07FD"/>
    <w:rsid w:val="00DB4EE3"/>
    <w:rsid w:val="00DB6789"/>
    <w:rsid w:val="00DC0DA1"/>
    <w:rsid w:val="00DC12EA"/>
    <w:rsid w:val="00DC2F5E"/>
    <w:rsid w:val="00DC364F"/>
    <w:rsid w:val="00DC58FB"/>
    <w:rsid w:val="00DC7EC9"/>
    <w:rsid w:val="00DD01C0"/>
    <w:rsid w:val="00DD04AE"/>
    <w:rsid w:val="00DD067D"/>
    <w:rsid w:val="00DD3EB4"/>
    <w:rsid w:val="00DD4C10"/>
    <w:rsid w:val="00DD666E"/>
    <w:rsid w:val="00DD7053"/>
    <w:rsid w:val="00DD71BA"/>
    <w:rsid w:val="00DE1172"/>
    <w:rsid w:val="00DE1C90"/>
    <w:rsid w:val="00DE4170"/>
    <w:rsid w:val="00DE709F"/>
    <w:rsid w:val="00DF559B"/>
    <w:rsid w:val="00DF69DD"/>
    <w:rsid w:val="00E007E7"/>
    <w:rsid w:val="00E04B7E"/>
    <w:rsid w:val="00E07C88"/>
    <w:rsid w:val="00E10E83"/>
    <w:rsid w:val="00E16436"/>
    <w:rsid w:val="00E170D5"/>
    <w:rsid w:val="00E21E9C"/>
    <w:rsid w:val="00E24547"/>
    <w:rsid w:val="00E25F5D"/>
    <w:rsid w:val="00E30450"/>
    <w:rsid w:val="00E30A95"/>
    <w:rsid w:val="00E32130"/>
    <w:rsid w:val="00E32932"/>
    <w:rsid w:val="00E35D5C"/>
    <w:rsid w:val="00E4099B"/>
    <w:rsid w:val="00E40B42"/>
    <w:rsid w:val="00E43E56"/>
    <w:rsid w:val="00E450C1"/>
    <w:rsid w:val="00E45253"/>
    <w:rsid w:val="00E457FD"/>
    <w:rsid w:val="00E46231"/>
    <w:rsid w:val="00E47968"/>
    <w:rsid w:val="00E5214C"/>
    <w:rsid w:val="00E53303"/>
    <w:rsid w:val="00E54C9E"/>
    <w:rsid w:val="00E55A60"/>
    <w:rsid w:val="00E6101E"/>
    <w:rsid w:val="00E61CE2"/>
    <w:rsid w:val="00E63150"/>
    <w:rsid w:val="00E6715C"/>
    <w:rsid w:val="00E7116E"/>
    <w:rsid w:val="00E756D6"/>
    <w:rsid w:val="00E81F2E"/>
    <w:rsid w:val="00E84F19"/>
    <w:rsid w:val="00E86814"/>
    <w:rsid w:val="00E86D64"/>
    <w:rsid w:val="00E925C5"/>
    <w:rsid w:val="00E93614"/>
    <w:rsid w:val="00E9412E"/>
    <w:rsid w:val="00E971C0"/>
    <w:rsid w:val="00EA0BD7"/>
    <w:rsid w:val="00EA2E08"/>
    <w:rsid w:val="00EA5A2D"/>
    <w:rsid w:val="00EB273E"/>
    <w:rsid w:val="00EB2DED"/>
    <w:rsid w:val="00EB5800"/>
    <w:rsid w:val="00EB5841"/>
    <w:rsid w:val="00EC0652"/>
    <w:rsid w:val="00EC2933"/>
    <w:rsid w:val="00EC335F"/>
    <w:rsid w:val="00EC3A60"/>
    <w:rsid w:val="00EC4307"/>
    <w:rsid w:val="00EC618C"/>
    <w:rsid w:val="00ED24EA"/>
    <w:rsid w:val="00ED27D1"/>
    <w:rsid w:val="00ED3296"/>
    <w:rsid w:val="00ED3A72"/>
    <w:rsid w:val="00ED41CA"/>
    <w:rsid w:val="00ED4E6E"/>
    <w:rsid w:val="00EE77A3"/>
    <w:rsid w:val="00EE7A28"/>
    <w:rsid w:val="00EF4624"/>
    <w:rsid w:val="00EF5A75"/>
    <w:rsid w:val="00F0115F"/>
    <w:rsid w:val="00F0202D"/>
    <w:rsid w:val="00F04DCC"/>
    <w:rsid w:val="00F06A15"/>
    <w:rsid w:val="00F109C0"/>
    <w:rsid w:val="00F138EB"/>
    <w:rsid w:val="00F15146"/>
    <w:rsid w:val="00F15A0B"/>
    <w:rsid w:val="00F15BED"/>
    <w:rsid w:val="00F15E40"/>
    <w:rsid w:val="00F16FFC"/>
    <w:rsid w:val="00F2263D"/>
    <w:rsid w:val="00F22790"/>
    <w:rsid w:val="00F235E4"/>
    <w:rsid w:val="00F235E5"/>
    <w:rsid w:val="00F256E9"/>
    <w:rsid w:val="00F323CB"/>
    <w:rsid w:val="00F331AE"/>
    <w:rsid w:val="00F33AF7"/>
    <w:rsid w:val="00F35249"/>
    <w:rsid w:val="00F35B79"/>
    <w:rsid w:val="00F35FB7"/>
    <w:rsid w:val="00F37B49"/>
    <w:rsid w:val="00F37EA9"/>
    <w:rsid w:val="00F43BB6"/>
    <w:rsid w:val="00F44D4C"/>
    <w:rsid w:val="00F523F8"/>
    <w:rsid w:val="00F54BA8"/>
    <w:rsid w:val="00F60846"/>
    <w:rsid w:val="00F62125"/>
    <w:rsid w:val="00F6717D"/>
    <w:rsid w:val="00F730F1"/>
    <w:rsid w:val="00F76E63"/>
    <w:rsid w:val="00F77A54"/>
    <w:rsid w:val="00F8135F"/>
    <w:rsid w:val="00F8156E"/>
    <w:rsid w:val="00F85814"/>
    <w:rsid w:val="00F9393A"/>
    <w:rsid w:val="00F939CF"/>
    <w:rsid w:val="00F93F8D"/>
    <w:rsid w:val="00FA091F"/>
    <w:rsid w:val="00FA3086"/>
    <w:rsid w:val="00FA6645"/>
    <w:rsid w:val="00FA71B3"/>
    <w:rsid w:val="00FA7639"/>
    <w:rsid w:val="00FB3516"/>
    <w:rsid w:val="00FB55CE"/>
    <w:rsid w:val="00FB5F4B"/>
    <w:rsid w:val="00FC0D8B"/>
    <w:rsid w:val="00FC3343"/>
    <w:rsid w:val="00FD023A"/>
    <w:rsid w:val="00FD41BA"/>
    <w:rsid w:val="00FD51D9"/>
    <w:rsid w:val="00FD584F"/>
    <w:rsid w:val="00FE6ED9"/>
    <w:rsid w:val="00FE72DA"/>
    <w:rsid w:val="00FE7703"/>
    <w:rsid w:val="00FE7DF2"/>
    <w:rsid w:val="00FF3014"/>
    <w:rsid w:val="00FF32E1"/>
    <w:rsid w:val="00FF3940"/>
    <w:rsid w:val="00FF3F1C"/>
    <w:rsid w:val="00FF6842"/>
    <w:rsid w:val="00FF6E09"/>
    <w:rsid w:val="01E52931"/>
    <w:rsid w:val="07FB54E2"/>
    <w:rsid w:val="08F1726D"/>
    <w:rsid w:val="0A4B76B3"/>
    <w:rsid w:val="0AA40717"/>
    <w:rsid w:val="0FDB34D8"/>
    <w:rsid w:val="122F2827"/>
    <w:rsid w:val="14810D8C"/>
    <w:rsid w:val="157870C4"/>
    <w:rsid w:val="17DD60DF"/>
    <w:rsid w:val="17FFB719"/>
    <w:rsid w:val="1C1D41FC"/>
    <w:rsid w:val="1D72B1BC"/>
    <w:rsid w:val="1EAF7DC2"/>
    <w:rsid w:val="1FEF72EF"/>
    <w:rsid w:val="1FFD0BFB"/>
    <w:rsid w:val="1FFFDF75"/>
    <w:rsid w:val="21644313"/>
    <w:rsid w:val="22EF4483"/>
    <w:rsid w:val="24FD7EE2"/>
    <w:rsid w:val="25FD0E3E"/>
    <w:rsid w:val="264E49A1"/>
    <w:rsid w:val="2AD72DE8"/>
    <w:rsid w:val="2BFD80C4"/>
    <w:rsid w:val="2CAE74F5"/>
    <w:rsid w:val="2CFF157F"/>
    <w:rsid w:val="2EFFA3D7"/>
    <w:rsid w:val="2FBFA126"/>
    <w:rsid w:val="301C570B"/>
    <w:rsid w:val="307A20B6"/>
    <w:rsid w:val="33797AE6"/>
    <w:rsid w:val="337B4340"/>
    <w:rsid w:val="34CB1593"/>
    <w:rsid w:val="35FC5123"/>
    <w:rsid w:val="370D5089"/>
    <w:rsid w:val="37B482BF"/>
    <w:rsid w:val="38E51D53"/>
    <w:rsid w:val="39FFF308"/>
    <w:rsid w:val="3AE996B2"/>
    <w:rsid w:val="3AFEB3AF"/>
    <w:rsid w:val="3B3D4362"/>
    <w:rsid w:val="3BB9CA5F"/>
    <w:rsid w:val="3BEABB92"/>
    <w:rsid w:val="3DF31500"/>
    <w:rsid w:val="3EF57631"/>
    <w:rsid w:val="3EFB8C0A"/>
    <w:rsid w:val="3F37606B"/>
    <w:rsid w:val="3F4FC73B"/>
    <w:rsid w:val="3F7F48B4"/>
    <w:rsid w:val="3F9D4449"/>
    <w:rsid w:val="3FAF21FD"/>
    <w:rsid w:val="3FDA3488"/>
    <w:rsid w:val="3FFEAF15"/>
    <w:rsid w:val="424072AD"/>
    <w:rsid w:val="49F7B968"/>
    <w:rsid w:val="4CF951C7"/>
    <w:rsid w:val="4DFBC51C"/>
    <w:rsid w:val="4EEE6922"/>
    <w:rsid w:val="4F771D00"/>
    <w:rsid w:val="4F7B945A"/>
    <w:rsid w:val="53B8F71C"/>
    <w:rsid w:val="57EFBD9C"/>
    <w:rsid w:val="57F59E4C"/>
    <w:rsid w:val="5A776A28"/>
    <w:rsid w:val="5AFF6943"/>
    <w:rsid w:val="5BE37F9A"/>
    <w:rsid w:val="5BFF75B3"/>
    <w:rsid w:val="5EFBB865"/>
    <w:rsid w:val="5F3BF302"/>
    <w:rsid w:val="5F477DBE"/>
    <w:rsid w:val="5F7D4617"/>
    <w:rsid w:val="5F8F0DB9"/>
    <w:rsid w:val="5FBC5BD8"/>
    <w:rsid w:val="5FBE605F"/>
    <w:rsid w:val="5FBF846D"/>
    <w:rsid w:val="5FCE47FB"/>
    <w:rsid w:val="5FDCE83D"/>
    <w:rsid w:val="5FEEFB08"/>
    <w:rsid w:val="5FFD1861"/>
    <w:rsid w:val="5FFF6FBE"/>
    <w:rsid w:val="60286BFF"/>
    <w:rsid w:val="603F5A06"/>
    <w:rsid w:val="62ED7A68"/>
    <w:rsid w:val="641376AF"/>
    <w:rsid w:val="643A46EF"/>
    <w:rsid w:val="65A84A34"/>
    <w:rsid w:val="67EB8B6E"/>
    <w:rsid w:val="67FB0F53"/>
    <w:rsid w:val="67FE3885"/>
    <w:rsid w:val="69212514"/>
    <w:rsid w:val="6A954D5A"/>
    <w:rsid w:val="6BFF1BFB"/>
    <w:rsid w:val="6BFF8FB2"/>
    <w:rsid w:val="6CFD9C48"/>
    <w:rsid w:val="6EBF4990"/>
    <w:rsid w:val="6F3FADE9"/>
    <w:rsid w:val="6F4DF835"/>
    <w:rsid w:val="6F5B17D9"/>
    <w:rsid w:val="6F779855"/>
    <w:rsid w:val="6F7F86E9"/>
    <w:rsid w:val="6FB9B841"/>
    <w:rsid w:val="6FD788F4"/>
    <w:rsid w:val="6FE3CAD3"/>
    <w:rsid w:val="6FFEECDE"/>
    <w:rsid w:val="70395454"/>
    <w:rsid w:val="70C16696"/>
    <w:rsid w:val="71FAE3D5"/>
    <w:rsid w:val="73BCABE1"/>
    <w:rsid w:val="75FC5B8A"/>
    <w:rsid w:val="76FF59B2"/>
    <w:rsid w:val="776E228C"/>
    <w:rsid w:val="77D94932"/>
    <w:rsid w:val="788310B4"/>
    <w:rsid w:val="79F74E48"/>
    <w:rsid w:val="7A6FD85A"/>
    <w:rsid w:val="7BAE2752"/>
    <w:rsid w:val="7BEF6892"/>
    <w:rsid w:val="7BF749C5"/>
    <w:rsid w:val="7BFBECA0"/>
    <w:rsid w:val="7CDFEABF"/>
    <w:rsid w:val="7CE53B38"/>
    <w:rsid w:val="7D11556E"/>
    <w:rsid w:val="7D5F382B"/>
    <w:rsid w:val="7DB71B27"/>
    <w:rsid w:val="7DD17A46"/>
    <w:rsid w:val="7DDF4C8B"/>
    <w:rsid w:val="7E97EF19"/>
    <w:rsid w:val="7EFFC523"/>
    <w:rsid w:val="7F3AB93C"/>
    <w:rsid w:val="7F3F2D33"/>
    <w:rsid w:val="7F7FB6FC"/>
    <w:rsid w:val="7FBF0AA7"/>
    <w:rsid w:val="7FCFA118"/>
    <w:rsid w:val="7FDDF18F"/>
    <w:rsid w:val="7FDF3446"/>
    <w:rsid w:val="7FDFD13C"/>
    <w:rsid w:val="7FFDB42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4F06D36"/>
  <w15:docId w15:val="{B9C51156-1113-4F8B-9EE3-E2E3883831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uiPriority w:val="99"/>
    <w:unhideWhenUsed/>
    <w:qFormat/>
    <w:pPr>
      <w:jc w:val="left"/>
    </w:pPr>
  </w:style>
  <w:style w:type="paragraph" w:styleId="a5">
    <w:name w:val="Balloon Text"/>
    <w:basedOn w:val="a"/>
    <w:link w:val="a6"/>
    <w:uiPriority w:val="99"/>
    <w:semiHidden/>
    <w:unhideWhenUsed/>
    <w:qFormat/>
    <w:rPr>
      <w:sz w:val="18"/>
      <w:szCs w:val="18"/>
    </w:rPr>
  </w:style>
  <w:style w:type="paragraph" w:styleId="a7">
    <w:name w:val="footer"/>
    <w:basedOn w:val="a"/>
    <w:link w:val="a8"/>
    <w:uiPriority w:val="99"/>
    <w:unhideWhenUsed/>
    <w:qFormat/>
    <w:pPr>
      <w:tabs>
        <w:tab w:val="center" w:pos="4153"/>
        <w:tab w:val="right" w:pos="8306"/>
      </w:tabs>
      <w:snapToGrid w:val="0"/>
      <w:jc w:val="left"/>
    </w:pPr>
    <w:rPr>
      <w:sz w:val="18"/>
      <w:szCs w:val="18"/>
    </w:rPr>
  </w:style>
  <w:style w:type="paragraph" w:styleId="a9">
    <w:name w:val="header"/>
    <w:basedOn w:val="a"/>
    <w:link w:val="aa"/>
    <w:uiPriority w:val="99"/>
    <w:unhideWhenUsed/>
    <w:qFormat/>
    <w:pPr>
      <w:pBdr>
        <w:bottom w:val="single" w:sz="6" w:space="1" w:color="auto"/>
      </w:pBdr>
      <w:tabs>
        <w:tab w:val="center" w:pos="4153"/>
        <w:tab w:val="right" w:pos="8306"/>
      </w:tabs>
      <w:snapToGrid w:val="0"/>
      <w:jc w:val="center"/>
    </w:pPr>
    <w:rPr>
      <w:sz w:val="18"/>
      <w:szCs w:val="18"/>
    </w:rPr>
  </w:style>
  <w:style w:type="paragraph" w:styleId="ab">
    <w:name w:val="Normal (Web)"/>
    <w:basedOn w:val="a"/>
    <w:qFormat/>
    <w:pPr>
      <w:widowControl/>
      <w:spacing w:before="100" w:beforeAutospacing="1" w:after="100" w:afterAutospacing="1"/>
      <w:jc w:val="left"/>
    </w:pPr>
    <w:rPr>
      <w:rFonts w:ascii="宋体" w:hAnsi="宋体"/>
      <w:color w:val="000000"/>
      <w:kern w:val="0"/>
      <w:sz w:val="24"/>
    </w:rPr>
  </w:style>
  <w:style w:type="paragraph" w:styleId="ac">
    <w:name w:val="annotation subject"/>
    <w:basedOn w:val="a3"/>
    <w:next w:val="a3"/>
    <w:link w:val="ad"/>
    <w:uiPriority w:val="99"/>
    <w:semiHidden/>
    <w:unhideWhenUsed/>
    <w:qFormat/>
    <w:rPr>
      <w:b/>
      <w:bCs/>
    </w:rPr>
  </w:style>
  <w:style w:type="character" w:styleId="ae">
    <w:name w:val="annotation reference"/>
    <w:basedOn w:val="a0"/>
    <w:uiPriority w:val="99"/>
    <w:semiHidden/>
    <w:unhideWhenUsed/>
    <w:qFormat/>
    <w:rPr>
      <w:sz w:val="21"/>
      <w:szCs w:val="21"/>
    </w:rPr>
  </w:style>
  <w:style w:type="character" w:customStyle="1" w:styleId="aa">
    <w:name w:val="页眉 字符"/>
    <w:basedOn w:val="a0"/>
    <w:link w:val="a9"/>
    <w:uiPriority w:val="99"/>
    <w:qFormat/>
    <w:rPr>
      <w:rFonts w:ascii="Times New Roman" w:eastAsia="宋体" w:hAnsi="Times New Roman" w:cs="Times New Roman"/>
      <w:sz w:val="18"/>
      <w:szCs w:val="18"/>
    </w:rPr>
  </w:style>
  <w:style w:type="character" w:customStyle="1" w:styleId="a8">
    <w:name w:val="页脚 字符"/>
    <w:basedOn w:val="a0"/>
    <w:link w:val="a7"/>
    <w:uiPriority w:val="99"/>
    <w:qFormat/>
    <w:rPr>
      <w:rFonts w:ascii="Times New Roman" w:eastAsia="宋体" w:hAnsi="Times New Roman" w:cs="Times New Roman"/>
      <w:sz w:val="18"/>
      <w:szCs w:val="18"/>
    </w:rPr>
  </w:style>
  <w:style w:type="character" w:customStyle="1" w:styleId="a4">
    <w:name w:val="批注文字 字符"/>
    <w:basedOn w:val="a0"/>
    <w:link w:val="a3"/>
    <w:uiPriority w:val="99"/>
    <w:qFormat/>
    <w:rPr>
      <w:rFonts w:ascii="Times New Roman" w:eastAsia="宋体" w:hAnsi="Times New Roman" w:cs="Times New Roman"/>
      <w:szCs w:val="24"/>
    </w:rPr>
  </w:style>
  <w:style w:type="character" w:customStyle="1" w:styleId="ad">
    <w:name w:val="批注主题 字符"/>
    <w:basedOn w:val="a4"/>
    <w:link w:val="ac"/>
    <w:uiPriority w:val="99"/>
    <w:semiHidden/>
    <w:qFormat/>
    <w:rPr>
      <w:rFonts w:ascii="Times New Roman" w:eastAsia="宋体" w:hAnsi="Times New Roman" w:cs="Times New Roman"/>
      <w:b/>
      <w:bCs/>
      <w:szCs w:val="24"/>
    </w:rPr>
  </w:style>
  <w:style w:type="character" w:customStyle="1" w:styleId="a6">
    <w:name w:val="批注框文本 字符"/>
    <w:basedOn w:val="a0"/>
    <w:link w:val="a5"/>
    <w:uiPriority w:val="99"/>
    <w:semiHidden/>
    <w:qFormat/>
    <w:rPr>
      <w:rFonts w:ascii="Times New Roman" w:eastAsia="宋体" w:hAnsi="Times New Roman" w:cs="Times New Roman"/>
      <w:sz w:val="18"/>
      <w:szCs w:val="18"/>
    </w:rPr>
  </w:style>
  <w:style w:type="paragraph" w:customStyle="1" w:styleId="1">
    <w:name w:val="修订1"/>
    <w:hidden/>
    <w:uiPriority w:val="99"/>
    <w:unhideWhenUsed/>
    <w:qFormat/>
    <w:rPr>
      <w:kern w:val="2"/>
      <w:sz w:val="21"/>
      <w:szCs w:val="24"/>
    </w:rPr>
  </w:style>
  <w:style w:type="paragraph" w:styleId="af">
    <w:name w:val="List Paragraph"/>
    <w:basedOn w:val="a"/>
    <w:uiPriority w:val="34"/>
    <w:qFormat/>
    <w:pPr>
      <w:ind w:firstLineChars="200" w:firstLine="420"/>
    </w:pPr>
  </w:style>
  <w:style w:type="paragraph" w:customStyle="1" w:styleId="2">
    <w:name w:val="修订2"/>
    <w:hidden/>
    <w:uiPriority w:val="99"/>
    <w:unhideWhenUsed/>
    <w:qFormat/>
    <w:rPr>
      <w:kern w:val="2"/>
      <w:sz w:val="21"/>
      <w:szCs w:val="24"/>
    </w:rPr>
  </w:style>
  <w:style w:type="paragraph" w:customStyle="1" w:styleId="3">
    <w:name w:val="修订3"/>
    <w:hidden/>
    <w:uiPriority w:val="99"/>
    <w:unhideWhenUsed/>
    <w:qFormat/>
    <w:rPr>
      <w:kern w:val="2"/>
      <w:sz w:val="21"/>
      <w:szCs w:val="24"/>
    </w:rPr>
  </w:style>
  <w:style w:type="paragraph" w:styleId="af0">
    <w:name w:val="Revision"/>
    <w:hidden/>
    <w:uiPriority w:val="99"/>
    <w:unhideWhenUsed/>
    <w:rsid w:val="00E45253"/>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5</Pages>
  <Words>480</Words>
  <Characters>2737</Characters>
  <Application>Microsoft Office Word</Application>
  <DocSecurity>0</DocSecurity>
  <Lines>22</Lines>
  <Paragraphs>6</Paragraphs>
  <ScaleCrop>false</ScaleCrop>
  <Company>CMCC</Company>
  <LinksUpToDate>false</LinksUpToDate>
  <CharactersWithSpaces>3211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hh</dc:creator>
  <cp:lastModifiedBy>杨 左</cp:lastModifiedBy>
  <cp:revision>69</cp:revision>
  <cp:lastPrinted>2024-09-29T08:28:00Z</cp:lastPrinted>
  <dcterms:created xsi:type="dcterms:W3CDTF">2024-09-27T09:49:00Z</dcterms:created>
  <dcterms:modified xsi:type="dcterms:W3CDTF">2024-09-30T08:54:00Z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2052-11.8.2.12309</vt:lpwstr>
  </property>
  <property fmtid="{D5CDD505-2E9C-101B-9397-08002B2CF9AE}" pid="3" name="ICV">
    <vt:lpwstr>DD49694713BE1DE6790515668BF65400</vt:lpwstr>
  </property>
</Properties>
</file>