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CD" w:rsidRDefault="00446584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证券代码：</w:t>
      </w:r>
      <w:r w:rsidRPr="00DF661A">
        <w:rPr>
          <w:rFonts w:ascii="Times New Roman" w:eastAsia="宋体" w:hAnsi="Times New Roman" w:cs="Times New Roman"/>
          <w:sz w:val="24"/>
          <w:szCs w:val="28"/>
        </w:rPr>
        <w:t>601126</w:t>
      </w:r>
      <w:r>
        <w:rPr>
          <w:rFonts w:ascii="Times New Roman" w:eastAsia="宋体" w:hAnsi="Times New Roman" w:cs="Times New Roman"/>
          <w:sz w:val="24"/>
          <w:szCs w:val="28"/>
        </w:rPr>
        <w:t xml:space="preserve">  </w:t>
      </w:r>
      <w:r>
        <w:rPr>
          <w:rFonts w:ascii="宋体" w:eastAsia="宋体" w:hAnsi="宋体"/>
          <w:sz w:val="24"/>
          <w:szCs w:val="28"/>
        </w:rPr>
        <w:t xml:space="preserve">                                 证券简称：</w:t>
      </w:r>
      <w:r>
        <w:rPr>
          <w:rFonts w:ascii="宋体" w:eastAsia="宋体" w:hAnsi="宋体" w:hint="eastAsia"/>
          <w:sz w:val="24"/>
          <w:szCs w:val="28"/>
        </w:rPr>
        <w:t>四方股份</w:t>
      </w:r>
    </w:p>
    <w:p w:rsidR="00A21ECD" w:rsidRDefault="00A21ECD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21ECD" w:rsidRDefault="00446584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北京四方继保自动化股份有限公司</w:t>
      </w:r>
    </w:p>
    <w:p w:rsidR="00A21ECD" w:rsidRDefault="0044658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:rsidR="00A21ECD" w:rsidRDefault="0044658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 w:rsidRPr="00DF661A">
        <w:rPr>
          <w:rFonts w:ascii="Times New Roman" w:eastAsia="宋体" w:hAnsi="Times New Roman" w:cs="Times New Roman"/>
          <w:b/>
          <w:bCs/>
          <w:sz w:val="32"/>
          <w:szCs w:val="32"/>
        </w:rPr>
        <w:t>2024</w:t>
      </w:r>
      <w:r>
        <w:rPr>
          <w:rFonts w:ascii="宋体" w:eastAsia="宋体" w:hAnsi="宋体" w:cs="宋体"/>
          <w:b/>
          <w:bCs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第三季度</w:t>
      </w:r>
      <w:r>
        <w:rPr>
          <w:rFonts w:ascii="宋体" w:eastAsia="宋体" w:hAnsi="宋体" w:cs="宋体"/>
          <w:b/>
          <w:bCs/>
          <w:sz w:val="32"/>
          <w:szCs w:val="32"/>
        </w:rPr>
        <w:t>）</w:t>
      </w:r>
      <w:bookmarkStart w:id="0" w:name="_GoBack"/>
      <w:bookmarkEnd w:id="0"/>
    </w:p>
    <w:p w:rsidR="00A21ECD" w:rsidRDefault="00A21ECD">
      <w:pPr>
        <w:rPr>
          <w:rFonts w:ascii="宋体" w:eastAsia="宋体" w:hAnsi="宋体"/>
          <w:sz w:val="24"/>
          <w:szCs w:val="24"/>
        </w:rPr>
      </w:pPr>
    </w:p>
    <w:p w:rsidR="00A21ECD" w:rsidRDefault="00446584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北京四方继保自动化股份有限公司</w:t>
      </w:r>
      <w:r>
        <w:rPr>
          <w:rFonts w:ascii="宋体" w:eastAsia="宋体" w:hAnsi="宋体"/>
          <w:sz w:val="24"/>
          <w:szCs w:val="24"/>
        </w:rPr>
        <w:t>于近期以线上和线下的方式与投资</w:t>
      </w:r>
      <w:r>
        <w:rPr>
          <w:rFonts w:ascii="宋体" w:eastAsia="宋体" w:hAnsi="宋体" w:hint="eastAsia"/>
          <w:sz w:val="24"/>
          <w:szCs w:val="24"/>
        </w:rPr>
        <w:t>者、券商分析师等就公司生产经营情况进行交流，现将投资者关系活动的主要情况汇总发布如下：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A21ECD" w:rsidTr="00446584">
        <w:trPr>
          <w:trHeight w:val="1345"/>
        </w:trPr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√特定对象调研  √分析师会议  □媒体采访  √业绩解读会 □新闻发布会  √路演活动  √现场参观  □其他</w:t>
            </w:r>
          </w:p>
        </w:tc>
      </w:tr>
      <w:tr w:rsidR="00A21ECD">
        <w:trPr>
          <w:trHeight w:val="1731"/>
        </w:trPr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参与机构</w:t>
            </w:r>
          </w:p>
        </w:tc>
        <w:tc>
          <w:tcPr>
            <w:tcW w:w="6741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新华资产、泰康基金、朱雀基金、中邮基金、招商基金、长江养老、涌泉资本、银华基金、嘉实基金、兴全基金、太平养老、汐泰投资、泉果基金、平安基金、摩根基金等</w:t>
            </w:r>
            <w:r w:rsidRPr="00DF661A">
              <w:rPr>
                <w:rFonts w:ascii="Times New Roman" w:eastAsia="宋体" w:hAnsi="Times New Roman" w:hint="eastAsia"/>
                <w:sz w:val="24"/>
                <w:szCs w:val="24"/>
              </w:rPr>
              <w:t>100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+家机构投资者</w:t>
            </w:r>
          </w:p>
        </w:tc>
      </w:tr>
      <w:tr w:rsidR="00A21ECD"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741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公司会议室、各策略会现场、线上会议等</w:t>
            </w:r>
          </w:p>
        </w:tc>
      </w:tr>
      <w:tr w:rsidR="00A21ECD">
        <w:trPr>
          <w:trHeight w:val="1116"/>
        </w:trPr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上市公司</w:t>
            </w:r>
          </w:p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接待人员</w:t>
            </w:r>
          </w:p>
        </w:tc>
        <w:tc>
          <w:tcPr>
            <w:tcW w:w="6741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董事会秘书、证券事务代表</w:t>
            </w:r>
          </w:p>
        </w:tc>
      </w:tr>
      <w:tr w:rsidR="00A21ECD"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bookmarkStart w:id="1" w:name="OLE_LINK18"/>
            <w:bookmarkStart w:id="2" w:name="OLE_LINK19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年上半年业务结构</w:t>
            </w:r>
            <w:bookmarkEnd w:id="1"/>
            <w:bookmarkEnd w:id="2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是怎样的？</w:t>
            </w: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bookmarkStart w:id="3" w:name="OLE_LINK21"/>
            <w:bookmarkStart w:id="4" w:name="OLE_LINK20"/>
            <w:bookmarkStart w:id="5" w:name="OLE_LINK2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31FA9" w:rsidRPr="00DF661A">
              <w:rPr>
                <w:rFonts w:ascii="Times New Roman" w:eastAsia="宋体" w:hAnsi="Times New Roman" w:cs="Times New Roman"/>
                <w:sz w:val="24"/>
                <w:szCs w:val="24"/>
              </w:rPr>
              <w:t>02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订单情况来看，订单整体规模约为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亿元，同比增长约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，其中网内业务</w:t>
            </w:r>
            <w:r w:rsidR="00231F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基本持平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，新能源业务增速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超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，用电业务同比增速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超</w:t>
            </w:r>
            <w:r w:rsidRPr="00DF661A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。结构上来讲，输变电业务占公司整体比重约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="00231F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配电占比约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="00231F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发电业务占比约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，其中新能源业务占比约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，传统能源占比约为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；用电业务占比约为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bookmarkEnd w:id="3"/>
          <w:bookmarkEnd w:id="4"/>
          <w:bookmarkEnd w:id="5"/>
          <w:p w:rsidR="00446584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bookmarkStart w:id="6" w:name="OLE_LINK23"/>
            <w:bookmarkStart w:id="7" w:name="OLE_LINK24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业务情况如何？</w:t>
            </w:r>
            <w:bookmarkEnd w:id="6"/>
            <w:bookmarkEnd w:id="7"/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：公司三季度经营情况预计将于</w:t>
            </w:r>
            <w:r w:rsidRPr="00DF661A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月</w:t>
            </w:r>
            <w:r w:rsidRPr="00DF661A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31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日披露，目前交付节奏正常，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按照业务领域简单来看：</w:t>
            </w:r>
          </w:p>
          <w:p w:rsidR="00A21ECD" w:rsidRDefault="00446584">
            <w:pPr>
              <w:pStyle w:val="msolistparagraph0"/>
              <w:widowControl/>
              <w:numPr>
                <w:ilvl w:val="0"/>
                <w:numId w:val="1"/>
              </w:numPr>
              <w:spacing w:beforeLines="50" w:before="156" w:afterLines="50" w:after="156" w:line="300" w:lineRule="auto"/>
              <w:ind w:firstLineChars="0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电网业务：</w:t>
            </w:r>
            <w:r>
              <w:rPr>
                <w:rFonts w:ascii="Times New Roman" w:eastAsia="宋体" w:hAnsi="Times New Roman" w:hint="default"/>
                <w:sz w:val="24"/>
                <w:szCs w:val="24"/>
              </w:rPr>
              <w:t>受益于电网投资加大，公司的电网业务机会将会增加，</w:t>
            </w:r>
            <w:r>
              <w:rPr>
                <w:rFonts w:ascii="宋体" w:eastAsia="宋体" w:hAnsi="宋体" w:cs="宋体"/>
                <w:sz w:val="24"/>
                <w:szCs w:val="24"/>
              </w:rPr>
              <w:t>目前主网业务和配网业务都在按照既定目标有序进行；</w:t>
            </w:r>
          </w:p>
          <w:p w:rsidR="00A21ECD" w:rsidRDefault="00446584">
            <w:pPr>
              <w:pStyle w:val="msolistparagraph0"/>
              <w:widowControl/>
              <w:numPr>
                <w:ilvl w:val="0"/>
                <w:numId w:val="1"/>
              </w:numPr>
              <w:spacing w:beforeLines="50" w:before="156" w:afterLines="50" w:after="156" w:line="300" w:lineRule="auto"/>
              <w:ind w:firstLineChars="0"/>
              <w:rPr>
                <w:rFonts w:ascii="Times New Roman" w:eastAsia="宋体" w:hAnsi="Times New Roman" w:hint="default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网外业务：发电业务方面，受益于新能源的建设</w:t>
            </w:r>
            <w:r>
              <w:rPr>
                <w:rFonts w:ascii="Times New Roman" w:eastAsia="宋体" w:hAnsi="Times New Roman" w:hint="default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保持公司在集中式能源的技术及解决方案的优势，加大市场开拓力度以及新产品（如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调相机等</w:t>
            </w:r>
            <w:r>
              <w:rPr>
                <w:rFonts w:ascii="Times New Roman" w:eastAsia="宋体" w:hAnsi="Times New Roman" w:hint="default"/>
                <w:sz w:val="24"/>
                <w:szCs w:val="24"/>
              </w:rPr>
              <w:t>）的应用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；用电业务方面，</w:t>
            </w:r>
            <w:r>
              <w:rPr>
                <w:rFonts w:ascii="宋体" w:eastAsia="宋体" w:hAnsi="宋体" w:cs="宋体"/>
                <w:sz w:val="24"/>
                <w:szCs w:val="24"/>
              </w:rPr>
              <w:t>随着电能替代、绿色低碳以及效能优化等需求不断加大，公司加强与用电客户的沟通，并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积极拓展智慧用电新业务与新模式，</w:t>
            </w:r>
            <w:r>
              <w:rPr>
                <w:rFonts w:ascii="宋体" w:eastAsia="宋体" w:hAnsi="宋体" w:cs="宋体"/>
                <w:sz w:val="24"/>
                <w:szCs w:val="24"/>
              </w:rPr>
              <w:t>持续拓展新的细分市场。</w:t>
            </w:r>
          </w:p>
          <w:p w:rsidR="00A21ECD" w:rsidRDefault="00A21ECD">
            <w:pPr>
              <w:pStyle w:val="msolistparagraph0"/>
              <w:widowControl/>
              <w:spacing w:beforeLines="50" w:before="156" w:afterLines="50" w:after="156" w:line="300" w:lineRule="auto"/>
              <w:ind w:firstLineChars="0" w:firstLine="0"/>
              <w:rPr>
                <w:rFonts w:ascii="Times New Roman" w:eastAsia="宋体" w:hAnsi="Times New Roman" w:hint="default"/>
                <w:sz w:val="24"/>
                <w:szCs w:val="24"/>
              </w:rPr>
            </w:pP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bookmarkStart w:id="8" w:name="OLE_LINK27"/>
            <w:bookmarkStart w:id="9" w:name="OLE_LINK28"/>
            <w:r w:rsidR="00231FA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新能源业务增速较快的原因？</w:t>
            </w:r>
            <w:bookmarkEnd w:id="8"/>
            <w:bookmarkEnd w:id="9"/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231F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新能源业务快速增长主要有两方面的原因：一方面，随着新型电力系统的建设，新能源装机规模持续保持较高的增速，相关产品和解决方案需求相应保持增长，公司紧抓行业发展周期，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不断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开拓新能源市场；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另一方面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，持续加强产品创新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品类拓展，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今年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调相机产品对新能源业务的高增速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带来了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一定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支撑。</w:t>
            </w:r>
          </w:p>
          <w:p w:rsidR="00A21ECD" w:rsidRDefault="00A21E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可否介绍下公司宽频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振荡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抑制相关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为了适应大规模新能源并网、可再生能源占比越来越高的电网发展趋势，支撑电网调控中心应对特高压交直流混联电网的复杂特性，公司研制了适用于新型电力系统的宽频实时动态监测系统，同时开发了宽频振荡监测保护装置，实现对工频数据、谐波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谐波数据的一体化采集、监视与快速分析、扰动源快速精准定位和分层分级控制，以支撑对新型电网的复杂特性要求，提升电网振荡全景感知能力，建立电网宽频振荡防御体系，控制振荡影响范围，保障系统安全稳定，并在典型的宽频振荡大型风电基地进行工程示范应用。</w:t>
            </w: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bookmarkStart w:id="10" w:name="OLE_LINK33"/>
            <w:bookmarkStart w:id="11" w:name="OLE_LINK34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公司电网稳控相关业务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开展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情况如何？</w:t>
            </w:r>
            <w:bookmarkEnd w:id="10"/>
            <w:bookmarkEnd w:id="11"/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安全稳定控制系统可以提高电网的稳定性，减少电网中的电压波动和频率偏差，降低电网运行风险抵御交直流电网严重故障对系统冲击，有效释放电网的切负荷资源潜力，增强电网对严重故障的抵御能力，解决电网故障时造成线路或主变过载的稳定问题，为国家大电网安全稳定运行保驾护航。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年上半年我们参与的华北西电东送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kV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横山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洪善特高压项目安全稳定控制系统顺利投运，同时也中标宁夏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kV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月牙湖等多个安全稳定控制系统项目，给公司经营业绩带来了一定支撑。</w:t>
            </w:r>
          </w:p>
          <w:p w:rsidR="00A21ECD" w:rsidRDefault="00A21E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1ECD" w:rsidRPr="00A802BE" w:rsidRDefault="00446584">
            <w:pPr>
              <w:spacing w:beforeLines="50" w:before="156" w:afterLines="50" w:after="156" w:line="30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A802B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Pr="00A802B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r w:rsidRPr="00A802BE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公司今年的股权激励费用是多少，是怎么分摊的？ </w:t>
            </w: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：公司在</w:t>
            </w:r>
            <w:r w:rsidRPr="00DF661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年实施了启航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号限制性股票激励计划，</w:t>
            </w:r>
            <w:r w:rsidRPr="00DF661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年的股权激励费用是最高的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7800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万元，根据会计规则按月分摊，基本上比较平均，上半年已分摊约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4000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万元。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A21ECD" w:rsidRDefault="00A21ECD">
            <w:pPr>
              <w:pStyle w:val="aa"/>
              <w:spacing w:beforeLines="50" w:before="156" w:afterLines="50" w:after="156" w:line="300" w:lineRule="auto"/>
              <w:ind w:left="420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Q</w:t>
            </w:r>
            <w:r w:rsidRPr="00DF66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:</w:t>
            </w:r>
            <w:bookmarkStart w:id="12" w:name="OLE_LINK40"/>
            <w:bookmarkStart w:id="13" w:name="OLE_LINK41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很多公司都进行了中期分红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，公司没有中期分红的原因是什么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  <w:bookmarkEnd w:id="12"/>
            <w:bookmarkEnd w:id="13"/>
          </w:p>
          <w:p w:rsidR="00A21ECD" w:rsidRDefault="00446584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：公司坚持秉承“踏踏实实做实业、认认真真创品牌”的经营理念，公司自上市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年以来连续分红，累计分红金额超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亿元，分红融资比超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 w:rsidR="004C4D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近几年公司业绩保持稳健增长并持续以高比例分红回报投资者，整体上维持了较高的分红水平。本次暂未进行中期分红，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后续会综合考虑。</w:t>
            </w:r>
          </w:p>
          <w:p w:rsidR="00A21ECD" w:rsidRDefault="00A21EC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1ECD">
        <w:tc>
          <w:tcPr>
            <w:tcW w:w="1555" w:type="dxa"/>
            <w:vAlign w:val="center"/>
          </w:tcPr>
          <w:p w:rsidR="00A21ECD" w:rsidRDefault="00446584">
            <w:pPr>
              <w:spacing w:beforeLines="50" w:before="156" w:afterLines="50" w:after="156"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741" w:type="dxa"/>
            <w:vAlign w:val="center"/>
          </w:tcPr>
          <w:p w:rsidR="00A21ECD" w:rsidRDefault="00446584" w:rsidP="004C4DED">
            <w:pPr>
              <w:spacing w:beforeLines="50" w:before="156" w:afterLines="50" w:after="156"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日——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F66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A21ECD" w:rsidRDefault="00A21ECD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A21ECD" w:rsidRDefault="00446584">
      <w:pPr>
        <w:spacing w:beforeLines="50" w:before="156" w:afterLines="50" w:after="156"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特此发布。敬请广大投资者注意投资风险，理性投资。</w:t>
      </w:r>
    </w:p>
    <w:sectPr w:rsidR="00A2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A9" w:rsidRDefault="00231FA9" w:rsidP="00231FA9">
      <w:r>
        <w:separator/>
      </w:r>
    </w:p>
  </w:endnote>
  <w:endnote w:type="continuationSeparator" w:id="0">
    <w:p w:rsidR="00231FA9" w:rsidRDefault="00231FA9" w:rsidP="0023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A9" w:rsidRDefault="00231FA9" w:rsidP="00231FA9">
      <w:r>
        <w:separator/>
      </w:r>
    </w:p>
  </w:footnote>
  <w:footnote w:type="continuationSeparator" w:id="0">
    <w:p w:rsidR="00231FA9" w:rsidRDefault="00231FA9" w:rsidP="0023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F78917"/>
    <w:multiLevelType w:val="multilevel"/>
    <w:tmpl w:val="EBF78917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B1"/>
    <w:rsid w:val="AFD50AA9"/>
    <w:rsid w:val="B33BC30F"/>
    <w:rsid w:val="DFFF6C91"/>
    <w:rsid w:val="F5FE7C0D"/>
    <w:rsid w:val="F7BF8FCD"/>
    <w:rsid w:val="F7FF31B2"/>
    <w:rsid w:val="00003A3E"/>
    <w:rsid w:val="00003B42"/>
    <w:rsid w:val="00027668"/>
    <w:rsid w:val="00030D8E"/>
    <w:rsid w:val="0004504C"/>
    <w:rsid w:val="00054D18"/>
    <w:rsid w:val="00073B14"/>
    <w:rsid w:val="000754C7"/>
    <w:rsid w:val="00077785"/>
    <w:rsid w:val="000824DF"/>
    <w:rsid w:val="0008270A"/>
    <w:rsid w:val="000858FF"/>
    <w:rsid w:val="00092E1F"/>
    <w:rsid w:val="00094DAA"/>
    <w:rsid w:val="000A0B27"/>
    <w:rsid w:val="000A7E02"/>
    <w:rsid w:val="000B49BB"/>
    <w:rsid w:val="000C4C96"/>
    <w:rsid w:val="000C5723"/>
    <w:rsid w:val="000C602A"/>
    <w:rsid w:val="000E2A90"/>
    <w:rsid w:val="000F0516"/>
    <w:rsid w:val="000F1971"/>
    <w:rsid w:val="000F3F8A"/>
    <w:rsid w:val="00105239"/>
    <w:rsid w:val="0012401E"/>
    <w:rsid w:val="00150C02"/>
    <w:rsid w:val="001572B1"/>
    <w:rsid w:val="00160438"/>
    <w:rsid w:val="00161711"/>
    <w:rsid w:val="00161BA2"/>
    <w:rsid w:val="00162F87"/>
    <w:rsid w:val="00164332"/>
    <w:rsid w:val="0017261E"/>
    <w:rsid w:val="00173A8B"/>
    <w:rsid w:val="001801D3"/>
    <w:rsid w:val="001851F9"/>
    <w:rsid w:val="00186E49"/>
    <w:rsid w:val="00193871"/>
    <w:rsid w:val="001A5AFA"/>
    <w:rsid w:val="001A62F9"/>
    <w:rsid w:val="001B08CC"/>
    <w:rsid w:val="001B589D"/>
    <w:rsid w:val="001B74B0"/>
    <w:rsid w:val="001C0B6C"/>
    <w:rsid w:val="001C66F4"/>
    <w:rsid w:val="001D33DA"/>
    <w:rsid w:val="001D4272"/>
    <w:rsid w:val="001D657B"/>
    <w:rsid w:val="001E217C"/>
    <w:rsid w:val="001F2F71"/>
    <w:rsid w:val="001F688E"/>
    <w:rsid w:val="00206A69"/>
    <w:rsid w:val="00210ACF"/>
    <w:rsid w:val="00213DA1"/>
    <w:rsid w:val="00215A01"/>
    <w:rsid w:val="0021641F"/>
    <w:rsid w:val="00224D32"/>
    <w:rsid w:val="00225136"/>
    <w:rsid w:val="0022732E"/>
    <w:rsid w:val="00231FA9"/>
    <w:rsid w:val="002435FD"/>
    <w:rsid w:val="00250C47"/>
    <w:rsid w:val="00252AB7"/>
    <w:rsid w:val="00252C29"/>
    <w:rsid w:val="00254569"/>
    <w:rsid w:val="00256A9A"/>
    <w:rsid w:val="00262F89"/>
    <w:rsid w:val="0026567E"/>
    <w:rsid w:val="00265DD5"/>
    <w:rsid w:val="00274559"/>
    <w:rsid w:val="00282FB7"/>
    <w:rsid w:val="002854E8"/>
    <w:rsid w:val="00290432"/>
    <w:rsid w:val="002963A0"/>
    <w:rsid w:val="002A436A"/>
    <w:rsid w:val="002A4375"/>
    <w:rsid w:val="002B0CCD"/>
    <w:rsid w:val="002B1550"/>
    <w:rsid w:val="002C5CC5"/>
    <w:rsid w:val="002C640A"/>
    <w:rsid w:val="002C7341"/>
    <w:rsid w:val="002D1EB5"/>
    <w:rsid w:val="002D3DBE"/>
    <w:rsid w:val="002D4490"/>
    <w:rsid w:val="002D4A05"/>
    <w:rsid w:val="002D5590"/>
    <w:rsid w:val="002D59B7"/>
    <w:rsid w:val="002D6B52"/>
    <w:rsid w:val="002D7201"/>
    <w:rsid w:val="002D7F4C"/>
    <w:rsid w:val="002E4751"/>
    <w:rsid w:val="003042E3"/>
    <w:rsid w:val="00307CB5"/>
    <w:rsid w:val="003144EE"/>
    <w:rsid w:val="00325176"/>
    <w:rsid w:val="00330698"/>
    <w:rsid w:val="00345C04"/>
    <w:rsid w:val="003478EC"/>
    <w:rsid w:val="003713BC"/>
    <w:rsid w:val="00383462"/>
    <w:rsid w:val="003871A9"/>
    <w:rsid w:val="00390403"/>
    <w:rsid w:val="00391BC1"/>
    <w:rsid w:val="003A0823"/>
    <w:rsid w:val="003A72C4"/>
    <w:rsid w:val="003A7C03"/>
    <w:rsid w:val="003B000A"/>
    <w:rsid w:val="003B05CB"/>
    <w:rsid w:val="003B4456"/>
    <w:rsid w:val="003C1992"/>
    <w:rsid w:val="003C2D49"/>
    <w:rsid w:val="003C574F"/>
    <w:rsid w:val="003D17E7"/>
    <w:rsid w:val="003D3603"/>
    <w:rsid w:val="003D5F3C"/>
    <w:rsid w:val="003D6C9F"/>
    <w:rsid w:val="003E38FC"/>
    <w:rsid w:val="003E429A"/>
    <w:rsid w:val="003E5358"/>
    <w:rsid w:val="003F1E1E"/>
    <w:rsid w:val="003F7890"/>
    <w:rsid w:val="00401AD3"/>
    <w:rsid w:val="00405B05"/>
    <w:rsid w:val="00406A4A"/>
    <w:rsid w:val="00410B38"/>
    <w:rsid w:val="00412C70"/>
    <w:rsid w:val="00436F5E"/>
    <w:rsid w:val="00446584"/>
    <w:rsid w:val="00470637"/>
    <w:rsid w:val="004735AA"/>
    <w:rsid w:val="0047685D"/>
    <w:rsid w:val="00477CEB"/>
    <w:rsid w:val="00481C00"/>
    <w:rsid w:val="00483C85"/>
    <w:rsid w:val="004972B2"/>
    <w:rsid w:val="004A4F63"/>
    <w:rsid w:val="004A5BFC"/>
    <w:rsid w:val="004A65E7"/>
    <w:rsid w:val="004C0467"/>
    <w:rsid w:val="004C4DED"/>
    <w:rsid w:val="004C62BA"/>
    <w:rsid w:val="004E15F7"/>
    <w:rsid w:val="004E3544"/>
    <w:rsid w:val="004F2587"/>
    <w:rsid w:val="00500099"/>
    <w:rsid w:val="005018B8"/>
    <w:rsid w:val="00502CFB"/>
    <w:rsid w:val="005052CE"/>
    <w:rsid w:val="00506DB8"/>
    <w:rsid w:val="005208D5"/>
    <w:rsid w:val="0052119A"/>
    <w:rsid w:val="00521FE9"/>
    <w:rsid w:val="0053049B"/>
    <w:rsid w:val="0053276D"/>
    <w:rsid w:val="0054311A"/>
    <w:rsid w:val="00543B93"/>
    <w:rsid w:val="00544832"/>
    <w:rsid w:val="00550318"/>
    <w:rsid w:val="00555FFC"/>
    <w:rsid w:val="00561D54"/>
    <w:rsid w:val="00563C64"/>
    <w:rsid w:val="00581DC0"/>
    <w:rsid w:val="00590932"/>
    <w:rsid w:val="00592C63"/>
    <w:rsid w:val="00594077"/>
    <w:rsid w:val="00597302"/>
    <w:rsid w:val="005A2D94"/>
    <w:rsid w:val="005A6927"/>
    <w:rsid w:val="005B043C"/>
    <w:rsid w:val="005B0876"/>
    <w:rsid w:val="005B3EEB"/>
    <w:rsid w:val="005B4CA9"/>
    <w:rsid w:val="005B7046"/>
    <w:rsid w:val="005C2295"/>
    <w:rsid w:val="005C2B90"/>
    <w:rsid w:val="005C395F"/>
    <w:rsid w:val="005C7DBB"/>
    <w:rsid w:val="005D1AE6"/>
    <w:rsid w:val="005D31F5"/>
    <w:rsid w:val="005D341D"/>
    <w:rsid w:val="005E4598"/>
    <w:rsid w:val="005F3FB8"/>
    <w:rsid w:val="00600F6E"/>
    <w:rsid w:val="00601767"/>
    <w:rsid w:val="00607ADE"/>
    <w:rsid w:val="00610261"/>
    <w:rsid w:val="00610D5C"/>
    <w:rsid w:val="0061510E"/>
    <w:rsid w:val="00631672"/>
    <w:rsid w:val="00632FB1"/>
    <w:rsid w:val="006432C2"/>
    <w:rsid w:val="0064762F"/>
    <w:rsid w:val="00647665"/>
    <w:rsid w:val="00662D5E"/>
    <w:rsid w:val="00670D81"/>
    <w:rsid w:val="0068077C"/>
    <w:rsid w:val="00686819"/>
    <w:rsid w:val="006919AF"/>
    <w:rsid w:val="00695DE4"/>
    <w:rsid w:val="006A1FE1"/>
    <w:rsid w:val="006A613A"/>
    <w:rsid w:val="006B030B"/>
    <w:rsid w:val="006B5E5C"/>
    <w:rsid w:val="006C3DEB"/>
    <w:rsid w:val="006C435C"/>
    <w:rsid w:val="006C752F"/>
    <w:rsid w:val="006D3564"/>
    <w:rsid w:val="006D7F0B"/>
    <w:rsid w:val="006E0C67"/>
    <w:rsid w:val="006E2F47"/>
    <w:rsid w:val="006F580F"/>
    <w:rsid w:val="0070391F"/>
    <w:rsid w:val="00705CDD"/>
    <w:rsid w:val="00705FA8"/>
    <w:rsid w:val="0070685E"/>
    <w:rsid w:val="00711674"/>
    <w:rsid w:val="00716495"/>
    <w:rsid w:val="00720BFF"/>
    <w:rsid w:val="00721BE8"/>
    <w:rsid w:val="00733DD3"/>
    <w:rsid w:val="00737585"/>
    <w:rsid w:val="00743E56"/>
    <w:rsid w:val="00744BC8"/>
    <w:rsid w:val="007450D1"/>
    <w:rsid w:val="00746B4F"/>
    <w:rsid w:val="00747117"/>
    <w:rsid w:val="00750B86"/>
    <w:rsid w:val="00761151"/>
    <w:rsid w:val="00764B40"/>
    <w:rsid w:val="007701C6"/>
    <w:rsid w:val="00773F4C"/>
    <w:rsid w:val="007826FB"/>
    <w:rsid w:val="00784025"/>
    <w:rsid w:val="0079322F"/>
    <w:rsid w:val="00793795"/>
    <w:rsid w:val="00795E2E"/>
    <w:rsid w:val="00797FE5"/>
    <w:rsid w:val="007B4E28"/>
    <w:rsid w:val="007C453F"/>
    <w:rsid w:val="007C4583"/>
    <w:rsid w:val="007C75E2"/>
    <w:rsid w:val="007D03A4"/>
    <w:rsid w:val="007D2E29"/>
    <w:rsid w:val="007E6B57"/>
    <w:rsid w:val="007F139C"/>
    <w:rsid w:val="007F2B99"/>
    <w:rsid w:val="0080541B"/>
    <w:rsid w:val="00806F6F"/>
    <w:rsid w:val="00814FDA"/>
    <w:rsid w:val="0081609F"/>
    <w:rsid w:val="00820DD2"/>
    <w:rsid w:val="00821CBC"/>
    <w:rsid w:val="00830486"/>
    <w:rsid w:val="00833B56"/>
    <w:rsid w:val="008404D7"/>
    <w:rsid w:val="00856D88"/>
    <w:rsid w:val="00867E65"/>
    <w:rsid w:val="00873614"/>
    <w:rsid w:val="0087594C"/>
    <w:rsid w:val="00881E8C"/>
    <w:rsid w:val="00882E60"/>
    <w:rsid w:val="00887A4B"/>
    <w:rsid w:val="00894A83"/>
    <w:rsid w:val="00895254"/>
    <w:rsid w:val="008972E2"/>
    <w:rsid w:val="008973B5"/>
    <w:rsid w:val="008A5000"/>
    <w:rsid w:val="008A5480"/>
    <w:rsid w:val="008A5E76"/>
    <w:rsid w:val="008B18AE"/>
    <w:rsid w:val="008B3EA4"/>
    <w:rsid w:val="008C79DE"/>
    <w:rsid w:val="008D2AAC"/>
    <w:rsid w:val="008D51F7"/>
    <w:rsid w:val="008E03CD"/>
    <w:rsid w:val="008E2738"/>
    <w:rsid w:val="008E6DBD"/>
    <w:rsid w:val="008E7B0E"/>
    <w:rsid w:val="008F5DE2"/>
    <w:rsid w:val="00904D7A"/>
    <w:rsid w:val="00906AE3"/>
    <w:rsid w:val="009074DD"/>
    <w:rsid w:val="00915448"/>
    <w:rsid w:val="00917D4C"/>
    <w:rsid w:val="00920338"/>
    <w:rsid w:val="009246E2"/>
    <w:rsid w:val="00944FF3"/>
    <w:rsid w:val="00955DB9"/>
    <w:rsid w:val="00961284"/>
    <w:rsid w:val="00964965"/>
    <w:rsid w:val="0097014F"/>
    <w:rsid w:val="00974BB9"/>
    <w:rsid w:val="009845D0"/>
    <w:rsid w:val="0099536A"/>
    <w:rsid w:val="00995851"/>
    <w:rsid w:val="00995BB8"/>
    <w:rsid w:val="009A446D"/>
    <w:rsid w:val="009A49ED"/>
    <w:rsid w:val="009A5236"/>
    <w:rsid w:val="009A53B4"/>
    <w:rsid w:val="009A602A"/>
    <w:rsid w:val="009A7F7F"/>
    <w:rsid w:val="009B0CA8"/>
    <w:rsid w:val="009C2972"/>
    <w:rsid w:val="009C3884"/>
    <w:rsid w:val="009C3F01"/>
    <w:rsid w:val="009C560E"/>
    <w:rsid w:val="009D2020"/>
    <w:rsid w:val="009D7E19"/>
    <w:rsid w:val="009E4899"/>
    <w:rsid w:val="009E5903"/>
    <w:rsid w:val="009F4BF6"/>
    <w:rsid w:val="009F7638"/>
    <w:rsid w:val="00A00EFA"/>
    <w:rsid w:val="00A025C8"/>
    <w:rsid w:val="00A05FA4"/>
    <w:rsid w:val="00A06B97"/>
    <w:rsid w:val="00A13043"/>
    <w:rsid w:val="00A175BA"/>
    <w:rsid w:val="00A209AA"/>
    <w:rsid w:val="00A20DE0"/>
    <w:rsid w:val="00A21ECD"/>
    <w:rsid w:val="00A33BAF"/>
    <w:rsid w:val="00A36AE9"/>
    <w:rsid w:val="00A413BA"/>
    <w:rsid w:val="00A56163"/>
    <w:rsid w:val="00A62B5D"/>
    <w:rsid w:val="00A63871"/>
    <w:rsid w:val="00A73DC4"/>
    <w:rsid w:val="00A73FFC"/>
    <w:rsid w:val="00A802BE"/>
    <w:rsid w:val="00A82BBA"/>
    <w:rsid w:val="00A857FA"/>
    <w:rsid w:val="00A90A58"/>
    <w:rsid w:val="00AA0FC3"/>
    <w:rsid w:val="00AA30BB"/>
    <w:rsid w:val="00AA7F89"/>
    <w:rsid w:val="00AB0C39"/>
    <w:rsid w:val="00AB4DC0"/>
    <w:rsid w:val="00AC4159"/>
    <w:rsid w:val="00AC5E4E"/>
    <w:rsid w:val="00AC6111"/>
    <w:rsid w:val="00AD6129"/>
    <w:rsid w:val="00AE3E16"/>
    <w:rsid w:val="00AF23F6"/>
    <w:rsid w:val="00B015BA"/>
    <w:rsid w:val="00B12798"/>
    <w:rsid w:val="00B14E98"/>
    <w:rsid w:val="00B1604F"/>
    <w:rsid w:val="00B174DD"/>
    <w:rsid w:val="00B2544D"/>
    <w:rsid w:val="00B25643"/>
    <w:rsid w:val="00B30734"/>
    <w:rsid w:val="00B31F44"/>
    <w:rsid w:val="00B42564"/>
    <w:rsid w:val="00B44777"/>
    <w:rsid w:val="00B467FB"/>
    <w:rsid w:val="00B474EB"/>
    <w:rsid w:val="00B53F66"/>
    <w:rsid w:val="00B54444"/>
    <w:rsid w:val="00B55413"/>
    <w:rsid w:val="00B56BD3"/>
    <w:rsid w:val="00B5747E"/>
    <w:rsid w:val="00B6324E"/>
    <w:rsid w:val="00B654DF"/>
    <w:rsid w:val="00B66386"/>
    <w:rsid w:val="00B7351F"/>
    <w:rsid w:val="00B73E4C"/>
    <w:rsid w:val="00B74417"/>
    <w:rsid w:val="00B77978"/>
    <w:rsid w:val="00B8007B"/>
    <w:rsid w:val="00B84357"/>
    <w:rsid w:val="00B874F7"/>
    <w:rsid w:val="00B91FC1"/>
    <w:rsid w:val="00B93825"/>
    <w:rsid w:val="00B95549"/>
    <w:rsid w:val="00BA64AF"/>
    <w:rsid w:val="00BD14B9"/>
    <w:rsid w:val="00BD2E88"/>
    <w:rsid w:val="00BD2F25"/>
    <w:rsid w:val="00BE0B8B"/>
    <w:rsid w:val="00BF1F86"/>
    <w:rsid w:val="00C0077D"/>
    <w:rsid w:val="00C10139"/>
    <w:rsid w:val="00C11289"/>
    <w:rsid w:val="00C173E0"/>
    <w:rsid w:val="00C22968"/>
    <w:rsid w:val="00C24390"/>
    <w:rsid w:val="00C31E80"/>
    <w:rsid w:val="00C33817"/>
    <w:rsid w:val="00C43F1C"/>
    <w:rsid w:val="00C43F58"/>
    <w:rsid w:val="00C705B1"/>
    <w:rsid w:val="00C70601"/>
    <w:rsid w:val="00C73B20"/>
    <w:rsid w:val="00C80465"/>
    <w:rsid w:val="00C8246A"/>
    <w:rsid w:val="00C94CEB"/>
    <w:rsid w:val="00C95A0C"/>
    <w:rsid w:val="00CB6032"/>
    <w:rsid w:val="00CB69F1"/>
    <w:rsid w:val="00CC0F3A"/>
    <w:rsid w:val="00CC616A"/>
    <w:rsid w:val="00CC685E"/>
    <w:rsid w:val="00CD575E"/>
    <w:rsid w:val="00CD5DFE"/>
    <w:rsid w:val="00CD661E"/>
    <w:rsid w:val="00CE04F0"/>
    <w:rsid w:val="00CE2C0F"/>
    <w:rsid w:val="00CE34AD"/>
    <w:rsid w:val="00CF329A"/>
    <w:rsid w:val="00CF3A3A"/>
    <w:rsid w:val="00CF592E"/>
    <w:rsid w:val="00D048C2"/>
    <w:rsid w:val="00D05553"/>
    <w:rsid w:val="00D06460"/>
    <w:rsid w:val="00D06F7B"/>
    <w:rsid w:val="00D272B7"/>
    <w:rsid w:val="00D308CD"/>
    <w:rsid w:val="00D30C73"/>
    <w:rsid w:val="00D34850"/>
    <w:rsid w:val="00D355A8"/>
    <w:rsid w:val="00D36D68"/>
    <w:rsid w:val="00D3763A"/>
    <w:rsid w:val="00D547B4"/>
    <w:rsid w:val="00D621C3"/>
    <w:rsid w:val="00D65336"/>
    <w:rsid w:val="00D66BCF"/>
    <w:rsid w:val="00D71D43"/>
    <w:rsid w:val="00D74CBC"/>
    <w:rsid w:val="00D83AB1"/>
    <w:rsid w:val="00D860EE"/>
    <w:rsid w:val="00DA4B0B"/>
    <w:rsid w:val="00DB0950"/>
    <w:rsid w:val="00DB6148"/>
    <w:rsid w:val="00DD0A0D"/>
    <w:rsid w:val="00DE49F7"/>
    <w:rsid w:val="00DE542F"/>
    <w:rsid w:val="00DE68D8"/>
    <w:rsid w:val="00DE7DE3"/>
    <w:rsid w:val="00DF04AE"/>
    <w:rsid w:val="00DF103E"/>
    <w:rsid w:val="00DF1640"/>
    <w:rsid w:val="00DF2DD2"/>
    <w:rsid w:val="00DF661A"/>
    <w:rsid w:val="00DF6944"/>
    <w:rsid w:val="00E00783"/>
    <w:rsid w:val="00E16DA5"/>
    <w:rsid w:val="00E33745"/>
    <w:rsid w:val="00E40424"/>
    <w:rsid w:val="00E41508"/>
    <w:rsid w:val="00E470ED"/>
    <w:rsid w:val="00E47760"/>
    <w:rsid w:val="00E52C6D"/>
    <w:rsid w:val="00E56C5F"/>
    <w:rsid w:val="00E57EB9"/>
    <w:rsid w:val="00E64ED9"/>
    <w:rsid w:val="00E711B5"/>
    <w:rsid w:val="00E73156"/>
    <w:rsid w:val="00E7768A"/>
    <w:rsid w:val="00E825B8"/>
    <w:rsid w:val="00E903DE"/>
    <w:rsid w:val="00E9543C"/>
    <w:rsid w:val="00EA2E90"/>
    <w:rsid w:val="00EA3116"/>
    <w:rsid w:val="00EA4342"/>
    <w:rsid w:val="00EA5031"/>
    <w:rsid w:val="00EA7879"/>
    <w:rsid w:val="00EB42C1"/>
    <w:rsid w:val="00EB5318"/>
    <w:rsid w:val="00EB536B"/>
    <w:rsid w:val="00ED27D4"/>
    <w:rsid w:val="00ED3800"/>
    <w:rsid w:val="00EE2058"/>
    <w:rsid w:val="00EE693B"/>
    <w:rsid w:val="00EF0D3F"/>
    <w:rsid w:val="00EF0F29"/>
    <w:rsid w:val="00EF10F1"/>
    <w:rsid w:val="00EF21FE"/>
    <w:rsid w:val="00EF6BA0"/>
    <w:rsid w:val="00F017A3"/>
    <w:rsid w:val="00F047CE"/>
    <w:rsid w:val="00F13E15"/>
    <w:rsid w:val="00F23C67"/>
    <w:rsid w:val="00F244A6"/>
    <w:rsid w:val="00F26B12"/>
    <w:rsid w:val="00F31FEA"/>
    <w:rsid w:val="00F37866"/>
    <w:rsid w:val="00F476E8"/>
    <w:rsid w:val="00F60647"/>
    <w:rsid w:val="00F713B1"/>
    <w:rsid w:val="00F71CD6"/>
    <w:rsid w:val="00F75388"/>
    <w:rsid w:val="00F80521"/>
    <w:rsid w:val="00F8422E"/>
    <w:rsid w:val="00F84D35"/>
    <w:rsid w:val="00F8633B"/>
    <w:rsid w:val="00F86FF9"/>
    <w:rsid w:val="00F9266B"/>
    <w:rsid w:val="00F934A1"/>
    <w:rsid w:val="00F94756"/>
    <w:rsid w:val="00FA0894"/>
    <w:rsid w:val="00FA090B"/>
    <w:rsid w:val="00FA152D"/>
    <w:rsid w:val="00FA600B"/>
    <w:rsid w:val="00FA6733"/>
    <w:rsid w:val="00FA6DA5"/>
    <w:rsid w:val="00FC42F9"/>
    <w:rsid w:val="00FC4BE5"/>
    <w:rsid w:val="00FC79E4"/>
    <w:rsid w:val="00FC7FF4"/>
    <w:rsid w:val="00FD746D"/>
    <w:rsid w:val="00FE37E0"/>
    <w:rsid w:val="00FE5EAF"/>
    <w:rsid w:val="00FE76C8"/>
    <w:rsid w:val="00FE7EEE"/>
    <w:rsid w:val="00FF2A25"/>
    <w:rsid w:val="00FF651C"/>
    <w:rsid w:val="390ECF8C"/>
    <w:rsid w:val="55DFA4C7"/>
    <w:rsid w:val="5F97FAAB"/>
    <w:rsid w:val="6E5BAB4C"/>
    <w:rsid w:val="77D70012"/>
    <w:rsid w:val="7B3B09EE"/>
    <w:rsid w:val="7BFF9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677EC"/>
  <w15:docId w15:val="{18F28610-DCDD-4C58-B7D0-8E373CE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等线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1648</Words>
  <Characters>188</Characters>
  <Application>Microsoft Office Word</Application>
  <DocSecurity>0</DocSecurity>
  <Lines>1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秦誉文</dc:creator>
  <cp:lastModifiedBy>秦誉文</cp:lastModifiedBy>
  <cp:revision>7</cp:revision>
  <cp:lastPrinted>2024-10-08T06:56:00Z</cp:lastPrinted>
  <dcterms:created xsi:type="dcterms:W3CDTF">2024-03-30T02:13:00Z</dcterms:created>
  <dcterms:modified xsi:type="dcterms:W3CDTF">2024-10-08T07:43:00Z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