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20442" w14:textId="77777777" w:rsidR="00742E65" w:rsidRDefault="00AF45D5">
      <w:pPr>
        <w:rPr>
          <w:b/>
          <w:sz w:val="24"/>
        </w:rPr>
      </w:pPr>
      <w:r>
        <w:rPr>
          <w:b/>
          <w:sz w:val="24"/>
        </w:rPr>
        <w:t>证券代码：</w:t>
      </w:r>
      <w:r>
        <w:rPr>
          <w:rFonts w:hint="eastAsia"/>
          <w:b/>
          <w:sz w:val="24"/>
        </w:rPr>
        <w:t>6</w:t>
      </w:r>
      <w:r>
        <w:rPr>
          <w:b/>
          <w:sz w:val="24"/>
        </w:rPr>
        <w:t xml:space="preserve">00222                                   </w:t>
      </w:r>
      <w:r>
        <w:rPr>
          <w:b/>
          <w:sz w:val="24"/>
        </w:rPr>
        <w:t>证券简称：</w:t>
      </w:r>
      <w:proofErr w:type="gramStart"/>
      <w:r>
        <w:rPr>
          <w:b/>
          <w:sz w:val="24"/>
        </w:rPr>
        <w:t>太龙药业</w:t>
      </w:r>
      <w:proofErr w:type="gramEnd"/>
    </w:p>
    <w:p w14:paraId="57E127ED" w14:textId="77777777" w:rsidR="00742E65" w:rsidRDefault="00742E65"/>
    <w:p w14:paraId="115CB948" w14:textId="77777777" w:rsidR="00742E65" w:rsidRDefault="00AF45D5">
      <w:pPr>
        <w:jc w:val="center"/>
        <w:rPr>
          <w:rFonts w:ascii="黑体" w:eastAsia="黑体" w:hAnsi="黑体"/>
          <w:sz w:val="32"/>
        </w:rPr>
      </w:pPr>
      <w:r>
        <w:rPr>
          <w:rFonts w:ascii="黑体" w:eastAsia="黑体" w:hAnsi="黑体"/>
          <w:sz w:val="32"/>
        </w:rPr>
        <w:t>河南太龙药业股份有限公司</w:t>
      </w:r>
    </w:p>
    <w:p w14:paraId="51FE787C" w14:textId="77777777" w:rsidR="00742E65" w:rsidRDefault="00AF45D5">
      <w:pPr>
        <w:jc w:val="center"/>
        <w:rPr>
          <w:rFonts w:ascii="黑体" w:eastAsia="黑体" w:hAnsi="黑体"/>
          <w:sz w:val="32"/>
        </w:rPr>
      </w:pPr>
      <w:r>
        <w:rPr>
          <w:rFonts w:ascii="黑体" w:eastAsia="黑体" w:hAnsi="黑体"/>
          <w:sz w:val="32"/>
        </w:rPr>
        <w:t>投资者关系活动记录表</w:t>
      </w:r>
    </w:p>
    <w:p w14:paraId="2EDAE1C9" w14:textId="77777777" w:rsidR="00742E65" w:rsidRDefault="00AF45D5">
      <w:pPr>
        <w:jc w:val="center"/>
        <w:rPr>
          <w:rFonts w:ascii="黑体" w:eastAsia="黑体" w:hAnsi="黑体"/>
          <w:sz w:val="32"/>
        </w:rPr>
      </w:pPr>
      <w:r>
        <w:rPr>
          <w:rFonts w:ascii="黑体" w:eastAsia="黑体" w:hAnsi="黑体"/>
          <w:sz w:val="32"/>
        </w:rPr>
        <w:t>（</w:t>
      </w:r>
      <w:r>
        <w:rPr>
          <w:rFonts w:ascii="黑体" w:eastAsia="黑体" w:hAnsi="黑体" w:hint="eastAsia"/>
          <w:sz w:val="32"/>
        </w:rPr>
        <w:t>2</w:t>
      </w:r>
      <w:r>
        <w:rPr>
          <w:rFonts w:ascii="黑体" w:eastAsia="黑体" w:hAnsi="黑体"/>
          <w:sz w:val="32"/>
        </w:rPr>
        <w:t>024</w:t>
      </w:r>
      <w:r>
        <w:rPr>
          <w:rFonts w:ascii="黑体" w:eastAsia="黑体" w:hAnsi="黑体"/>
          <w:sz w:val="32"/>
        </w:rPr>
        <w:t>年</w:t>
      </w:r>
      <w:r>
        <w:rPr>
          <w:rFonts w:ascii="黑体" w:eastAsia="黑体" w:hAnsi="黑体"/>
          <w:sz w:val="32"/>
        </w:rPr>
        <w:t>9</w:t>
      </w:r>
      <w:r>
        <w:rPr>
          <w:rFonts w:ascii="黑体" w:eastAsia="黑体" w:hAnsi="黑体" w:hint="eastAsia"/>
          <w:sz w:val="32"/>
        </w:rPr>
        <w:t>月</w:t>
      </w:r>
      <w:r>
        <w:rPr>
          <w:rFonts w:ascii="黑体" w:eastAsia="黑体" w:hAnsi="黑体"/>
          <w:sz w:val="32"/>
        </w:rPr>
        <w:t>）</w:t>
      </w:r>
    </w:p>
    <w:p w14:paraId="61971809" w14:textId="77777777" w:rsidR="00742E65" w:rsidRDefault="00742E65"/>
    <w:tbl>
      <w:tblPr>
        <w:tblStyle w:val="a9"/>
        <w:tblW w:w="10349" w:type="dxa"/>
        <w:tblInd w:w="-998" w:type="dxa"/>
        <w:tblLook w:val="04A0" w:firstRow="1" w:lastRow="0" w:firstColumn="1" w:lastColumn="0" w:noHBand="0" w:noVBand="1"/>
      </w:tblPr>
      <w:tblGrid>
        <w:gridCol w:w="1986"/>
        <w:gridCol w:w="8363"/>
      </w:tblGrid>
      <w:tr w:rsidR="00742E65" w14:paraId="746EE85E" w14:textId="77777777">
        <w:trPr>
          <w:trHeight w:val="3276"/>
        </w:trPr>
        <w:tc>
          <w:tcPr>
            <w:tcW w:w="1986" w:type="dxa"/>
            <w:vAlign w:val="center"/>
          </w:tcPr>
          <w:p w14:paraId="09A53B3B" w14:textId="77777777" w:rsidR="00742E65" w:rsidRDefault="00AF45D5">
            <w:pPr>
              <w:jc w:val="center"/>
              <w:rPr>
                <w:sz w:val="28"/>
              </w:rPr>
            </w:pPr>
            <w:r>
              <w:rPr>
                <w:sz w:val="28"/>
              </w:rPr>
              <w:t>投资者关系</w:t>
            </w:r>
          </w:p>
          <w:p w14:paraId="7E3633DA" w14:textId="77777777" w:rsidR="00742E65" w:rsidRDefault="00AF45D5">
            <w:pPr>
              <w:jc w:val="center"/>
              <w:rPr>
                <w:sz w:val="28"/>
              </w:rPr>
            </w:pPr>
            <w:r>
              <w:rPr>
                <w:sz w:val="28"/>
              </w:rPr>
              <w:t>活动类别</w:t>
            </w:r>
          </w:p>
        </w:tc>
        <w:tc>
          <w:tcPr>
            <w:tcW w:w="8363" w:type="dxa"/>
          </w:tcPr>
          <w:p w14:paraId="237BB954" w14:textId="77777777" w:rsidR="00742E65" w:rsidRDefault="00AF45D5">
            <w:pPr>
              <w:pStyle w:val="Default"/>
              <w:jc w:val="both"/>
              <w:rPr>
                <w:rFonts w:hAnsi="Times New Roman"/>
                <w:sz w:val="28"/>
              </w:rPr>
            </w:pPr>
            <w:r>
              <w:rPr>
                <w:rFonts w:hAnsi="Times New Roman" w:hint="eastAsia"/>
                <w:sz w:val="28"/>
              </w:rPr>
              <w:t>□特定对象调研</w:t>
            </w:r>
            <w:r>
              <w:rPr>
                <w:rFonts w:hAnsi="Times New Roman" w:hint="eastAsia"/>
                <w:sz w:val="28"/>
              </w:rPr>
              <w:t xml:space="preserve">     </w:t>
            </w:r>
            <w:r>
              <w:rPr>
                <w:rFonts w:hAnsi="Times New Roman" w:hint="eastAsia"/>
                <w:color w:val="auto"/>
                <w:sz w:val="28"/>
              </w:rPr>
              <w:t xml:space="preserve"> </w:t>
            </w:r>
            <w:r>
              <w:rPr>
                <w:rFonts w:hAnsi="Times New Roman" w:hint="eastAsia"/>
                <w:sz w:val="28"/>
              </w:rPr>
              <w:t>□分析师会议</w:t>
            </w:r>
          </w:p>
          <w:p w14:paraId="390FE71A" w14:textId="77777777" w:rsidR="00742E65" w:rsidRDefault="00AF45D5">
            <w:pPr>
              <w:pStyle w:val="Default"/>
              <w:jc w:val="both"/>
              <w:rPr>
                <w:rFonts w:hAnsi="Times New Roman"/>
                <w:sz w:val="28"/>
              </w:rPr>
            </w:pPr>
            <w:r>
              <w:rPr>
                <w:rFonts w:hAnsi="Times New Roman" w:hint="eastAsia"/>
                <w:sz w:val="28"/>
              </w:rPr>
              <w:t>□媒体采访</w:t>
            </w:r>
            <w:r>
              <w:rPr>
                <w:rFonts w:hAnsi="Times New Roman" w:hint="eastAsia"/>
                <w:sz w:val="28"/>
              </w:rPr>
              <w:t xml:space="preserve">          </w:t>
            </w:r>
            <w:r>
              <w:rPr>
                <w:rFonts w:asciiTheme="minorEastAsia" w:eastAsiaTheme="minorEastAsia" w:hAnsiTheme="minorEastAsia" w:hint="eastAsia"/>
                <w:sz w:val="28"/>
              </w:rPr>
              <w:t>√</w:t>
            </w:r>
            <w:r>
              <w:rPr>
                <w:rFonts w:hAnsi="Times New Roman" w:hint="eastAsia"/>
                <w:sz w:val="28"/>
              </w:rPr>
              <w:t>业绩说明会</w:t>
            </w:r>
          </w:p>
          <w:p w14:paraId="0F578CFC" w14:textId="77777777" w:rsidR="00742E65" w:rsidRDefault="00AF45D5">
            <w:pPr>
              <w:pStyle w:val="Default"/>
              <w:jc w:val="both"/>
              <w:rPr>
                <w:rFonts w:hAnsi="Times New Roman"/>
                <w:sz w:val="28"/>
              </w:rPr>
            </w:pPr>
            <w:r>
              <w:rPr>
                <w:rFonts w:hAnsi="Times New Roman" w:hint="eastAsia"/>
                <w:sz w:val="28"/>
              </w:rPr>
              <w:t>□新闻发布会</w:t>
            </w:r>
            <w:r>
              <w:rPr>
                <w:rFonts w:hAnsi="Times New Roman" w:hint="eastAsia"/>
                <w:sz w:val="28"/>
              </w:rPr>
              <w:t xml:space="preserve">        </w:t>
            </w:r>
            <w:r>
              <w:rPr>
                <w:rFonts w:hAnsi="Times New Roman" w:hint="eastAsia"/>
                <w:sz w:val="28"/>
              </w:rPr>
              <w:t>□路演活动</w:t>
            </w:r>
          </w:p>
          <w:p w14:paraId="3EC78576" w14:textId="77777777" w:rsidR="00742E65" w:rsidRDefault="00AF45D5">
            <w:pPr>
              <w:pStyle w:val="Default"/>
              <w:jc w:val="both"/>
              <w:rPr>
                <w:rFonts w:hAnsi="Times New Roman"/>
                <w:sz w:val="28"/>
              </w:rPr>
            </w:pPr>
            <w:r>
              <w:rPr>
                <w:rFonts w:hAnsi="Times New Roman" w:hint="eastAsia"/>
                <w:sz w:val="28"/>
              </w:rPr>
              <w:t>□现场参观</w:t>
            </w:r>
            <w:r>
              <w:rPr>
                <w:rFonts w:hAnsi="Times New Roman" w:hint="eastAsia"/>
                <w:sz w:val="28"/>
              </w:rPr>
              <w:t xml:space="preserve">          </w:t>
            </w:r>
            <w:r>
              <w:rPr>
                <w:rFonts w:hAnsi="Times New Roman" w:hint="eastAsia"/>
                <w:sz w:val="28"/>
              </w:rPr>
              <w:t>□</w:t>
            </w:r>
            <w:r>
              <w:rPr>
                <w:rFonts w:asciiTheme="minorEastAsia" w:eastAsiaTheme="minorEastAsia" w:hAnsiTheme="minorEastAsia" w:hint="eastAsia"/>
                <w:sz w:val="28"/>
              </w:rPr>
              <w:t>电话会议</w:t>
            </w:r>
          </w:p>
          <w:p w14:paraId="74717964" w14:textId="77777777" w:rsidR="00742E65" w:rsidRDefault="00AF45D5">
            <w:pPr>
              <w:pStyle w:val="Default"/>
              <w:jc w:val="both"/>
              <w:rPr>
                <w:rFonts w:hAnsi="Times New Roman"/>
                <w:sz w:val="28"/>
                <w:u w:val="single"/>
              </w:rPr>
            </w:pPr>
            <w:r>
              <w:rPr>
                <w:rFonts w:hAnsi="Times New Roman" w:hint="eastAsia"/>
                <w:sz w:val="28"/>
              </w:rPr>
              <w:t>□其他</w:t>
            </w:r>
            <w:r>
              <w:rPr>
                <w:rFonts w:hAnsi="Times New Roman" w:hint="eastAsia"/>
                <w:sz w:val="28"/>
                <w:u w:val="single"/>
              </w:rPr>
              <w:t xml:space="preserve"> </w:t>
            </w:r>
            <w:r>
              <w:rPr>
                <w:rFonts w:hAnsi="Times New Roman"/>
                <w:sz w:val="28"/>
                <w:u w:val="single"/>
              </w:rPr>
              <w:t xml:space="preserve">             </w:t>
            </w:r>
          </w:p>
        </w:tc>
      </w:tr>
      <w:tr w:rsidR="00742E65" w14:paraId="6346257E" w14:textId="77777777">
        <w:tc>
          <w:tcPr>
            <w:tcW w:w="1986" w:type="dxa"/>
            <w:vAlign w:val="center"/>
          </w:tcPr>
          <w:p w14:paraId="4AD84AD1" w14:textId="77777777" w:rsidR="00742E65" w:rsidRDefault="00AF45D5">
            <w:pPr>
              <w:jc w:val="center"/>
              <w:rPr>
                <w:sz w:val="28"/>
              </w:rPr>
            </w:pPr>
            <w:r>
              <w:rPr>
                <w:sz w:val="28"/>
              </w:rPr>
              <w:t>会议时间</w:t>
            </w:r>
          </w:p>
        </w:tc>
        <w:tc>
          <w:tcPr>
            <w:tcW w:w="8363" w:type="dxa"/>
          </w:tcPr>
          <w:p w14:paraId="14B70A04" w14:textId="77777777" w:rsidR="00742E65" w:rsidRDefault="00AF45D5">
            <w:r>
              <w:rPr>
                <w:rFonts w:asciiTheme="minorEastAsia" w:hAnsiTheme="minorEastAsia" w:hint="eastAsia"/>
                <w:sz w:val="28"/>
              </w:rPr>
              <w:t>2</w:t>
            </w:r>
            <w:r>
              <w:rPr>
                <w:rFonts w:asciiTheme="minorEastAsia" w:hAnsiTheme="minorEastAsia"/>
                <w:sz w:val="28"/>
              </w:rPr>
              <w:t>024</w:t>
            </w:r>
            <w:r>
              <w:rPr>
                <w:rFonts w:asciiTheme="minorEastAsia" w:hAnsiTheme="minorEastAsia"/>
                <w:sz w:val="28"/>
              </w:rPr>
              <w:t>年</w:t>
            </w:r>
            <w:r>
              <w:rPr>
                <w:rFonts w:asciiTheme="minorEastAsia" w:hAnsiTheme="minorEastAsia"/>
                <w:sz w:val="28"/>
              </w:rPr>
              <w:t>9</w:t>
            </w:r>
            <w:r>
              <w:rPr>
                <w:rFonts w:asciiTheme="minorEastAsia" w:hAnsiTheme="minorEastAsia" w:hint="eastAsia"/>
                <w:sz w:val="28"/>
              </w:rPr>
              <w:t>月</w:t>
            </w:r>
            <w:r>
              <w:rPr>
                <w:rFonts w:asciiTheme="minorEastAsia" w:hAnsiTheme="minorEastAsia" w:hint="eastAsia"/>
                <w:sz w:val="28"/>
              </w:rPr>
              <w:t>1</w:t>
            </w:r>
            <w:r>
              <w:rPr>
                <w:rFonts w:asciiTheme="minorEastAsia" w:hAnsiTheme="minorEastAsia"/>
                <w:sz w:val="28"/>
              </w:rPr>
              <w:t>3</w:t>
            </w:r>
            <w:r>
              <w:rPr>
                <w:rFonts w:asciiTheme="minorEastAsia" w:hAnsiTheme="minorEastAsia" w:hint="eastAsia"/>
                <w:sz w:val="28"/>
              </w:rPr>
              <w:t>日上午</w:t>
            </w:r>
            <w:r>
              <w:rPr>
                <w:rFonts w:asciiTheme="minorEastAsia" w:hAnsiTheme="minorEastAsia" w:hint="eastAsia"/>
                <w:sz w:val="28"/>
              </w:rPr>
              <w:t>1</w:t>
            </w:r>
            <w:r>
              <w:rPr>
                <w:rFonts w:asciiTheme="minorEastAsia" w:hAnsiTheme="minorEastAsia"/>
                <w:sz w:val="28"/>
              </w:rPr>
              <w:t>0</w:t>
            </w:r>
            <w:r>
              <w:rPr>
                <w:rFonts w:asciiTheme="minorEastAsia" w:hAnsiTheme="minorEastAsia" w:hint="eastAsia"/>
                <w:sz w:val="28"/>
              </w:rPr>
              <w:t>:00-1</w:t>
            </w:r>
            <w:r>
              <w:rPr>
                <w:rFonts w:asciiTheme="minorEastAsia" w:hAnsiTheme="minorEastAsia"/>
                <w:sz w:val="28"/>
              </w:rPr>
              <w:t>1</w:t>
            </w:r>
            <w:r>
              <w:rPr>
                <w:rFonts w:asciiTheme="minorEastAsia" w:hAnsiTheme="minorEastAsia" w:hint="eastAsia"/>
                <w:sz w:val="28"/>
              </w:rPr>
              <w:t>:</w:t>
            </w:r>
            <w:r>
              <w:rPr>
                <w:rFonts w:asciiTheme="minorEastAsia" w:hAnsiTheme="minorEastAsia"/>
                <w:sz w:val="28"/>
              </w:rPr>
              <w:t>3</w:t>
            </w:r>
            <w:r>
              <w:rPr>
                <w:rFonts w:asciiTheme="minorEastAsia" w:hAnsiTheme="minorEastAsia" w:hint="eastAsia"/>
                <w:sz w:val="28"/>
              </w:rPr>
              <w:t xml:space="preserve">0 </w:t>
            </w:r>
          </w:p>
        </w:tc>
      </w:tr>
      <w:tr w:rsidR="00742E65" w14:paraId="157D7E67" w14:textId="77777777">
        <w:trPr>
          <w:trHeight w:val="1034"/>
        </w:trPr>
        <w:tc>
          <w:tcPr>
            <w:tcW w:w="1986" w:type="dxa"/>
            <w:vAlign w:val="center"/>
          </w:tcPr>
          <w:p w14:paraId="4762D3C2" w14:textId="77777777" w:rsidR="00742E65" w:rsidRDefault="00AF45D5">
            <w:pPr>
              <w:jc w:val="center"/>
              <w:rPr>
                <w:sz w:val="28"/>
              </w:rPr>
            </w:pPr>
            <w:r>
              <w:rPr>
                <w:sz w:val="28"/>
              </w:rPr>
              <w:t>会议地点</w:t>
            </w:r>
          </w:p>
        </w:tc>
        <w:tc>
          <w:tcPr>
            <w:tcW w:w="8363" w:type="dxa"/>
            <w:vAlign w:val="center"/>
          </w:tcPr>
          <w:p w14:paraId="03EC38F7" w14:textId="77777777" w:rsidR="00742E65" w:rsidRDefault="00AF45D5" w:rsidP="00AF45D5">
            <w:pPr>
              <w:widowControl/>
              <w:rPr>
                <w:rFonts w:asciiTheme="minorEastAsia" w:hAnsiTheme="minorEastAsia"/>
                <w:sz w:val="28"/>
              </w:rPr>
            </w:pPr>
            <w:r>
              <w:rPr>
                <w:rFonts w:asciiTheme="minorEastAsia" w:hAnsiTheme="minorEastAsia"/>
                <w:sz w:val="28"/>
              </w:rPr>
              <w:t>公司通过上海证券交易所</w:t>
            </w:r>
            <w:proofErr w:type="gramStart"/>
            <w:r>
              <w:rPr>
                <w:rFonts w:asciiTheme="minorEastAsia" w:hAnsiTheme="minorEastAsia"/>
                <w:sz w:val="28"/>
              </w:rPr>
              <w:t>上证路演</w:t>
            </w:r>
            <w:proofErr w:type="gramEnd"/>
            <w:r>
              <w:rPr>
                <w:rFonts w:asciiTheme="minorEastAsia" w:hAnsiTheme="minorEastAsia"/>
                <w:sz w:val="28"/>
              </w:rPr>
              <w:t>中心（网址：</w:t>
            </w:r>
            <w:r>
              <w:rPr>
                <w:rFonts w:asciiTheme="minorEastAsia" w:hAnsiTheme="minorEastAsia"/>
                <w:sz w:val="28"/>
              </w:rPr>
              <w:t>https://roadshow.sseinfo.com/</w:t>
            </w:r>
            <w:bookmarkStart w:id="0" w:name="_GoBack"/>
            <w:bookmarkEnd w:id="0"/>
            <w:r>
              <w:rPr>
                <w:rFonts w:asciiTheme="minorEastAsia" w:hAnsiTheme="minorEastAsia"/>
                <w:sz w:val="28"/>
              </w:rPr>
              <w:t>）以视频录播和网络互动的形式召开</w:t>
            </w:r>
            <w:r>
              <w:rPr>
                <w:rFonts w:asciiTheme="minorEastAsia" w:hAnsiTheme="minorEastAsia" w:hint="eastAsia"/>
                <w:sz w:val="28"/>
              </w:rPr>
              <w:t>“</w:t>
            </w:r>
            <w:r>
              <w:rPr>
                <w:rFonts w:asciiTheme="minorEastAsia" w:hAnsiTheme="minorEastAsia" w:hint="eastAsia"/>
                <w:sz w:val="28"/>
              </w:rPr>
              <w:t>2024</w:t>
            </w:r>
            <w:r>
              <w:rPr>
                <w:rFonts w:asciiTheme="minorEastAsia" w:hAnsiTheme="minorEastAsia" w:hint="eastAsia"/>
                <w:sz w:val="28"/>
              </w:rPr>
              <w:t>年半年度业绩说明会”</w:t>
            </w:r>
          </w:p>
        </w:tc>
      </w:tr>
      <w:tr w:rsidR="00742E65" w14:paraId="68215E35" w14:textId="77777777">
        <w:tc>
          <w:tcPr>
            <w:tcW w:w="1986" w:type="dxa"/>
            <w:vAlign w:val="center"/>
          </w:tcPr>
          <w:p w14:paraId="51B43578" w14:textId="77777777" w:rsidR="00742E65" w:rsidRDefault="00AF45D5">
            <w:pPr>
              <w:jc w:val="center"/>
              <w:rPr>
                <w:sz w:val="28"/>
              </w:rPr>
            </w:pPr>
            <w:r>
              <w:rPr>
                <w:sz w:val="28"/>
              </w:rPr>
              <w:t>参与单位名称或人员姓名</w:t>
            </w:r>
          </w:p>
        </w:tc>
        <w:tc>
          <w:tcPr>
            <w:tcW w:w="8363" w:type="dxa"/>
            <w:vAlign w:val="center"/>
          </w:tcPr>
          <w:p w14:paraId="674B0298" w14:textId="77777777" w:rsidR="00742E65" w:rsidRDefault="00AF45D5">
            <w:r>
              <w:rPr>
                <w:rFonts w:asciiTheme="minorEastAsia" w:hAnsiTheme="minorEastAsia"/>
                <w:sz w:val="28"/>
              </w:rPr>
              <w:t>参与单位及人员为通过上</w:t>
            </w:r>
            <w:proofErr w:type="gramStart"/>
            <w:r>
              <w:rPr>
                <w:rFonts w:asciiTheme="minorEastAsia" w:hAnsiTheme="minorEastAsia"/>
                <w:sz w:val="28"/>
              </w:rPr>
              <w:t>证路演中心</w:t>
            </w:r>
            <w:proofErr w:type="gramEnd"/>
            <w:r>
              <w:rPr>
                <w:rFonts w:asciiTheme="minorEastAsia" w:hAnsiTheme="minorEastAsia"/>
                <w:sz w:val="28"/>
              </w:rPr>
              <w:t>参与业绩说明会的广大投资者</w:t>
            </w:r>
          </w:p>
        </w:tc>
      </w:tr>
      <w:tr w:rsidR="00742E65" w14:paraId="4867E272" w14:textId="77777777">
        <w:tc>
          <w:tcPr>
            <w:tcW w:w="1986" w:type="dxa"/>
            <w:vAlign w:val="center"/>
          </w:tcPr>
          <w:p w14:paraId="2C9DD5D5" w14:textId="77777777" w:rsidR="00742E65" w:rsidRDefault="00AF45D5">
            <w:pPr>
              <w:jc w:val="center"/>
              <w:rPr>
                <w:sz w:val="28"/>
              </w:rPr>
            </w:pPr>
            <w:r>
              <w:rPr>
                <w:sz w:val="28"/>
              </w:rPr>
              <w:t>上市公司</w:t>
            </w:r>
          </w:p>
          <w:p w14:paraId="6EDBC833" w14:textId="77777777" w:rsidR="00742E65" w:rsidRDefault="00AF45D5">
            <w:pPr>
              <w:jc w:val="center"/>
              <w:rPr>
                <w:sz w:val="28"/>
              </w:rPr>
            </w:pPr>
            <w:r>
              <w:rPr>
                <w:sz w:val="28"/>
              </w:rPr>
              <w:t>接待人员</w:t>
            </w:r>
          </w:p>
        </w:tc>
        <w:tc>
          <w:tcPr>
            <w:tcW w:w="8363" w:type="dxa"/>
            <w:vAlign w:val="center"/>
          </w:tcPr>
          <w:p w14:paraId="5DF74797" w14:textId="77777777" w:rsidR="00742E65" w:rsidRDefault="00AF45D5">
            <w:pPr>
              <w:pStyle w:val="Default"/>
              <w:tabs>
                <w:tab w:val="left" w:pos="675"/>
              </w:tabs>
              <w:spacing w:line="312" w:lineRule="auto"/>
              <w:jc w:val="both"/>
              <w:rPr>
                <w:rFonts w:asciiTheme="minorEastAsia" w:eastAsiaTheme="minorEastAsia" w:hAnsiTheme="minorEastAsia"/>
                <w:sz w:val="28"/>
                <w:szCs w:val="28"/>
              </w:rPr>
            </w:pPr>
            <w:r>
              <w:rPr>
                <w:rFonts w:asciiTheme="minorEastAsia" w:eastAsiaTheme="minorEastAsia" w:hAnsiTheme="minorEastAsia"/>
                <w:sz w:val="28"/>
                <w:szCs w:val="28"/>
              </w:rPr>
              <w:t>董事长</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proofErr w:type="gramStart"/>
            <w:r>
              <w:rPr>
                <w:rFonts w:asciiTheme="minorEastAsia" w:eastAsiaTheme="minorEastAsia" w:hAnsiTheme="minorEastAsia"/>
                <w:sz w:val="28"/>
                <w:szCs w:val="28"/>
              </w:rPr>
              <w:t>尹</w:t>
            </w:r>
            <w:proofErr w:type="gramEnd"/>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辉</w:t>
            </w:r>
            <w:r>
              <w:rPr>
                <w:rFonts w:asciiTheme="minorEastAsia" w:eastAsiaTheme="minorEastAsia" w:hAnsiTheme="minorEastAsia"/>
                <w:sz w:val="28"/>
                <w:szCs w:val="28"/>
              </w:rPr>
              <w:t xml:space="preserve">       </w:t>
            </w:r>
          </w:p>
          <w:p w14:paraId="1406B536" w14:textId="77777777" w:rsidR="00742E65" w:rsidRDefault="00AF45D5">
            <w:pPr>
              <w:pStyle w:val="Default"/>
              <w:tabs>
                <w:tab w:val="left" w:pos="675"/>
              </w:tabs>
              <w:spacing w:line="312" w:lineRule="auto"/>
              <w:jc w:val="both"/>
              <w:rPr>
                <w:rFonts w:asciiTheme="minorEastAsia" w:hAnsiTheme="minorEastAsia"/>
                <w:sz w:val="28"/>
                <w:szCs w:val="28"/>
              </w:rPr>
            </w:pPr>
            <w:r>
              <w:rPr>
                <w:rFonts w:asciiTheme="minorEastAsia" w:hAnsiTheme="minorEastAsia"/>
                <w:sz w:val="28"/>
                <w:szCs w:val="28"/>
              </w:rPr>
              <w:t>独立董事</w:t>
            </w: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sz w:val="28"/>
                <w:szCs w:val="28"/>
              </w:rPr>
              <w:t>尹效华</w:t>
            </w:r>
          </w:p>
          <w:p w14:paraId="1C4BD75E" w14:textId="77777777" w:rsidR="00742E65" w:rsidRDefault="00AF45D5">
            <w:pPr>
              <w:pStyle w:val="Default"/>
              <w:tabs>
                <w:tab w:val="left" w:pos="675"/>
              </w:tabs>
              <w:spacing w:line="312" w:lineRule="auto"/>
              <w:jc w:val="both"/>
              <w:rPr>
                <w:rFonts w:asciiTheme="minorEastAsia" w:hAnsiTheme="minorEastAsia"/>
                <w:sz w:val="28"/>
                <w:szCs w:val="28"/>
              </w:rPr>
            </w:pPr>
            <w:r>
              <w:rPr>
                <w:rFonts w:asciiTheme="minorEastAsia" w:hAnsiTheme="minorEastAsia" w:hint="eastAsia"/>
                <w:sz w:val="28"/>
                <w:szCs w:val="28"/>
              </w:rPr>
              <w:t>常务</w:t>
            </w:r>
            <w:r>
              <w:rPr>
                <w:rFonts w:asciiTheme="minorEastAsia" w:hAnsiTheme="minorEastAsia"/>
                <w:sz w:val="28"/>
                <w:szCs w:val="28"/>
              </w:rPr>
              <w:t>副总经理、财务负责人</w:t>
            </w: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sz w:val="28"/>
                <w:szCs w:val="28"/>
              </w:rPr>
              <w:t>赵海林</w:t>
            </w:r>
          </w:p>
          <w:p w14:paraId="236E06A8" w14:textId="77777777" w:rsidR="00742E65" w:rsidRDefault="00AF45D5">
            <w:pPr>
              <w:pStyle w:val="Default"/>
              <w:tabs>
                <w:tab w:val="left" w:pos="675"/>
              </w:tabs>
              <w:spacing w:line="312" w:lineRule="auto"/>
              <w:jc w:val="both"/>
              <w:rPr>
                <w:rFonts w:asciiTheme="minorEastAsia" w:hAnsiTheme="minorEastAsia"/>
              </w:rPr>
            </w:pPr>
            <w:r>
              <w:rPr>
                <w:rFonts w:asciiTheme="minorEastAsia" w:hAnsiTheme="minorEastAsia" w:hint="eastAsia"/>
                <w:sz w:val="28"/>
                <w:szCs w:val="28"/>
              </w:rPr>
              <w:t>董事会秘书</w:t>
            </w:r>
            <w:r>
              <w:rPr>
                <w:rFonts w:asciiTheme="minorEastAsia" w:hAnsiTheme="minorEastAsia" w:hint="eastAsia"/>
                <w:sz w:val="28"/>
                <w:szCs w:val="28"/>
              </w:rPr>
              <w:t xml:space="preserve"> </w:t>
            </w:r>
            <w:r>
              <w:rPr>
                <w:rFonts w:asciiTheme="minorEastAsia" w:hAnsiTheme="minorEastAsia"/>
                <w:sz w:val="28"/>
                <w:szCs w:val="28"/>
              </w:rPr>
              <w:t xml:space="preserve">                   </w:t>
            </w:r>
            <w:proofErr w:type="gramStart"/>
            <w:r>
              <w:rPr>
                <w:rFonts w:asciiTheme="minorEastAsia" w:hAnsiTheme="minorEastAsia" w:hint="eastAsia"/>
                <w:sz w:val="28"/>
                <w:szCs w:val="28"/>
              </w:rPr>
              <w:t>李念云</w:t>
            </w:r>
            <w:proofErr w:type="gramEnd"/>
            <w:r>
              <w:rPr>
                <w:rFonts w:asciiTheme="minorEastAsia" w:hAnsiTheme="minorEastAsia"/>
              </w:rPr>
              <w:t xml:space="preserve"> </w:t>
            </w:r>
          </w:p>
        </w:tc>
      </w:tr>
      <w:tr w:rsidR="00742E65" w14:paraId="5D3A6EA0" w14:textId="77777777">
        <w:tc>
          <w:tcPr>
            <w:tcW w:w="1986" w:type="dxa"/>
            <w:vAlign w:val="center"/>
          </w:tcPr>
          <w:p w14:paraId="567A8B3A" w14:textId="77777777" w:rsidR="00742E65" w:rsidRDefault="00AF45D5">
            <w:pPr>
              <w:jc w:val="center"/>
              <w:rPr>
                <w:sz w:val="28"/>
              </w:rPr>
            </w:pPr>
            <w:r>
              <w:rPr>
                <w:sz w:val="28"/>
              </w:rPr>
              <w:t>投资者关系</w:t>
            </w:r>
          </w:p>
          <w:p w14:paraId="0F2E2645" w14:textId="77777777" w:rsidR="00742E65" w:rsidRDefault="00AF45D5">
            <w:pPr>
              <w:jc w:val="center"/>
              <w:rPr>
                <w:sz w:val="28"/>
              </w:rPr>
            </w:pPr>
            <w:r>
              <w:rPr>
                <w:sz w:val="28"/>
              </w:rPr>
              <w:t>活动主要内容</w:t>
            </w:r>
          </w:p>
        </w:tc>
        <w:tc>
          <w:tcPr>
            <w:tcW w:w="8363" w:type="dxa"/>
          </w:tcPr>
          <w:p w14:paraId="1AA940D6" w14:textId="77777777" w:rsidR="00742E65" w:rsidRDefault="00AF45D5">
            <w:pPr>
              <w:ind w:firstLineChars="200" w:firstLine="562"/>
              <w:rPr>
                <w:rFonts w:asciiTheme="minorEastAsia" w:hAnsiTheme="minorEastAsia"/>
                <w:b/>
                <w:sz w:val="28"/>
                <w:szCs w:val="24"/>
              </w:rPr>
            </w:pPr>
            <w:r>
              <w:rPr>
                <w:rFonts w:asciiTheme="minorEastAsia" w:hAnsiTheme="minorEastAsia" w:hint="eastAsia"/>
                <w:b/>
                <w:sz w:val="28"/>
                <w:szCs w:val="24"/>
              </w:rPr>
              <w:t>公司主要就投资者提出的相关问题进行互动和沟通（以下按提问时间先后顺序）</w:t>
            </w:r>
          </w:p>
          <w:p w14:paraId="4FFFD6DC" w14:textId="77777777" w:rsidR="00742E65" w:rsidRDefault="00AF45D5">
            <w:pPr>
              <w:ind w:firstLineChars="200" w:firstLine="562"/>
              <w:rPr>
                <w:rFonts w:asciiTheme="minorEastAsia" w:hAnsiTheme="minorEastAsia"/>
                <w:b/>
                <w:sz w:val="28"/>
                <w:szCs w:val="24"/>
              </w:rPr>
            </w:pPr>
            <w:r>
              <w:rPr>
                <w:rFonts w:asciiTheme="minorEastAsia" w:hAnsiTheme="minorEastAsia" w:hint="eastAsia"/>
                <w:b/>
                <w:sz w:val="28"/>
                <w:szCs w:val="24"/>
              </w:rPr>
              <w:lastRenderedPageBreak/>
              <w:t>1.</w:t>
            </w:r>
            <w:r>
              <w:rPr>
                <w:rFonts w:asciiTheme="minorEastAsia" w:hAnsiTheme="minorEastAsia" w:hint="eastAsia"/>
                <w:b/>
                <w:sz w:val="28"/>
                <w:szCs w:val="24"/>
              </w:rPr>
              <w:t>看到公司上半年盈利情况还挺好，能说明</w:t>
            </w:r>
            <w:proofErr w:type="gramStart"/>
            <w:r>
              <w:rPr>
                <w:rFonts w:asciiTheme="minorEastAsia" w:hAnsiTheme="minorEastAsia" w:hint="eastAsia"/>
                <w:b/>
                <w:sz w:val="28"/>
                <w:szCs w:val="24"/>
              </w:rPr>
              <w:t>一下净</w:t>
            </w:r>
            <w:proofErr w:type="gramEnd"/>
            <w:r>
              <w:rPr>
                <w:rFonts w:asciiTheme="minorEastAsia" w:hAnsiTheme="minorEastAsia" w:hint="eastAsia"/>
                <w:b/>
                <w:sz w:val="28"/>
                <w:szCs w:val="24"/>
              </w:rPr>
              <w:t>利润增长的原因是什么吗？</w:t>
            </w:r>
          </w:p>
          <w:p w14:paraId="3AA9BCA7" w14:textId="77777777" w:rsidR="00742E65" w:rsidRDefault="00AF45D5">
            <w:pPr>
              <w:ind w:firstLineChars="200" w:firstLine="560"/>
              <w:rPr>
                <w:rFonts w:asciiTheme="minorEastAsia" w:hAnsiTheme="minorEastAsia"/>
                <w:sz w:val="28"/>
                <w:szCs w:val="24"/>
              </w:rPr>
            </w:pPr>
            <w:r>
              <w:rPr>
                <w:rFonts w:asciiTheme="minorEastAsia" w:hAnsiTheme="minorEastAsia" w:hint="eastAsia"/>
                <w:sz w:val="28"/>
                <w:szCs w:val="24"/>
              </w:rPr>
              <w:t>答：尊敬的投资者您好，公司</w:t>
            </w:r>
            <w:r>
              <w:rPr>
                <w:rFonts w:asciiTheme="minorEastAsia" w:hAnsiTheme="minorEastAsia" w:hint="eastAsia"/>
                <w:sz w:val="28"/>
                <w:szCs w:val="24"/>
              </w:rPr>
              <w:t>2024</w:t>
            </w:r>
            <w:r>
              <w:rPr>
                <w:rFonts w:asciiTheme="minorEastAsia" w:hAnsiTheme="minorEastAsia" w:hint="eastAsia"/>
                <w:sz w:val="28"/>
                <w:szCs w:val="24"/>
              </w:rPr>
              <w:t>年半年度</w:t>
            </w:r>
            <w:proofErr w:type="gramStart"/>
            <w:r>
              <w:rPr>
                <w:rFonts w:asciiTheme="minorEastAsia" w:hAnsiTheme="minorEastAsia" w:hint="eastAsia"/>
                <w:sz w:val="28"/>
                <w:szCs w:val="24"/>
              </w:rPr>
              <w:t>归母净利润</w:t>
            </w:r>
            <w:proofErr w:type="gramEnd"/>
            <w:r>
              <w:rPr>
                <w:rFonts w:asciiTheme="minorEastAsia" w:hAnsiTheme="minorEastAsia" w:hint="eastAsia"/>
                <w:sz w:val="28"/>
                <w:szCs w:val="24"/>
              </w:rPr>
              <w:t>实现</w:t>
            </w:r>
            <w:r>
              <w:rPr>
                <w:rFonts w:asciiTheme="minorEastAsia" w:hAnsiTheme="minorEastAsia" w:hint="eastAsia"/>
                <w:sz w:val="28"/>
                <w:szCs w:val="24"/>
              </w:rPr>
              <w:t>2,661.80</w:t>
            </w:r>
            <w:r>
              <w:rPr>
                <w:rFonts w:asciiTheme="minorEastAsia" w:hAnsiTheme="minorEastAsia" w:hint="eastAsia"/>
                <w:sz w:val="28"/>
                <w:szCs w:val="24"/>
              </w:rPr>
              <w:t>万元。主要是公司持续推进降本、提质、增效各项措施，加强精细化管控水平，合理控制经营成本，实现业务毛利率提升。其中：药品制剂业务通过优化产品组合等措施，毛利率较上年同期增长</w:t>
            </w:r>
            <w:r>
              <w:rPr>
                <w:rFonts w:asciiTheme="minorEastAsia" w:hAnsiTheme="minorEastAsia" w:hint="eastAsia"/>
                <w:sz w:val="28"/>
                <w:szCs w:val="24"/>
              </w:rPr>
              <w:t>4.94%</w:t>
            </w:r>
            <w:r>
              <w:rPr>
                <w:rFonts w:asciiTheme="minorEastAsia" w:hAnsiTheme="minorEastAsia" w:hint="eastAsia"/>
                <w:sz w:val="28"/>
                <w:szCs w:val="24"/>
              </w:rPr>
              <w:t>；中药饮片业务不断提升产品和服务品质、优化客户结构、拓展客户规模、强化价格监控和策略采购，毛利率较上年同期增长</w:t>
            </w:r>
            <w:r>
              <w:rPr>
                <w:rFonts w:asciiTheme="minorEastAsia" w:hAnsiTheme="minorEastAsia" w:hint="eastAsia"/>
                <w:sz w:val="28"/>
                <w:szCs w:val="24"/>
              </w:rPr>
              <w:t>4.63%</w:t>
            </w:r>
            <w:r>
              <w:rPr>
                <w:rFonts w:asciiTheme="minorEastAsia" w:hAnsiTheme="minorEastAsia" w:hint="eastAsia"/>
                <w:sz w:val="28"/>
                <w:szCs w:val="24"/>
              </w:rPr>
              <w:t>；药品研发服务业务通过加强项目管理、优化人员结构、提升产出效率、毛利率较上年同期增长</w:t>
            </w:r>
            <w:r>
              <w:rPr>
                <w:rFonts w:asciiTheme="minorEastAsia" w:hAnsiTheme="minorEastAsia" w:hint="eastAsia"/>
                <w:sz w:val="28"/>
                <w:szCs w:val="24"/>
              </w:rPr>
              <w:t>9.98%</w:t>
            </w:r>
            <w:r>
              <w:rPr>
                <w:rFonts w:asciiTheme="minorEastAsia" w:hAnsiTheme="minorEastAsia" w:hint="eastAsia"/>
                <w:sz w:val="28"/>
                <w:szCs w:val="24"/>
              </w:rPr>
              <w:t>。同时公司强化营运成本管控，提升盈利能力，销售</w:t>
            </w:r>
            <w:r>
              <w:rPr>
                <w:rFonts w:asciiTheme="minorEastAsia" w:hAnsiTheme="minorEastAsia" w:hint="eastAsia"/>
                <w:sz w:val="28"/>
                <w:szCs w:val="24"/>
              </w:rPr>
              <w:t>毛利及净利润均实现增长。谢谢您对公司的关注。</w:t>
            </w:r>
          </w:p>
          <w:p w14:paraId="33CB3D15" w14:textId="77777777" w:rsidR="00742E65" w:rsidRDefault="00AF45D5">
            <w:pPr>
              <w:ind w:firstLineChars="200" w:firstLine="562"/>
              <w:rPr>
                <w:rFonts w:asciiTheme="minorEastAsia" w:hAnsiTheme="minorEastAsia"/>
                <w:b/>
                <w:sz w:val="28"/>
                <w:szCs w:val="24"/>
              </w:rPr>
            </w:pPr>
            <w:r>
              <w:rPr>
                <w:rFonts w:asciiTheme="minorEastAsia" w:hAnsiTheme="minorEastAsia" w:hint="eastAsia"/>
                <w:b/>
                <w:sz w:val="28"/>
                <w:szCs w:val="24"/>
              </w:rPr>
              <w:t>2.</w:t>
            </w:r>
            <w:r>
              <w:rPr>
                <w:rFonts w:asciiTheme="minorEastAsia" w:hAnsiTheme="minorEastAsia" w:hint="eastAsia"/>
                <w:b/>
                <w:sz w:val="28"/>
                <w:szCs w:val="24"/>
              </w:rPr>
              <w:t>公司强调做中药口服液专家，也在不断丰富产品线，这两年新品种的引进一般有哪些方式？情况怎么样？</w:t>
            </w:r>
          </w:p>
          <w:p w14:paraId="126C33CF" w14:textId="77777777" w:rsidR="00742E65" w:rsidRDefault="00AF45D5">
            <w:pPr>
              <w:ind w:firstLineChars="200" w:firstLine="560"/>
              <w:rPr>
                <w:rFonts w:asciiTheme="minorEastAsia" w:hAnsiTheme="minorEastAsia"/>
                <w:sz w:val="28"/>
                <w:szCs w:val="24"/>
              </w:rPr>
            </w:pPr>
            <w:r>
              <w:rPr>
                <w:rFonts w:asciiTheme="minorEastAsia" w:hAnsiTheme="minorEastAsia" w:hint="eastAsia"/>
                <w:sz w:val="28"/>
                <w:szCs w:val="24"/>
              </w:rPr>
              <w:t>答：尊敬的投资者您好，公司坚持“中药口服液专家”的经营理念，以市场需求为导向，近年来通过产品引入、经典名方研究、同名同方药开发等多种方式不断增加中成药产品，推动产品多样化发展，构建科学产品组合。目前引入的藿香正气合剂、五子衍宗口服液、生脉饮等产品均实现上市生产。谢谢您对公司的关注。</w:t>
            </w:r>
          </w:p>
          <w:p w14:paraId="23A8CB1D" w14:textId="77777777" w:rsidR="00742E65" w:rsidRDefault="00AF45D5">
            <w:pPr>
              <w:ind w:firstLineChars="200" w:firstLine="562"/>
              <w:rPr>
                <w:rFonts w:asciiTheme="minorEastAsia" w:hAnsiTheme="minorEastAsia"/>
                <w:b/>
                <w:sz w:val="28"/>
                <w:szCs w:val="24"/>
              </w:rPr>
            </w:pPr>
            <w:r>
              <w:rPr>
                <w:rFonts w:asciiTheme="minorEastAsia" w:hAnsiTheme="minorEastAsia" w:hint="eastAsia"/>
                <w:b/>
                <w:sz w:val="28"/>
                <w:szCs w:val="24"/>
              </w:rPr>
              <w:t>3.</w:t>
            </w:r>
            <w:r>
              <w:rPr>
                <w:rFonts w:asciiTheme="minorEastAsia" w:hAnsiTheme="minorEastAsia" w:hint="eastAsia"/>
                <w:b/>
                <w:sz w:val="28"/>
                <w:szCs w:val="24"/>
              </w:rPr>
              <w:t>尹总您好，公司除了双黄连口服液还有哪些产品？谢谢！</w:t>
            </w:r>
            <w:r>
              <w:rPr>
                <w:rFonts w:asciiTheme="minorEastAsia" w:hAnsiTheme="minorEastAsia"/>
                <w:b/>
                <w:sz w:val="28"/>
                <w:szCs w:val="24"/>
              </w:rPr>
              <w:t xml:space="preserve"> </w:t>
            </w:r>
          </w:p>
          <w:p w14:paraId="49841F4E" w14:textId="77777777" w:rsidR="00742E65" w:rsidRDefault="00AF45D5">
            <w:pPr>
              <w:ind w:firstLineChars="200" w:firstLine="560"/>
              <w:rPr>
                <w:rFonts w:asciiTheme="minorEastAsia" w:hAnsiTheme="minorEastAsia"/>
                <w:sz w:val="28"/>
                <w:szCs w:val="24"/>
              </w:rPr>
            </w:pPr>
            <w:r>
              <w:rPr>
                <w:rFonts w:asciiTheme="minorEastAsia" w:hAnsiTheme="minorEastAsia" w:hint="eastAsia"/>
                <w:sz w:val="28"/>
                <w:szCs w:val="24"/>
              </w:rPr>
              <w:t>答：尊敬的投资者您好，公司</w:t>
            </w:r>
            <w:r>
              <w:rPr>
                <w:rFonts w:asciiTheme="minorEastAsia" w:hAnsiTheme="minorEastAsia" w:hint="eastAsia"/>
                <w:sz w:val="28"/>
                <w:szCs w:val="24"/>
              </w:rPr>
              <w:t>药品制剂业务主要产品覆盖呼吸系统、心脑血管、消化系统、生殖系统等治疗领域。呼吸系统领域</w:t>
            </w:r>
            <w:r>
              <w:rPr>
                <w:rFonts w:asciiTheme="minorEastAsia" w:hAnsiTheme="minorEastAsia" w:hint="eastAsia"/>
                <w:sz w:val="28"/>
                <w:szCs w:val="24"/>
              </w:rPr>
              <w:lastRenderedPageBreak/>
              <w:t>以核心产品双黄连口服液为基础，并根据市场需求推出了双金连合剂、无糖型双黄连合剂和儿童型双黄连口服液等独家产品</w:t>
            </w:r>
            <w:r>
              <w:rPr>
                <w:rFonts w:asciiTheme="minorEastAsia" w:hAnsiTheme="minorEastAsia" w:hint="eastAsia"/>
                <w:sz w:val="28"/>
                <w:szCs w:val="24"/>
              </w:rPr>
              <w:t>/</w:t>
            </w:r>
            <w:r>
              <w:rPr>
                <w:rFonts w:asciiTheme="minorEastAsia" w:hAnsiTheme="minorEastAsia" w:hint="eastAsia"/>
                <w:sz w:val="28"/>
                <w:szCs w:val="24"/>
              </w:rPr>
              <w:t>剂型，结合小儿清热止咳口服液、小儿退热口服液等产品，构建科学的清热解毒类产品组合；此外公司推出无酒精的藿香正气合剂，与双黄连系列形成季节互补；同时积极推广心脑血管治疗领域的药品丹参口服液、生脉饮，消化系统类药品小儿复方鸡内金咀嚼片及生殖系统类药品五子衍宗口服液等产品，打造多层次产品矩阵。</w:t>
            </w:r>
          </w:p>
          <w:p w14:paraId="74B8B9AD" w14:textId="77777777" w:rsidR="00742E65" w:rsidRDefault="00AF45D5">
            <w:pPr>
              <w:ind w:firstLineChars="200" w:firstLine="560"/>
              <w:rPr>
                <w:rFonts w:asciiTheme="minorEastAsia" w:hAnsiTheme="minorEastAsia"/>
                <w:sz w:val="28"/>
                <w:szCs w:val="24"/>
              </w:rPr>
            </w:pPr>
            <w:r>
              <w:rPr>
                <w:rFonts w:asciiTheme="minorEastAsia" w:hAnsiTheme="minorEastAsia" w:hint="eastAsia"/>
                <w:sz w:val="28"/>
                <w:szCs w:val="24"/>
              </w:rPr>
              <w:t>全资子公司桐君堂主要产品为</w:t>
            </w:r>
            <w:r>
              <w:rPr>
                <w:rFonts w:asciiTheme="minorEastAsia" w:hAnsiTheme="minorEastAsia" w:hint="eastAsia"/>
                <w:sz w:val="28"/>
                <w:szCs w:val="24"/>
              </w:rPr>
              <w:t>各种中药饮片，目前经营有</w:t>
            </w:r>
            <w:r>
              <w:rPr>
                <w:rFonts w:asciiTheme="minorEastAsia" w:hAnsiTheme="minorEastAsia" w:hint="eastAsia"/>
                <w:sz w:val="28"/>
                <w:szCs w:val="24"/>
              </w:rPr>
              <w:t>700</w:t>
            </w:r>
            <w:r>
              <w:rPr>
                <w:rFonts w:asciiTheme="minorEastAsia" w:hAnsiTheme="minorEastAsia" w:hint="eastAsia"/>
                <w:sz w:val="28"/>
                <w:szCs w:val="24"/>
              </w:rPr>
              <w:t>多个品种、</w:t>
            </w:r>
            <w:r>
              <w:rPr>
                <w:rFonts w:asciiTheme="minorEastAsia" w:hAnsiTheme="minorEastAsia" w:hint="eastAsia"/>
                <w:sz w:val="28"/>
                <w:szCs w:val="24"/>
              </w:rPr>
              <w:t>1100</w:t>
            </w:r>
            <w:r>
              <w:rPr>
                <w:rFonts w:asciiTheme="minorEastAsia" w:hAnsiTheme="minorEastAsia" w:hint="eastAsia"/>
                <w:sz w:val="28"/>
                <w:szCs w:val="24"/>
              </w:rPr>
              <w:t>多个品</w:t>
            </w:r>
            <w:proofErr w:type="gramStart"/>
            <w:r>
              <w:rPr>
                <w:rFonts w:asciiTheme="minorEastAsia" w:hAnsiTheme="minorEastAsia" w:hint="eastAsia"/>
                <w:sz w:val="28"/>
                <w:szCs w:val="24"/>
              </w:rPr>
              <w:t>规</w:t>
            </w:r>
            <w:proofErr w:type="gramEnd"/>
            <w:r>
              <w:rPr>
                <w:rFonts w:asciiTheme="minorEastAsia" w:hAnsiTheme="minorEastAsia" w:hint="eastAsia"/>
                <w:sz w:val="28"/>
                <w:szCs w:val="24"/>
              </w:rPr>
              <w:t>，既包括白芨、麸炒白术饮片、</w:t>
            </w:r>
            <w:proofErr w:type="gramStart"/>
            <w:r>
              <w:rPr>
                <w:rFonts w:asciiTheme="minorEastAsia" w:hAnsiTheme="minorEastAsia" w:hint="eastAsia"/>
                <w:sz w:val="28"/>
                <w:szCs w:val="24"/>
              </w:rPr>
              <w:t>炙虎掌</w:t>
            </w:r>
            <w:proofErr w:type="gramEnd"/>
            <w:r>
              <w:rPr>
                <w:rFonts w:asciiTheme="minorEastAsia" w:hAnsiTheme="minorEastAsia" w:hint="eastAsia"/>
                <w:sz w:val="28"/>
                <w:szCs w:val="24"/>
              </w:rPr>
              <w:t>南星、太子参、麸炒薏苡仁、炒栀子等普通饮片，也包含特级灵芝、野山参、石斛、白首乌等精品饮片以及百药煎、六神曲等特色发酵饮片。谢谢您对公司的关注。</w:t>
            </w:r>
          </w:p>
          <w:p w14:paraId="3DAF7BC8" w14:textId="77777777" w:rsidR="00742E65" w:rsidRDefault="00AF45D5">
            <w:pPr>
              <w:ind w:firstLineChars="200" w:firstLine="562"/>
              <w:rPr>
                <w:rFonts w:asciiTheme="minorEastAsia" w:hAnsiTheme="minorEastAsia"/>
                <w:b/>
                <w:sz w:val="28"/>
                <w:szCs w:val="24"/>
              </w:rPr>
            </w:pPr>
            <w:r>
              <w:rPr>
                <w:rFonts w:asciiTheme="minorEastAsia" w:hAnsiTheme="minorEastAsia" w:hint="eastAsia"/>
                <w:b/>
                <w:sz w:val="28"/>
                <w:szCs w:val="24"/>
              </w:rPr>
              <w:t>4.</w:t>
            </w:r>
            <w:r>
              <w:rPr>
                <w:rFonts w:asciiTheme="minorEastAsia" w:hAnsiTheme="minorEastAsia" w:hint="eastAsia"/>
                <w:b/>
                <w:sz w:val="28"/>
                <w:szCs w:val="24"/>
              </w:rPr>
              <w:t>极端气候越来越多，是否会影响公司道地药材基地建设及中药材采购，从而导致成本上升？</w:t>
            </w:r>
          </w:p>
          <w:p w14:paraId="5109B5BC" w14:textId="77777777" w:rsidR="00742E65" w:rsidRDefault="00AF45D5">
            <w:pPr>
              <w:ind w:firstLineChars="200" w:firstLine="560"/>
              <w:rPr>
                <w:rFonts w:ascii="宋体" w:eastAsia="宋体" w:hAnsi="宋体" w:cs="Times New Roman"/>
                <w:sz w:val="28"/>
                <w:szCs w:val="24"/>
                <w:lang w:bidi="ar"/>
              </w:rPr>
            </w:pPr>
            <w:r>
              <w:rPr>
                <w:rFonts w:asciiTheme="minorEastAsia" w:hAnsiTheme="minorEastAsia" w:hint="eastAsia"/>
                <w:sz w:val="28"/>
                <w:szCs w:val="24"/>
              </w:rPr>
              <w:t>答：尊敬的投资者您好！中药材价格会受气候等自然条件、种植采收周期等相关因素影响，出现阶段性波动。公司以自建和“公司</w:t>
            </w:r>
            <w:r>
              <w:rPr>
                <w:rFonts w:asciiTheme="minorEastAsia" w:hAnsiTheme="minorEastAsia" w:hint="eastAsia"/>
                <w:sz w:val="28"/>
                <w:szCs w:val="24"/>
              </w:rPr>
              <w:t>+</w:t>
            </w:r>
            <w:r>
              <w:rPr>
                <w:rFonts w:asciiTheme="minorEastAsia" w:hAnsiTheme="minorEastAsia" w:hint="eastAsia"/>
                <w:sz w:val="28"/>
                <w:szCs w:val="24"/>
              </w:rPr>
              <w:t>合作社</w:t>
            </w:r>
            <w:r>
              <w:rPr>
                <w:rFonts w:asciiTheme="minorEastAsia" w:hAnsiTheme="minorEastAsia" w:hint="eastAsia"/>
                <w:sz w:val="28"/>
                <w:szCs w:val="24"/>
              </w:rPr>
              <w:t>+</w:t>
            </w:r>
            <w:r>
              <w:rPr>
                <w:rFonts w:asciiTheme="minorEastAsia" w:hAnsiTheme="minorEastAsia" w:hint="eastAsia"/>
                <w:sz w:val="28"/>
                <w:szCs w:val="24"/>
              </w:rPr>
              <w:t>农户”共建等形式建立了</w:t>
            </w:r>
            <w:r>
              <w:rPr>
                <w:rFonts w:asciiTheme="minorEastAsia" w:hAnsiTheme="minorEastAsia" w:hint="eastAsia"/>
                <w:sz w:val="28"/>
                <w:szCs w:val="24"/>
              </w:rPr>
              <w:t>70</w:t>
            </w:r>
            <w:r>
              <w:rPr>
                <w:rFonts w:asciiTheme="minorEastAsia" w:hAnsiTheme="minorEastAsia" w:hint="eastAsia"/>
                <w:sz w:val="28"/>
                <w:szCs w:val="24"/>
              </w:rPr>
              <w:t>多个规范化中药材种（养）植基地，科学规范种植，以保障药材品质与供给，并密切关注中药材价格走势，结合中药材产地当年的气候、产量、市场价格波动情况等因素进行深入</w:t>
            </w:r>
            <w:proofErr w:type="gramStart"/>
            <w:r>
              <w:rPr>
                <w:rFonts w:asciiTheme="minorEastAsia" w:hAnsiTheme="minorEastAsia" w:hint="eastAsia"/>
                <w:sz w:val="28"/>
                <w:szCs w:val="24"/>
              </w:rPr>
              <w:t>研</w:t>
            </w:r>
            <w:proofErr w:type="gramEnd"/>
            <w:r>
              <w:rPr>
                <w:rFonts w:asciiTheme="minorEastAsia" w:hAnsiTheme="minorEastAsia" w:hint="eastAsia"/>
                <w:sz w:val="28"/>
                <w:szCs w:val="24"/>
              </w:rPr>
              <w:t>判，统筹安排确定合理库存及采购策略，合理控制采购成本。谢谢您对公司的关注！</w:t>
            </w:r>
          </w:p>
          <w:p w14:paraId="1A2BF98B" w14:textId="77777777" w:rsidR="00742E65" w:rsidRDefault="00AF45D5">
            <w:pPr>
              <w:ind w:firstLineChars="200" w:firstLine="562"/>
              <w:rPr>
                <w:rFonts w:asciiTheme="minorEastAsia" w:hAnsiTheme="minorEastAsia"/>
                <w:b/>
                <w:sz w:val="28"/>
                <w:szCs w:val="24"/>
              </w:rPr>
            </w:pPr>
            <w:r>
              <w:rPr>
                <w:rFonts w:asciiTheme="minorEastAsia" w:hAnsiTheme="minorEastAsia" w:hint="eastAsia"/>
                <w:b/>
                <w:sz w:val="28"/>
                <w:szCs w:val="24"/>
              </w:rPr>
              <w:t>5.</w:t>
            </w:r>
            <w:r>
              <w:rPr>
                <w:rFonts w:asciiTheme="minorEastAsia" w:hAnsiTheme="minorEastAsia" w:hint="eastAsia"/>
                <w:b/>
                <w:sz w:val="28"/>
                <w:szCs w:val="24"/>
              </w:rPr>
              <w:t>公司上半年业绩良好，请问公司管理层对</w:t>
            </w:r>
            <w:r>
              <w:rPr>
                <w:rFonts w:asciiTheme="minorEastAsia" w:hAnsiTheme="minorEastAsia" w:hint="eastAsia"/>
                <w:b/>
                <w:sz w:val="28"/>
                <w:szCs w:val="24"/>
              </w:rPr>
              <w:t>2024</w:t>
            </w:r>
            <w:r>
              <w:rPr>
                <w:rFonts w:asciiTheme="minorEastAsia" w:hAnsiTheme="minorEastAsia" w:hint="eastAsia"/>
                <w:b/>
                <w:sz w:val="28"/>
                <w:szCs w:val="24"/>
              </w:rPr>
              <w:t>年下半年的</w:t>
            </w:r>
            <w:r>
              <w:rPr>
                <w:rFonts w:asciiTheme="minorEastAsia" w:hAnsiTheme="minorEastAsia" w:hint="eastAsia"/>
                <w:b/>
                <w:sz w:val="28"/>
                <w:szCs w:val="24"/>
              </w:rPr>
              <w:lastRenderedPageBreak/>
              <w:t>经营业绩有怎样的预期？</w:t>
            </w:r>
          </w:p>
          <w:p w14:paraId="50A7FD06" w14:textId="77777777" w:rsidR="00742E65" w:rsidRDefault="00AF45D5">
            <w:pPr>
              <w:ind w:firstLineChars="200" w:firstLine="560"/>
              <w:rPr>
                <w:rFonts w:asciiTheme="minorEastAsia" w:hAnsiTheme="minorEastAsia"/>
                <w:sz w:val="28"/>
                <w:szCs w:val="24"/>
              </w:rPr>
            </w:pPr>
            <w:r>
              <w:rPr>
                <w:rFonts w:asciiTheme="minorEastAsia" w:hAnsiTheme="minorEastAsia" w:hint="eastAsia"/>
                <w:sz w:val="28"/>
                <w:szCs w:val="24"/>
              </w:rPr>
              <w:t>答：尊敬的投资者您好，上半年，在复杂的外部环境</w:t>
            </w:r>
            <w:r>
              <w:rPr>
                <w:rFonts w:asciiTheme="minorEastAsia" w:hAnsiTheme="minorEastAsia" w:hint="eastAsia"/>
                <w:sz w:val="28"/>
                <w:szCs w:val="24"/>
              </w:rPr>
              <w:t>和医药行业宏观环境变化的情况下，剔除上年初清热解毒类药品市场需求阶段性突增对药品制剂业务的影响外，公司主要业务板块均保持增长态势。随着健康中国建设全面推进、居民健康素养水平不断提升、人口老龄化进程加快以及医疗保健需求的不断增长，公司将持续优化产品组合与客户结构，提升品牌内涵，加强精益化管理，合理控制成本，保持公司持续高质量发展。谢谢您对公司的关注。</w:t>
            </w:r>
          </w:p>
          <w:p w14:paraId="4612C7E8" w14:textId="77777777" w:rsidR="00742E65" w:rsidRDefault="00AF45D5">
            <w:pPr>
              <w:ind w:firstLineChars="200" w:firstLine="562"/>
              <w:rPr>
                <w:rFonts w:asciiTheme="minorEastAsia" w:hAnsiTheme="minorEastAsia"/>
                <w:b/>
                <w:sz w:val="28"/>
                <w:szCs w:val="24"/>
              </w:rPr>
            </w:pPr>
            <w:r>
              <w:rPr>
                <w:rFonts w:asciiTheme="minorEastAsia" w:hAnsiTheme="minorEastAsia" w:hint="eastAsia"/>
                <w:b/>
                <w:sz w:val="28"/>
                <w:szCs w:val="24"/>
              </w:rPr>
              <w:t>6.</w:t>
            </w:r>
            <w:r>
              <w:rPr>
                <w:rFonts w:asciiTheme="minorEastAsia" w:hAnsiTheme="minorEastAsia" w:hint="eastAsia"/>
                <w:b/>
                <w:sz w:val="28"/>
                <w:szCs w:val="24"/>
              </w:rPr>
              <w:t>你们又是老字号品牌又是非遗文化，公司要利用和保护好！</w:t>
            </w:r>
          </w:p>
          <w:p w14:paraId="6FC629C8" w14:textId="77777777" w:rsidR="00742E65" w:rsidRDefault="00AF45D5">
            <w:pPr>
              <w:ind w:firstLineChars="200" w:firstLine="560"/>
              <w:rPr>
                <w:rFonts w:asciiTheme="minorEastAsia" w:hAnsiTheme="minorEastAsia"/>
                <w:sz w:val="28"/>
                <w:szCs w:val="24"/>
              </w:rPr>
            </w:pPr>
            <w:r>
              <w:rPr>
                <w:rFonts w:asciiTheme="minorEastAsia" w:hAnsiTheme="minorEastAsia" w:hint="eastAsia"/>
                <w:sz w:val="28"/>
                <w:szCs w:val="24"/>
              </w:rPr>
              <w:t>答：感谢您的意见和建议！公司全资子公司桐君堂药业是国家非物质文化遗产代表性项目“桐君传统中药文化”的传</w:t>
            </w:r>
            <w:r>
              <w:rPr>
                <w:rFonts w:asciiTheme="minorEastAsia" w:hAnsiTheme="minorEastAsia" w:hint="eastAsia"/>
                <w:sz w:val="28"/>
                <w:szCs w:val="24"/>
              </w:rPr>
              <w:t>承单位，公司“桐君堂”品牌为“中华老字号”。桐君堂生产的“药祖桐君”牌中药饮片品种规格齐全，炮制工艺规范，在江浙地区具有较高的品牌美誉度和市场占有率。公司通过“桐君堂杯全国中药材真伪鉴别大赛”等活动持续传播品牌内涵，深挖桐君</w:t>
            </w:r>
            <w:proofErr w:type="gramStart"/>
            <w:r>
              <w:rPr>
                <w:rFonts w:asciiTheme="minorEastAsia" w:hAnsiTheme="minorEastAsia" w:hint="eastAsia"/>
                <w:sz w:val="28"/>
                <w:szCs w:val="24"/>
              </w:rPr>
              <w:t>堂品牌</w:t>
            </w:r>
            <w:proofErr w:type="gramEnd"/>
            <w:r>
              <w:rPr>
                <w:rFonts w:asciiTheme="minorEastAsia" w:hAnsiTheme="minorEastAsia" w:hint="eastAsia"/>
                <w:sz w:val="28"/>
                <w:szCs w:val="24"/>
              </w:rPr>
              <w:t>价值，做好非物质文化的保护和传承；未来，公司将持续深入挖掘传统中医药在“治未病”领域的优势，开发适合大健康市场的系列产品，按照“互联网</w:t>
            </w:r>
            <w:r>
              <w:rPr>
                <w:rFonts w:asciiTheme="minorEastAsia" w:hAnsiTheme="minorEastAsia" w:hint="eastAsia"/>
                <w:sz w:val="28"/>
                <w:szCs w:val="24"/>
              </w:rPr>
              <w:t>+</w:t>
            </w:r>
            <w:r>
              <w:rPr>
                <w:rFonts w:asciiTheme="minorEastAsia" w:hAnsiTheme="minorEastAsia" w:hint="eastAsia"/>
                <w:sz w:val="28"/>
                <w:szCs w:val="24"/>
              </w:rPr>
              <w:t>”的思路，拓展消费端市场，形成新的增长点。谢谢您对公司的关注。</w:t>
            </w:r>
          </w:p>
          <w:p w14:paraId="4BD72E5F" w14:textId="77777777" w:rsidR="00742E65" w:rsidRDefault="00AF45D5">
            <w:pPr>
              <w:ind w:firstLineChars="200" w:firstLine="562"/>
              <w:rPr>
                <w:rFonts w:asciiTheme="minorEastAsia" w:hAnsiTheme="minorEastAsia"/>
                <w:b/>
                <w:sz w:val="28"/>
                <w:szCs w:val="24"/>
              </w:rPr>
            </w:pPr>
            <w:r>
              <w:rPr>
                <w:rFonts w:asciiTheme="minorEastAsia" w:hAnsiTheme="minorEastAsia" w:hint="eastAsia"/>
                <w:b/>
                <w:sz w:val="28"/>
                <w:szCs w:val="24"/>
              </w:rPr>
              <w:t>7.</w:t>
            </w:r>
            <w:r>
              <w:rPr>
                <w:rFonts w:asciiTheme="minorEastAsia" w:hAnsiTheme="minorEastAsia" w:hint="eastAsia"/>
                <w:b/>
                <w:sz w:val="28"/>
                <w:szCs w:val="24"/>
              </w:rPr>
              <w:t>公司上半年临床业务开展的情况怎么样？</w:t>
            </w:r>
            <w:r>
              <w:rPr>
                <w:rFonts w:asciiTheme="minorEastAsia" w:hAnsiTheme="minorEastAsia"/>
                <w:b/>
                <w:sz w:val="28"/>
                <w:szCs w:val="24"/>
              </w:rPr>
              <w:t xml:space="preserve"> </w:t>
            </w:r>
          </w:p>
          <w:p w14:paraId="43DCC833" w14:textId="77777777" w:rsidR="00742E65" w:rsidRDefault="00AF45D5">
            <w:pPr>
              <w:ind w:firstLineChars="200" w:firstLine="560"/>
              <w:rPr>
                <w:rFonts w:asciiTheme="minorEastAsia" w:hAnsiTheme="minorEastAsia"/>
                <w:sz w:val="28"/>
                <w:szCs w:val="24"/>
              </w:rPr>
            </w:pPr>
            <w:r>
              <w:rPr>
                <w:rFonts w:asciiTheme="minorEastAsia" w:hAnsiTheme="minorEastAsia" w:hint="eastAsia"/>
                <w:sz w:val="28"/>
                <w:szCs w:val="24"/>
              </w:rPr>
              <w:t>答：尊敬的投资者您好，临床业务方面，公</w:t>
            </w:r>
            <w:r>
              <w:rPr>
                <w:rFonts w:asciiTheme="minorEastAsia" w:hAnsiTheme="minorEastAsia" w:hint="eastAsia"/>
                <w:sz w:val="28"/>
                <w:szCs w:val="24"/>
              </w:rPr>
              <w:t>司子公司新领先加大与兰州生物、步长药业、浙江康恩贝等多家</w:t>
            </w:r>
            <w:proofErr w:type="gramStart"/>
            <w:r>
              <w:rPr>
                <w:rFonts w:asciiTheme="minorEastAsia" w:hAnsiTheme="minorEastAsia" w:hint="eastAsia"/>
                <w:sz w:val="28"/>
                <w:szCs w:val="24"/>
              </w:rPr>
              <w:t>大型药企的</w:t>
            </w:r>
            <w:proofErr w:type="gramEnd"/>
            <w:r>
              <w:rPr>
                <w:rFonts w:asciiTheme="minorEastAsia" w:hAnsiTheme="minorEastAsia" w:hint="eastAsia"/>
                <w:sz w:val="28"/>
                <w:szCs w:val="24"/>
              </w:rPr>
              <w:t>合作，临</w:t>
            </w:r>
            <w:r>
              <w:rPr>
                <w:rFonts w:asciiTheme="minorEastAsia" w:hAnsiTheme="minorEastAsia" w:hint="eastAsia"/>
                <w:sz w:val="28"/>
                <w:szCs w:val="24"/>
              </w:rPr>
              <w:lastRenderedPageBreak/>
              <w:t>床业务涉及各类靶点生物药（单抗、双抗、</w:t>
            </w:r>
            <w:r>
              <w:rPr>
                <w:rFonts w:asciiTheme="minorEastAsia" w:hAnsiTheme="minorEastAsia" w:hint="eastAsia"/>
                <w:sz w:val="28"/>
                <w:szCs w:val="24"/>
              </w:rPr>
              <w:t>ADC</w:t>
            </w:r>
            <w:r>
              <w:rPr>
                <w:rFonts w:asciiTheme="minorEastAsia" w:hAnsiTheme="minorEastAsia" w:hint="eastAsia"/>
                <w:sz w:val="28"/>
                <w:szCs w:val="24"/>
              </w:rPr>
              <w:t>等）、化药、中药、药械组合、细胞与基因治疗药物、特医食品等，特别是在</w:t>
            </w:r>
            <w:proofErr w:type="gramStart"/>
            <w:r>
              <w:rPr>
                <w:rFonts w:asciiTheme="minorEastAsia" w:hAnsiTheme="minorEastAsia" w:hint="eastAsia"/>
                <w:sz w:val="28"/>
                <w:szCs w:val="24"/>
              </w:rPr>
              <w:t>医</w:t>
            </w:r>
            <w:proofErr w:type="gramEnd"/>
            <w:r>
              <w:rPr>
                <w:rFonts w:asciiTheme="minorEastAsia" w:hAnsiTheme="minorEastAsia" w:hint="eastAsia"/>
                <w:sz w:val="28"/>
                <w:szCs w:val="24"/>
              </w:rPr>
              <w:t>美、婴儿类罕见病、流感和商业化较高的</w:t>
            </w:r>
            <w:proofErr w:type="gramStart"/>
            <w:r>
              <w:rPr>
                <w:rFonts w:asciiTheme="minorEastAsia" w:hAnsiTheme="minorEastAsia" w:hint="eastAsia"/>
                <w:sz w:val="28"/>
                <w:szCs w:val="24"/>
              </w:rPr>
              <w:t>双抗类</w:t>
            </w:r>
            <w:proofErr w:type="gramEnd"/>
            <w:r>
              <w:rPr>
                <w:rFonts w:asciiTheme="minorEastAsia" w:hAnsiTheme="minorEastAsia" w:hint="eastAsia"/>
                <w:sz w:val="28"/>
                <w:szCs w:val="24"/>
              </w:rPr>
              <w:t>产品的临床推进方面取得了较快进展。谢谢您的关注。</w:t>
            </w:r>
          </w:p>
          <w:p w14:paraId="06B130C6" w14:textId="77777777" w:rsidR="00742E65" w:rsidRDefault="00AF45D5">
            <w:pPr>
              <w:ind w:firstLineChars="200" w:firstLine="562"/>
              <w:rPr>
                <w:rFonts w:asciiTheme="minorEastAsia" w:hAnsiTheme="minorEastAsia"/>
                <w:b/>
                <w:sz w:val="28"/>
                <w:szCs w:val="24"/>
              </w:rPr>
            </w:pPr>
            <w:r>
              <w:rPr>
                <w:rFonts w:asciiTheme="minorEastAsia" w:hAnsiTheme="minorEastAsia" w:hint="eastAsia"/>
                <w:b/>
                <w:sz w:val="28"/>
                <w:szCs w:val="24"/>
              </w:rPr>
              <w:t>8.</w:t>
            </w:r>
            <w:r>
              <w:rPr>
                <w:rFonts w:hint="eastAsia"/>
              </w:rPr>
              <w:t xml:space="preserve"> </w:t>
            </w:r>
            <w:r>
              <w:rPr>
                <w:rFonts w:asciiTheme="minorEastAsia" w:hAnsiTheme="minorEastAsia" w:hint="eastAsia"/>
                <w:b/>
                <w:sz w:val="28"/>
                <w:szCs w:val="24"/>
              </w:rPr>
              <w:t>公司新产品藿香正气合剂卖的怎么样？</w:t>
            </w:r>
          </w:p>
          <w:p w14:paraId="5A61B9E1" w14:textId="77777777" w:rsidR="00742E65" w:rsidRDefault="00AF45D5">
            <w:pPr>
              <w:ind w:firstLineChars="200" w:firstLine="560"/>
              <w:rPr>
                <w:rFonts w:asciiTheme="minorEastAsia" w:hAnsiTheme="minorEastAsia"/>
                <w:sz w:val="28"/>
                <w:szCs w:val="24"/>
              </w:rPr>
            </w:pPr>
            <w:r>
              <w:rPr>
                <w:rFonts w:asciiTheme="minorEastAsia" w:hAnsiTheme="minorEastAsia" w:hint="eastAsia"/>
                <w:sz w:val="28"/>
                <w:szCs w:val="24"/>
              </w:rPr>
              <w:t>答：尊敬的投资者您好，公司通过现有营销体系铺设</w:t>
            </w:r>
            <w:r>
              <w:rPr>
                <w:rFonts w:asciiTheme="minorEastAsia" w:hAnsiTheme="minorEastAsia" w:hint="eastAsia"/>
                <w:sz w:val="28"/>
                <w:szCs w:val="24"/>
              </w:rPr>
              <w:t>2023</w:t>
            </w:r>
            <w:r>
              <w:rPr>
                <w:rFonts w:asciiTheme="minorEastAsia" w:hAnsiTheme="minorEastAsia" w:hint="eastAsia"/>
                <w:sz w:val="28"/>
                <w:szCs w:val="24"/>
              </w:rPr>
              <w:t>年新上市的藿香正气合剂和五子衍宗口服液等产品，同时加强与国内百强连锁药店的合作并持续开发终端，通过陈列宣传、互动培训等方式提升受众对公司</w:t>
            </w:r>
            <w:r>
              <w:rPr>
                <w:rFonts w:asciiTheme="minorEastAsia" w:hAnsiTheme="minorEastAsia" w:hint="eastAsia"/>
                <w:sz w:val="28"/>
                <w:szCs w:val="24"/>
              </w:rPr>
              <w:t>产品的认知度，今年上半年藿香正气合剂销量快速增长。谢谢您对公司的关注。</w:t>
            </w:r>
          </w:p>
        </w:tc>
      </w:tr>
    </w:tbl>
    <w:p w14:paraId="65E21EBB" w14:textId="77777777" w:rsidR="00742E65" w:rsidRDefault="00AF45D5">
      <w:pPr>
        <w:rPr>
          <w:b/>
          <w:sz w:val="24"/>
        </w:rPr>
      </w:pPr>
      <w:r>
        <w:rPr>
          <w:b/>
          <w:sz w:val="24"/>
        </w:rPr>
        <w:lastRenderedPageBreak/>
        <w:t>（以上活动不涉及应当披露但未披露的重大信息）</w:t>
      </w:r>
    </w:p>
    <w:sectPr w:rsidR="00742E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ZDYyNGQxODg3ZDc2MzQ4MTdiZDJkNGQ1M2EwY2IifQ=="/>
  </w:docVars>
  <w:rsids>
    <w:rsidRoot w:val="00177915"/>
    <w:rsid w:val="00005538"/>
    <w:rsid w:val="00063594"/>
    <w:rsid w:val="00080D13"/>
    <w:rsid w:val="000A600C"/>
    <w:rsid w:val="000A685A"/>
    <w:rsid w:val="000A71C8"/>
    <w:rsid w:val="000C2876"/>
    <w:rsid w:val="000D1892"/>
    <w:rsid w:val="000D363A"/>
    <w:rsid w:val="000F444F"/>
    <w:rsid w:val="00145F31"/>
    <w:rsid w:val="0015314B"/>
    <w:rsid w:val="00177915"/>
    <w:rsid w:val="001A15C0"/>
    <w:rsid w:val="001B2DBE"/>
    <w:rsid w:val="001C7AC3"/>
    <w:rsid w:val="001E7B10"/>
    <w:rsid w:val="001F27A1"/>
    <w:rsid w:val="00203094"/>
    <w:rsid w:val="002033D3"/>
    <w:rsid w:val="002153C8"/>
    <w:rsid w:val="002241F1"/>
    <w:rsid w:val="00243E0E"/>
    <w:rsid w:val="00245238"/>
    <w:rsid w:val="00250623"/>
    <w:rsid w:val="00282E31"/>
    <w:rsid w:val="002878FB"/>
    <w:rsid w:val="002A40C7"/>
    <w:rsid w:val="002B7A7E"/>
    <w:rsid w:val="002E1435"/>
    <w:rsid w:val="002E3E86"/>
    <w:rsid w:val="002F66BA"/>
    <w:rsid w:val="00320226"/>
    <w:rsid w:val="003D21CF"/>
    <w:rsid w:val="003E32FE"/>
    <w:rsid w:val="003F6576"/>
    <w:rsid w:val="00401978"/>
    <w:rsid w:val="00410562"/>
    <w:rsid w:val="00433FE9"/>
    <w:rsid w:val="004A1FE7"/>
    <w:rsid w:val="004B2878"/>
    <w:rsid w:val="00502F2E"/>
    <w:rsid w:val="0053644E"/>
    <w:rsid w:val="00540803"/>
    <w:rsid w:val="00546544"/>
    <w:rsid w:val="0057536E"/>
    <w:rsid w:val="005A44DA"/>
    <w:rsid w:val="005D323C"/>
    <w:rsid w:val="00645234"/>
    <w:rsid w:val="00695521"/>
    <w:rsid w:val="00696578"/>
    <w:rsid w:val="00697212"/>
    <w:rsid w:val="006B5244"/>
    <w:rsid w:val="006D59CB"/>
    <w:rsid w:val="006E783A"/>
    <w:rsid w:val="0070731A"/>
    <w:rsid w:val="00742E65"/>
    <w:rsid w:val="0075411E"/>
    <w:rsid w:val="0078719F"/>
    <w:rsid w:val="007928A2"/>
    <w:rsid w:val="0079294C"/>
    <w:rsid w:val="007A20DD"/>
    <w:rsid w:val="007A4728"/>
    <w:rsid w:val="007B25C4"/>
    <w:rsid w:val="007E3FB4"/>
    <w:rsid w:val="007F3B9D"/>
    <w:rsid w:val="008535FF"/>
    <w:rsid w:val="00883CDF"/>
    <w:rsid w:val="00892233"/>
    <w:rsid w:val="008A1CFF"/>
    <w:rsid w:val="008B20D1"/>
    <w:rsid w:val="008C59BD"/>
    <w:rsid w:val="008E522E"/>
    <w:rsid w:val="009143F4"/>
    <w:rsid w:val="00935D70"/>
    <w:rsid w:val="00936A80"/>
    <w:rsid w:val="00937AD0"/>
    <w:rsid w:val="009C5CEF"/>
    <w:rsid w:val="009D651C"/>
    <w:rsid w:val="00A1439D"/>
    <w:rsid w:val="00AF45D5"/>
    <w:rsid w:val="00B039C2"/>
    <w:rsid w:val="00B073C9"/>
    <w:rsid w:val="00B3269E"/>
    <w:rsid w:val="00B5592E"/>
    <w:rsid w:val="00B67CFE"/>
    <w:rsid w:val="00B92CD3"/>
    <w:rsid w:val="00BA3E0D"/>
    <w:rsid w:val="00BF5C1B"/>
    <w:rsid w:val="00C06D08"/>
    <w:rsid w:val="00C167CF"/>
    <w:rsid w:val="00C47C5B"/>
    <w:rsid w:val="00C76C15"/>
    <w:rsid w:val="00CD0E4E"/>
    <w:rsid w:val="00CE6018"/>
    <w:rsid w:val="00D214C2"/>
    <w:rsid w:val="00D24239"/>
    <w:rsid w:val="00D34F77"/>
    <w:rsid w:val="00D76AE9"/>
    <w:rsid w:val="00D96751"/>
    <w:rsid w:val="00DA30C3"/>
    <w:rsid w:val="00E013E0"/>
    <w:rsid w:val="00E0699E"/>
    <w:rsid w:val="00E34D63"/>
    <w:rsid w:val="00E40C46"/>
    <w:rsid w:val="00E67207"/>
    <w:rsid w:val="00E726C1"/>
    <w:rsid w:val="00E82D67"/>
    <w:rsid w:val="00E8704C"/>
    <w:rsid w:val="00E93718"/>
    <w:rsid w:val="00EC5D47"/>
    <w:rsid w:val="00F32F59"/>
    <w:rsid w:val="00F87C30"/>
    <w:rsid w:val="00F97D94"/>
    <w:rsid w:val="00FC0E79"/>
    <w:rsid w:val="00FD69F7"/>
    <w:rsid w:val="00FF2E19"/>
    <w:rsid w:val="07FE2B6F"/>
    <w:rsid w:val="0D5C34E4"/>
    <w:rsid w:val="0ED91C40"/>
    <w:rsid w:val="1BD73D96"/>
    <w:rsid w:val="27870033"/>
    <w:rsid w:val="317123F7"/>
    <w:rsid w:val="369912A3"/>
    <w:rsid w:val="3D6360E5"/>
    <w:rsid w:val="3ECB7CDF"/>
    <w:rsid w:val="418C651A"/>
    <w:rsid w:val="41D41C6F"/>
    <w:rsid w:val="43B27BD4"/>
    <w:rsid w:val="44A71A4C"/>
    <w:rsid w:val="45196317"/>
    <w:rsid w:val="4A993A56"/>
    <w:rsid w:val="4F351F9F"/>
    <w:rsid w:val="599455E1"/>
    <w:rsid w:val="62E643D8"/>
    <w:rsid w:val="7427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B821F-0229-43C5-9319-B4474A09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Pr>
      <w:sz w:val="21"/>
      <w:szCs w:val="21"/>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b">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rPr>
      <w:rFonts w:asciiTheme="minorHAnsi" w:eastAsiaTheme="minorEastAsia" w:hAnsiTheme="minorHAnsi" w:cstheme="minorBidi"/>
      <w:b/>
      <w:bCs/>
      <w:kern w:val="2"/>
      <w:sz w:val="21"/>
      <w:szCs w:val="22"/>
    </w:rPr>
  </w:style>
  <w:style w:type="paragraph" w:customStyle="1" w:styleId="1">
    <w:name w:val="修订1"/>
    <w:hidden/>
    <w:uiPriority w:val="99"/>
    <w:semiHidden/>
    <w:rPr>
      <w:rFonts w:asciiTheme="minorHAnsi" w:eastAsiaTheme="minorEastAsia" w:hAnsiTheme="minorHAnsi" w:cstheme="minorBidi"/>
      <w:kern w:val="2"/>
      <w:sz w:val="21"/>
      <w:szCs w:val="22"/>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character" w:customStyle="1" w:styleId="highlight">
    <w:name w:val="highligh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1382</TotalTime>
  <Pages>5</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Microsoft 帐户</cp:lastModifiedBy>
  <cp:revision>81</cp:revision>
  <dcterms:created xsi:type="dcterms:W3CDTF">2024-04-29T07:48:00Z</dcterms:created>
  <dcterms:modified xsi:type="dcterms:W3CDTF">2024-10-08T09:06:00Z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A11501BEAD4C4D078DE53B52E7CF7548_12</vt:lpwstr>
  </property>
</Properties>
</file>