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FEA3B">
      <w:pPr>
        <w:pStyle w:val="3"/>
        <w:tabs>
          <w:tab w:val="left" w:pos="6101"/>
        </w:tabs>
        <w:spacing w:line="360" w:lineRule="auto"/>
        <w:jc w:val="left"/>
      </w:pPr>
      <w:r>
        <w:t>证券代码：</w:t>
      </w:r>
      <w:r>
        <w:rPr>
          <w:rFonts w:ascii="Times New Roman" w:eastAsia="Times New Roman"/>
          <w:spacing w:val="-2"/>
        </w:rPr>
        <w:t>601033</w:t>
      </w:r>
      <w:r>
        <w:rPr>
          <w:rFonts w:hint="eastAsia" w:ascii="Times New Roman"/>
        </w:rPr>
        <w:t xml:space="preserve">      </w:t>
      </w:r>
      <w:r>
        <w:rPr>
          <w:rFonts w:hint="eastAsia" w:ascii="Times New Roman"/>
          <w:lang w:val="en-US" w:eastAsia="zh-CN"/>
        </w:rPr>
        <w:t xml:space="preserve">                                    </w:t>
      </w:r>
      <w:r>
        <w:t>证券简称：</w:t>
      </w:r>
      <w:r>
        <w:rPr>
          <w:rFonts w:hint="eastAsia"/>
        </w:rPr>
        <w:t>永兴股份</w:t>
      </w:r>
    </w:p>
    <w:p w14:paraId="63D52E2F">
      <w:pPr>
        <w:pStyle w:val="7"/>
        <w:keepNext w:val="0"/>
        <w:keepLines w:val="0"/>
        <w:pageBreakBefore w:val="0"/>
        <w:widowControl w:val="0"/>
        <w:kinsoku/>
        <w:wordWrap/>
        <w:overflowPunct/>
        <w:topLinePunct w:val="0"/>
        <w:autoSpaceDE w:val="0"/>
        <w:autoSpaceDN w:val="0"/>
        <w:bidi w:val="0"/>
        <w:adjustRightInd/>
        <w:snapToGrid/>
        <w:spacing w:before="0" w:beforeLines="150" w:after="240" w:afterLines="100" w:line="240" w:lineRule="auto"/>
        <w:ind w:left="0" w:right="0"/>
        <w:textAlignment w:val="auto"/>
        <w:rPr>
          <w:rFonts w:asciiTheme="majorEastAsia" w:hAnsiTheme="majorEastAsia" w:eastAsiaTheme="majorEastAsia"/>
          <w:spacing w:val="-2"/>
        </w:rPr>
      </w:pPr>
      <w:r>
        <w:rPr>
          <w:rFonts w:hint="eastAsia" w:asciiTheme="majorEastAsia" w:hAnsiTheme="majorEastAsia" w:eastAsiaTheme="majorEastAsia"/>
          <w:spacing w:val="-2"/>
        </w:rPr>
        <w:t>广州环投永兴集团</w:t>
      </w:r>
      <w:r>
        <w:rPr>
          <w:rFonts w:asciiTheme="majorEastAsia" w:hAnsiTheme="majorEastAsia" w:eastAsiaTheme="majorEastAsia"/>
          <w:spacing w:val="-2"/>
        </w:rPr>
        <w:t>股份有限公司</w:t>
      </w:r>
    </w:p>
    <w:p w14:paraId="536DBE9E">
      <w:pPr>
        <w:pStyle w:val="7"/>
        <w:keepNext w:val="0"/>
        <w:keepLines w:val="0"/>
        <w:pageBreakBefore w:val="0"/>
        <w:widowControl w:val="0"/>
        <w:kinsoku/>
        <w:wordWrap/>
        <w:overflowPunct/>
        <w:topLinePunct w:val="0"/>
        <w:autoSpaceDE w:val="0"/>
        <w:autoSpaceDN w:val="0"/>
        <w:bidi w:val="0"/>
        <w:adjustRightInd/>
        <w:snapToGrid/>
        <w:spacing w:before="240" w:beforeLines="100" w:after="240" w:afterLines="100" w:line="240" w:lineRule="auto"/>
        <w:ind w:left="0" w:right="0"/>
        <w:textAlignment w:val="auto"/>
        <w:rPr>
          <w:rFonts w:asciiTheme="majorEastAsia" w:hAnsiTheme="majorEastAsia" w:eastAsiaTheme="majorEastAsia"/>
          <w:spacing w:val="-2"/>
        </w:rPr>
      </w:pPr>
      <w:r>
        <w:rPr>
          <w:rFonts w:asciiTheme="majorEastAsia" w:hAnsiTheme="majorEastAsia" w:eastAsiaTheme="majorEastAsia"/>
          <w:spacing w:val="-2"/>
        </w:rPr>
        <w:t>投资者关系活动记录表</w:t>
      </w:r>
    </w:p>
    <w:p w14:paraId="6A560D05">
      <w:pPr>
        <w:pStyle w:val="7"/>
        <w:keepNext w:val="0"/>
        <w:keepLines w:val="0"/>
        <w:pageBreakBefore w:val="0"/>
        <w:widowControl w:val="0"/>
        <w:kinsoku/>
        <w:wordWrap/>
        <w:overflowPunct/>
        <w:topLinePunct w:val="0"/>
        <w:autoSpaceDE w:val="0"/>
        <w:autoSpaceDN w:val="0"/>
        <w:bidi w:val="0"/>
        <w:adjustRightInd/>
        <w:snapToGrid/>
        <w:spacing w:before="240" w:beforeLines="100" w:after="0" w:afterLines="150" w:line="240" w:lineRule="auto"/>
        <w:ind w:left="0" w:right="0"/>
        <w:textAlignment w:val="auto"/>
        <w:rPr>
          <w:rFonts w:hint="default" w:asciiTheme="majorEastAsia" w:hAnsiTheme="majorEastAsia" w:eastAsiaTheme="majorEastAsia"/>
          <w:spacing w:val="-2"/>
          <w:lang w:val="en-US" w:eastAsia="zh-CN"/>
        </w:rPr>
      </w:pPr>
      <w:r>
        <w:rPr>
          <w:rFonts w:hint="eastAsia" w:asciiTheme="majorEastAsia" w:hAnsiTheme="majorEastAsia" w:eastAsiaTheme="majorEastAsia"/>
          <w:spacing w:val="-2"/>
          <w:lang w:eastAsia="zh-CN"/>
        </w:rPr>
        <w:t>（</w:t>
      </w:r>
      <w:r>
        <w:rPr>
          <w:rFonts w:hint="eastAsia" w:asciiTheme="majorEastAsia" w:hAnsiTheme="majorEastAsia" w:eastAsiaTheme="majorEastAsia"/>
          <w:spacing w:val="-2"/>
          <w:lang w:val="en-US" w:eastAsia="zh-CN"/>
        </w:rPr>
        <w:t>2024年9月）</w:t>
      </w:r>
    </w:p>
    <w:tbl>
      <w:tblPr>
        <w:tblStyle w:val="10"/>
        <w:tblW w:w="91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5"/>
        <w:gridCol w:w="7293"/>
      </w:tblGrid>
      <w:tr w14:paraId="1EEF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905" w:type="dxa"/>
            <w:vAlign w:val="center"/>
          </w:tcPr>
          <w:p w14:paraId="69416E82">
            <w:pPr>
              <w:pStyle w:val="12"/>
              <w:spacing w:line="360" w:lineRule="auto"/>
              <w:ind w:left="0"/>
              <w:jc w:val="center"/>
              <w:rPr>
                <w:rFonts w:hint="default" w:ascii="Times New Roman" w:hAnsi="Times New Roman" w:eastAsia="宋体" w:cs="Times New Roman"/>
                <w:b/>
                <w:bCs/>
                <w:sz w:val="24"/>
              </w:rPr>
            </w:pPr>
            <w:r>
              <w:rPr>
                <w:rFonts w:hint="default" w:ascii="Times New Roman" w:hAnsi="Times New Roman" w:eastAsia="宋体" w:cs="Times New Roman"/>
                <w:b/>
                <w:bCs/>
                <w:spacing w:val="-2"/>
                <w:sz w:val="24"/>
              </w:rPr>
              <w:t>投资者关系活动</w:t>
            </w:r>
            <w:r>
              <w:rPr>
                <w:rFonts w:hint="default" w:ascii="Times New Roman" w:hAnsi="Times New Roman" w:eastAsia="宋体" w:cs="Times New Roman"/>
                <w:b/>
                <w:bCs/>
                <w:spacing w:val="-6"/>
                <w:sz w:val="24"/>
              </w:rPr>
              <w:t>类别</w:t>
            </w:r>
          </w:p>
        </w:tc>
        <w:tc>
          <w:tcPr>
            <w:tcW w:w="7293" w:type="dxa"/>
            <w:vAlign w:val="center"/>
          </w:tcPr>
          <w:p w14:paraId="32114CEC">
            <w:pPr>
              <w:pStyle w:val="12"/>
              <w:keepNext w:val="0"/>
              <w:keepLines w:val="0"/>
              <w:pageBreakBefore w:val="0"/>
              <w:widowControl w:val="0"/>
              <w:tabs>
                <w:tab w:val="left" w:pos="2868"/>
              </w:tabs>
              <w:kinsoku/>
              <w:wordWrap/>
              <w:overflowPunct/>
              <w:topLinePunct w:val="0"/>
              <w:autoSpaceDE w:val="0"/>
              <w:autoSpaceDN w:val="0"/>
              <w:bidi w:val="0"/>
              <w:adjustRightInd/>
              <w:snapToGrid/>
              <w:spacing w:before="0" w:beforeLines="50" w:line="360" w:lineRule="auto"/>
              <w:ind w:left="0"/>
              <w:jc w:val="both"/>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特定对象调</w:t>
            </w:r>
            <w:r>
              <w:rPr>
                <w:rFonts w:hint="default" w:ascii="Times New Roman" w:hAnsi="Times New Roman" w:eastAsia="宋体" w:cs="Times New Roman"/>
                <w:spacing w:val="-10"/>
                <w:sz w:val="24"/>
              </w:rPr>
              <w:t>研</w:t>
            </w:r>
            <w:r>
              <w:rPr>
                <w:rFonts w:hint="default" w:ascii="Times New Roman" w:hAnsi="Times New Roman" w:eastAsia="宋体" w:cs="Times New Roman"/>
                <w:sz w:val="24"/>
              </w:rPr>
              <w:tab/>
            </w:r>
            <w:r>
              <w:rPr>
                <w:rFonts w:hint="default" w:ascii="Times New Roman" w:hAnsi="Times New Roman" w:eastAsia="宋体" w:cs="Times New Roman"/>
                <w:sz w:val="24"/>
              </w:rPr>
              <w:t>□ 分析师会</w:t>
            </w:r>
            <w:r>
              <w:rPr>
                <w:rFonts w:hint="default" w:ascii="Times New Roman" w:hAnsi="Times New Roman" w:eastAsia="宋体" w:cs="Times New Roman"/>
                <w:spacing w:val="-10"/>
                <w:sz w:val="24"/>
              </w:rPr>
              <w:t>议</w:t>
            </w:r>
          </w:p>
          <w:p w14:paraId="096E4E51">
            <w:pPr>
              <w:pStyle w:val="12"/>
              <w:tabs>
                <w:tab w:val="left" w:pos="2868"/>
              </w:tabs>
              <w:spacing w:line="360" w:lineRule="auto"/>
              <w:ind w:left="0"/>
              <w:jc w:val="both"/>
              <w:rPr>
                <w:rFonts w:hint="default" w:ascii="Times New Roman" w:hAnsi="Times New Roman" w:eastAsia="宋体" w:cs="Times New Roman"/>
                <w:sz w:val="24"/>
              </w:rPr>
            </w:pPr>
            <w:r>
              <w:rPr>
                <w:rFonts w:hint="default" w:ascii="Times New Roman" w:hAnsi="Times New Roman" w:eastAsia="宋体" w:cs="Times New Roman"/>
                <w:sz w:val="24"/>
              </w:rPr>
              <w:t>□ 媒体采</w:t>
            </w:r>
            <w:r>
              <w:rPr>
                <w:rFonts w:hint="default" w:ascii="Times New Roman" w:hAnsi="Times New Roman" w:eastAsia="宋体" w:cs="Times New Roman"/>
                <w:spacing w:val="-10"/>
                <w:sz w:val="24"/>
              </w:rPr>
              <w:t>访</w:t>
            </w:r>
            <w:r>
              <w:rPr>
                <w:rFonts w:hint="default" w:ascii="Times New Roman" w:hAnsi="Times New Roman" w:eastAsia="宋体" w:cs="Times New Roman"/>
                <w:sz w:val="24"/>
              </w:rPr>
              <w:tab/>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业绩说明</w:t>
            </w:r>
            <w:r>
              <w:rPr>
                <w:rFonts w:hint="default" w:ascii="Times New Roman" w:hAnsi="Times New Roman" w:eastAsia="宋体" w:cs="Times New Roman"/>
                <w:spacing w:val="-10"/>
                <w:sz w:val="24"/>
              </w:rPr>
              <w:t>会</w:t>
            </w:r>
          </w:p>
          <w:p w14:paraId="57C47536">
            <w:pPr>
              <w:pStyle w:val="12"/>
              <w:tabs>
                <w:tab w:val="left" w:pos="2868"/>
              </w:tabs>
              <w:spacing w:line="360" w:lineRule="auto"/>
              <w:ind w:left="0"/>
              <w:jc w:val="both"/>
              <w:rPr>
                <w:rFonts w:hint="default" w:ascii="Times New Roman" w:hAnsi="Times New Roman" w:eastAsia="宋体" w:cs="Times New Roman"/>
                <w:spacing w:val="-10"/>
                <w:sz w:val="24"/>
              </w:rPr>
            </w:pPr>
            <w:r>
              <w:rPr>
                <w:rFonts w:hint="default" w:ascii="Times New Roman" w:hAnsi="Times New Roman" w:eastAsia="宋体" w:cs="Times New Roman"/>
                <w:sz w:val="24"/>
              </w:rPr>
              <w:t>□ 新闻发布</w:t>
            </w:r>
            <w:r>
              <w:rPr>
                <w:rFonts w:hint="default" w:ascii="Times New Roman" w:hAnsi="Times New Roman" w:eastAsia="宋体" w:cs="Times New Roman"/>
                <w:spacing w:val="-10"/>
                <w:sz w:val="24"/>
              </w:rPr>
              <w:t>会</w:t>
            </w:r>
            <w:r>
              <w:rPr>
                <w:rFonts w:hint="default" w:ascii="Times New Roman" w:hAnsi="Times New Roman" w:eastAsia="宋体" w:cs="Times New Roman"/>
                <w:sz w:val="24"/>
              </w:rPr>
              <w:tab/>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路演活</w:t>
            </w:r>
            <w:r>
              <w:rPr>
                <w:rFonts w:hint="default" w:ascii="Times New Roman" w:hAnsi="Times New Roman" w:eastAsia="宋体" w:cs="Times New Roman"/>
                <w:spacing w:val="-10"/>
                <w:sz w:val="24"/>
              </w:rPr>
              <w:t>动</w:t>
            </w:r>
          </w:p>
          <w:p w14:paraId="27EBAB5B">
            <w:pPr>
              <w:pStyle w:val="12"/>
              <w:tabs>
                <w:tab w:val="left" w:pos="2868"/>
              </w:tabs>
              <w:spacing w:line="360" w:lineRule="auto"/>
              <w:ind w:left="0"/>
              <w:jc w:val="both"/>
              <w:rPr>
                <w:rFonts w:hint="default" w:ascii="Times New Roman" w:hAnsi="Times New Roman" w:eastAsia="宋体" w:cs="Times New Roman"/>
                <w:sz w:val="24"/>
              </w:rPr>
            </w:pP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现场参观</w:t>
            </w:r>
            <w:r>
              <w:rPr>
                <w:rFonts w:hint="default" w:ascii="Times New Roman" w:hAnsi="Times New Roman" w:eastAsia="宋体" w:cs="Times New Roman"/>
                <w:sz w:val="24"/>
              </w:rPr>
              <w:tab/>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其他</w:t>
            </w:r>
          </w:p>
        </w:tc>
      </w:tr>
      <w:tr w14:paraId="1FF2A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905" w:type="dxa"/>
            <w:vAlign w:val="center"/>
          </w:tcPr>
          <w:p w14:paraId="69C6A145">
            <w:pPr>
              <w:pStyle w:val="12"/>
              <w:spacing w:line="240" w:lineRule="auto"/>
              <w:ind w:left="0"/>
              <w:jc w:val="center"/>
              <w:rPr>
                <w:rFonts w:hint="default" w:ascii="Times New Roman" w:hAnsi="Times New Roman" w:eastAsia="宋体" w:cs="Times New Roman"/>
                <w:spacing w:val="-2"/>
                <w:sz w:val="24"/>
              </w:rPr>
            </w:pPr>
            <w:r>
              <w:rPr>
                <w:rFonts w:hint="default" w:ascii="Times New Roman" w:hAnsi="Times New Roman" w:eastAsia="宋体" w:cs="Times New Roman"/>
                <w:b/>
                <w:bCs/>
                <w:spacing w:val="-2"/>
                <w:sz w:val="24"/>
              </w:rPr>
              <w:t>形式</w:t>
            </w:r>
          </w:p>
        </w:tc>
        <w:tc>
          <w:tcPr>
            <w:tcW w:w="7293" w:type="dxa"/>
            <w:vAlign w:val="center"/>
          </w:tcPr>
          <w:p w14:paraId="358625F1">
            <w:pPr>
              <w:pStyle w:val="12"/>
              <w:spacing w:line="240" w:lineRule="auto"/>
              <w:ind w:left="0"/>
              <w:jc w:val="both"/>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现场会议        </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 xml:space="preserve"> 网上       □电话会议</w:t>
            </w:r>
          </w:p>
        </w:tc>
      </w:tr>
      <w:tr w14:paraId="38FF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905" w:type="dxa"/>
            <w:vAlign w:val="center"/>
          </w:tcPr>
          <w:p w14:paraId="6E5D237D">
            <w:pPr>
              <w:pStyle w:val="12"/>
              <w:spacing w:before="120" w:beforeLines="50" w:line="360" w:lineRule="auto"/>
              <w:ind w:left="0"/>
              <w:jc w:val="center"/>
              <w:rPr>
                <w:rFonts w:hint="default" w:ascii="Times New Roman" w:hAnsi="Times New Roman" w:eastAsia="宋体" w:cs="Times New Roman"/>
                <w:b/>
                <w:bCs/>
                <w:spacing w:val="-2"/>
                <w:sz w:val="24"/>
                <w:lang w:val="en-US" w:eastAsia="zh-CN"/>
              </w:rPr>
            </w:pPr>
            <w:r>
              <w:rPr>
                <w:rFonts w:hint="default" w:ascii="Times New Roman" w:hAnsi="Times New Roman" w:eastAsia="宋体" w:cs="Times New Roman"/>
                <w:b/>
                <w:bCs/>
                <w:spacing w:val="-2"/>
                <w:sz w:val="24"/>
                <w:lang w:val="en-US" w:eastAsia="zh-CN"/>
              </w:rPr>
              <w:t>时间</w:t>
            </w:r>
          </w:p>
        </w:tc>
        <w:tc>
          <w:tcPr>
            <w:tcW w:w="7293" w:type="dxa"/>
            <w:vAlign w:val="center"/>
          </w:tcPr>
          <w:p w14:paraId="0DB700CF">
            <w:pPr>
              <w:pStyle w:val="12"/>
              <w:keepNext w:val="0"/>
              <w:keepLines w:val="0"/>
              <w:pageBreakBefore w:val="0"/>
              <w:widowControl w:val="0"/>
              <w:kinsoku/>
              <w:wordWrap/>
              <w:overflowPunct/>
              <w:topLinePunct w:val="0"/>
              <w:autoSpaceDE w:val="0"/>
              <w:autoSpaceDN w:val="0"/>
              <w:bidi w:val="0"/>
              <w:adjustRightInd/>
              <w:snapToGrid/>
              <w:spacing w:before="0" w:beforeLines="50" w:line="360" w:lineRule="auto"/>
              <w:ind w:left="0"/>
              <w:jc w:val="both"/>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2024年9月11日下午14:30-16:30    特定对象调研</w:t>
            </w:r>
          </w:p>
          <w:p w14:paraId="1880BD81">
            <w:pPr>
              <w:pStyle w:val="12"/>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2024年9月12日下午14:30-16:30    投资者网上集体接待日</w:t>
            </w:r>
          </w:p>
          <w:p w14:paraId="65717934">
            <w:pPr>
              <w:pStyle w:val="12"/>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2024年9月18日下午15:00-16:30    特定对象调研</w:t>
            </w:r>
          </w:p>
          <w:p w14:paraId="6F232DF0">
            <w:pPr>
              <w:pStyle w:val="12"/>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2024年9月19日上午11:00-12:00    2024年半年度业绩说明会</w:t>
            </w:r>
          </w:p>
        </w:tc>
      </w:tr>
      <w:tr w14:paraId="72A1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905" w:type="dxa"/>
            <w:vAlign w:val="center"/>
          </w:tcPr>
          <w:p w14:paraId="231964C9">
            <w:pPr>
              <w:pStyle w:val="12"/>
              <w:spacing w:before="120" w:beforeLines="50" w:line="360" w:lineRule="auto"/>
              <w:ind w:left="0"/>
              <w:jc w:val="center"/>
              <w:rPr>
                <w:rFonts w:hint="default" w:ascii="Times New Roman" w:hAnsi="Times New Roman" w:eastAsia="宋体" w:cs="Times New Roman"/>
                <w:b/>
                <w:bCs/>
                <w:spacing w:val="-2"/>
                <w:sz w:val="24"/>
                <w:lang w:val="en-US" w:eastAsia="zh-CN"/>
              </w:rPr>
            </w:pPr>
            <w:r>
              <w:rPr>
                <w:rFonts w:hint="default" w:ascii="Times New Roman" w:hAnsi="Times New Roman" w:eastAsia="宋体" w:cs="Times New Roman"/>
                <w:b/>
                <w:bCs/>
                <w:spacing w:val="-2"/>
                <w:sz w:val="24"/>
              </w:rPr>
              <w:t>参与单位名称</w:t>
            </w:r>
          </w:p>
        </w:tc>
        <w:tc>
          <w:tcPr>
            <w:tcW w:w="7293" w:type="dxa"/>
            <w:vAlign w:val="center"/>
          </w:tcPr>
          <w:p w14:paraId="473D07CF">
            <w:pPr>
              <w:pStyle w:val="12"/>
              <w:keepNext w:val="0"/>
              <w:keepLines w:val="0"/>
              <w:pageBreakBefore w:val="0"/>
              <w:widowControl w:val="0"/>
              <w:kinsoku/>
              <w:wordWrap/>
              <w:overflowPunct/>
              <w:topLinePunct w:val="0"/>
              <w:autoSpaceDE w:val="0"/>
              <w:autoSpaceDN w:val="0"/>
              <w:bidi w:val="0"/>
              <w:adjustRightInd/>
              <w:snapToGrid/>
              <w:spacing w:before="0" w:beforeLines="50" w:line="360" w:lineRule="auto"/>
              <w:ind w:left="0"/>
              <w:jc w:val="both"/>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pacing w:val="-2"/>
                <w:sz w:val="24"/>
                <w:lang w:val="en-US" w:eastAsia="zh-CN"/>
              </w:rPr>
              <w:t>华安基金、海辉基金、泓德基金、财通资管、长江证券、建信养老、永赢基金、华福证券、申万宏源、华泰证券、广发自营、太平资产、摩根基金、中信证券、人保养老、安信基金、网上投资者</w:t>
            </w:r>
          </w:p>
        </w:tc>
      </w:tr>
      <w:tr w14:paraId="17CD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05" w:type="dxa"/>
            <w:vAlign w:val="center"/>
          </w:tcPr>
          <w:p w14:paraId="3DD47D41">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default" w:ascii="Times New Roman" w:hAnsi="Times New Roman" w:eastAsia="宋体" w:cs="Times New Roman"/>
                <w:b/>
                <w:bCs/>
                <w:spacing w:val="-2"/>
                <w:sz w:val="24"/>
              </w:rPr>
            </w:pPr>
            <w:r>
              <w:rPr>
                <w:rFonts w:hint="default" w:ascii="Times New Roman" w:hAnsi="Times New Roman" w:eastAsia="宋体" w:cs="Times New Roman"/>
                <w:b/>
                <w:bCs/>
                <w:spacing w:val="-2"/>
                <w:sz w:val="24"/>
              </w:rPr>
              <w:t>地点</w:t>
            </w:r>
          </w:p>
        </w:tc>
        <w:tc>
          <w:tcPr>
            <w:tcW w:w="7293" w:type="dxa"/>
            <w:vAlign w:val="center"/>
          </w:tcPr>
          <w:p w14:paraId="76276A5B">
            <w:pPr>
              <w:pStyle w:val="12"/>
              <w:spacing w:line="240" w:lineRule="auto"/>
              <w:ind w:left="0"/>
              <w:jc w:val="both"/>
              <w:rPr>
                <w:rFonts w:hint="default" w:ascii="Times New Roman" w:hAnsi="Times New Roman" w:eastAsia="宋体" w:cs="Times New Roman"/>
                <w:spacing w:val="-2"/>
                <w:sz w:val="24"/>
                <w:lang w:val="en-US" w:eastAsia="zh-CN"/>
              </w:rPr>
            </w:pPr>
            <w:r>
              <w:rPr>
                <w:rFonts w:hint="default" w:ascii="Times New Roman" w:hAnsi="Times New Roman" w:eastAsia="宋体" w:cs="Times New Roman"/>
                <w:spacing w:val="-2"/>
                <w:sz w:val="24"/>
              </w:rPr>
              <w:t>公司会议室</w:t>
            </w:r>
            <w:r>
              <w:rPr>
                <w:rFonts w:hint="default" w:ascii="Times New Roman" w:hAnsi="Times New Roman" w:eastAsia="宋体" w:cs="Times New Roman"/>
                <w:spacing w:val="-2"/>
                <w:sz w:val="24"/>
                <w:lang w:eastAsia="zh-CN"/>
              </w:rPr>
              <w:t>、</w:t>
            </w:r>
            <w:r>
              <w:rPr>
                <w:rFonts w:hint="default" w:ascii="Times New Roman" w:hAnsi="Times New Roman" w:eastAsia="宋体" w:cs="Times New Roman"/>
                <w:spacing w:val="-2"/>
                <w:sz w:val="24"/>
                <w:lang w:val="en-US" w:eastAsia="zh-CN"/>
              </w:rPr>
              <w:t>全景网、上证路演中心</w:t>
            </w:r>
          </w:p>
        </w:tc>
      </w:tr>
      <w:tr w14:paraId="3401F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1905" w:type="dxa"/>
            <w:vAlign w:val="center"/>
          </w:tcPr>
          <w:p w14:paraId="2AB60C6A">
            <w:pPr>
              <w:pStyle w:val="12"/>
              <w:spacing w:before="120" w:beforeLines="50" w:line="360" w:lineRule="auto"/>
              <w:ind w:left="0"/>
              <w:jc w:val="center"/>
              <w:rPr>
                <w:rFonts w:hint="default" w:ascii="Times New Roman" w:hAnsi="Times New Roman" w:eastAsia="宋体" w:cs="Times New Roman"/>
                <w:b/>
                <w:bCs/>
                <w:spacing w:val="-2"/>
                <w:sz w:val="24"/>
              </w:rPr>
            </w:pPr>
            <w:r>
              <w:rPr>
                <w:rFonts w:hint="default" w:ascii="Times New Roman" w:hAnsi="Times New Roman" w:eastAsia="宋体" w:cs="Times New Roman"/>
                <w:b/>
                <w:bCs/>
                <w:spacing w:val="-2"/>
                <w:sz w:val="24"/>
              </w:rPr>
              <w:t>上市公司接待人员</w:t>
            </w:r>
          </w:p>
        </w:tc>
        <w:tc>
          <w:tcPr>
            <w:tcW w:w="7293" w:type="dxa"/>
            <w:vAlign w:val="center"/>
          </w:tcPr>
          <w:p w14:paraId="3F584166">
            <w:pPr>
              <w:pStyle w:val="12"/>
              <w:keepNext w:val="0"/>
              <w:keepLines w:val="0"/>
              <w:pageBreakBefore w:val="0"/>
              <w:widowControl w:val="0"/>
              <w:numPr>
                <w:ilvl w:val="0"/>
                <w:numId w:val="0"/>
              </w:numPr>
              <w:kinsoku/>
              <w:wordWrap/>
              <w:overflowPunct/>
              <w:topLinePunct w:val="0"/>
              <w:autoSpaceDE w:val="0"/>
              <w:autoSpaceDN w:val="0"/>
              <w:bidi w:val="0"/>
              <w:adjustRightInd/>
              <w:snapToGrid w:val="0"/>
              <w:spacing w:before="0" w:beforeLines="50" w:line="360" w:lineRule="auto"/>
              <w:ind w:left="0" w:leftChars="0" w:firstLine="0" w:firstLineChars="0"/>
              <w:jc w:val="both"/>
              <w:textAlignment w:val="auto"/>
              <w:rPr>
                <w:rFonts w:hint="default" w:ascii="Times New Roman" w:hAnsi="Times New Roman" w:eastAsia="宋体" w:cs="Times New Roman"/>
                <w:spacing w:val="-2"/>
                <w:sz w:val="24"/>
                <w:lang w:val="en-US" w:eastAsia="zh-CN"/>
              </w:rPr>
            </w:pPr>
            <w:r>
              <w:rPr>
                <w:rFonts w:hint="default" w:ascii="Times New Roman" w:hAnsi="Times New Roman" w:eastAsia="宋体" w:cs="Times New Roman"/>
                <w:spacing w:val="-2"/>
                <w:sz w:val="24"/>
                <w:lang w:val="en-US" w:eastAsia="zh-CN"/>
              </w:rPr>
              <w:t>董事长：李水江</w:t>
            </w:r>
            <w:r>
              <w:rPr>
                <w:rFonts w:hint="eastAsia" w:ascii="Times New Roman" w:hAnsi="Times New Roman" w:eastAsia="宋体" w:cs="Times New Roman"/>
                <w:spacing w:val="-2"/>
                <w:sz w:val="24"/>
                <w:lang w:val="en-US" w:eastAsia="zh-CN"/>
              </w:rPr>
              <w:t>，</w:t>
            </w:r>
            <w:r>
              <w:rPr>
                <w:rFonts w:hint="default" w:ascii="Times New Roman" w:hAnsi="Times New Roman" w:eastAsia="宋体" w:cs="Times New Roman"/>
                <w:spacing w:val="-2"/>
                <w:sz w:val="24"/>
                <w:lang w:val="en-US" w:eastAsia="zh-CN"/>
              </w:rPr>
              <w:t>董事、总经理：谈强</w:t>
            </w:r>
            <w:r>
              <w:rPr>
                <w:rFonts w:hint="eastAsia" w:ascii="Times New Roman" w:hAnsi="Times New Roman" w:eastAsia="宋体" w:cs="Times New Roman"/>
                <w:spacing w:val="-2"/>
                <w:sz w:val="24"/>
                <w:lang w:val="en-US" w:eastAsia="zh-CN"/>
              </w:rPr>
              <w:t>，</w:t>
            </w:r>
            <w:r>
              <w:rPr>
                <w:rFonts w:hint="default" w:ascii="Times New Roman" w:hAnsi="Times New Roman" w:eastAsia="宋体" w:cs="Times New Roman"/>
                <w:spacing w:val="-2"/>
                <w:sz w:val="24"/>
                <w:lang w:val="en-US" w:eastAsia="zh-CN"/>
              </w:rPr>
              <w:t>独立董事：谢军</w:t>
            </w:r>
          </w:p>
          <w:p w14:paraId="27F5EA59">
            <w:pPr>
              <w:pStyle w:val="12"/>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0" w:leftChars="0" w:firstLine="0" w:firstLineChars="0"/>
              <w:jc w:val="both"/>
              <w:textAlignment w:val="auto"/>
              <w:rPr>
                <w:rFonts w:hint="default" w:ascii="Times New Roman" w:hAnsi="Times New Roman" w:eastAsia="宋体" w:cs="Times New Roman"/>
                <w:spacing w:val="-2"/>
                <w:sz w:val="24"/>
                <w:lang w:val="en-US" w:eastAsia="zh-CN"/>
              </w:rPr>
            </w:pPr>
            <w:r>
              <w:rPr>
                <w:rFonts w:hint="default" w:ascii="Times New Roman" w:hAnsi="Times New Roman" w:eastAsia="宋体" w:cs="Times New Roman"/>
                <w:spacing w:val="-2"/>
                <w:sz w:val="24"/>
                <w:lang w:val="en-US" w:eastAsia="zh-CN"/>
              </w:rPr>
              <w:t>副总经理、财务总监：邓伟荣</w:t>
            </w:r>
            <w:r>
              <w:rPr>
                <w:rFonts w:hint="eastAsia" w:ascii="Times New Roman" w:hAnsi="Times New Roman" w:eastAsia="宋体" w:cs="Times New Roman"/>
                <w:spacing w:val="-2"/>
                <w:sz w:val="24"/>
                <w:lang w:val="en-US" w:eastAsia="zh-CN"/>
              </w:rPr>
              <w:t>，</w:t>
            </w:r>
            <w:r>
              <w:rPr>
                <w:rFonts w:hint="default" w:ascii="Times New Roman" w:hAnsi="Times New Roman" w:eastAsia="宋体" w:cs="Times New Roman"/>
                <w:spacing w:val="-2"/>
                <w:sz w:val="24"/>
                <w:lang w:val="en-US" w:eastAsia="zh-CN"/>
              </w:rPr>
              <w:t>董事会秘书：李三军</w:t>
            </w:r>
          </w:p>
          <w:p w14:paraId="1CAFF698">
            <w:pPr>
              <w:pStyle w:val="12"/>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left="0" w:leftChars="0" w:firstLine="0" w:firstLineChars="0"/>
              <w:jc w:val="both"/>
              <w:textAlignment w:val="auto"/>
              <w:rPr>
                <w:rFonts w:hint="default" w:ascii="Times New Roman" w:hAnsi="Times New Roman" w:eastAsia="宋体" w:cs="Times New Roman"/>
                <w:spacing w:val="-2"/>
                <w:sz w:val="24"/>
                <w:lang w:val="en-US" w:eastAsia="zh-CN"/>
              </w:rPr>
            </w:pPr>
            <w:r>
              <w:rPr>
                <w:rFonts w:hint="eastAsia" w:ascii="Times New Roman" w:hAnsi="Times New Roman" w:eastAsia="宋体" w:cs="Times New Roman"/>
                <w:spacing w:val="-2"/>
                <w:sz w:val="24"/>
                <w:lang w:val="en-US" w:eastAsia="zh-CN"/>
              </w:rPr>
              <w:t>其他相关人员</w:t>
            </w:r>
          </w:p>
        </w:tc>
      </w:tr>
      <w:tr w14:paraId="50ED4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905" w:type="dxa"/>
            <w:vAlign w:val="center"/>
          </w:tcPr>
          <w:p w14:paraId="24908229">
            <w:pPr>
              <w:pStyle w:val="12"/>
              <w:spacing w:line="360" w:lineRule="auto"/>
              <w:ind w:left="0"/>
              <w:jc w:val="center"/>
              <w:rPr>
                <w:rFonts w:hint="default" w:ascii="Times New Roman" w:hAnsi="Times New Roman" w:eastAsia="宋体" w:cs="Times New Roman"/>
                <w:sz w:val="24"/>
              </w:rPr>
            </w:pPr>
            <w:r>
              <w:rPr>
                <w:rFonts w:hint="default" w:ascii="Times New Roman" w:hAnsi="Times New Roman" w:eastAsia="宋体" w:cs="Times New Roman"/>
                <w:b/>
                <w:bCs/>
                <w:spacing w:val="-2"/>
                <w:sz w:val="24"/>
              </w:rPr>
              <w:t>交流主要内容</w:t>
            </w:r>
          </w:p>
        </w:tc>
        <w:tc>
          <w:tcPr>
            <w:tcW w:w="7293" w:type="dxa"/>
            <w:vAlign w:val="center"/>
          </w:tcPr>
          <w:p w14:paraId="6A8AE845">
            <w:pPr>
              <w:pStyle w:val="16"/>
              <w:keepNext w:val="0"/>
              <w:keepLines w:val="0"/>
              <w:pageBreakBefore w:val="0"/>
              <w:widowControl w:val="0"/>
              <w:kinsoku/>
              <w:wordWrap/>
              <w:overflowPunct/>
              <w:topLinePunct w:val="0"/>
              <w:autoSpaceDE w:val="0"/>
              <w:autoSpaceDN w:val="0"/>
              <w:bidi w:val="0"/>
              <w:adjustRightInd/>
              <w:snapToGrid/>
              <w:spacing w:before="0" w:beforeLines="50"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一、特定对象调研</w:t>
            </w:r>
          </w:p>
          <w:p w14:paraId="2CE76596">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1、今年上半年的垃圾处理量情况？</w:t>
            </w:r>
            <w:r>
              <w:rPr>
                <w:rFonts w:hint="default" w:ascii="Times New Roman" w:hAnsi="Times New Roman" w:eastAsia="宋体" w:cs="Times New Roman"/>
                <w:b/>
                <w:bCs/>
                <w:spacing w:val="-4"/>
                <w:sz w:val="24"/>
                <w:szCs w:val="22"/>
                <w:lang w:val="en-US" w:eastAsia="zh-CN" w:bidi="ar-SA"/>
              </w:rPr>
              <w:t>一二季度的环比情况？</w:t>
            </w:r>
          </w:p>
          <w:p w14:paraId="0BC434D3">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b w:val="0"/>
                <w:bCs w:val="0"/>
                <w:sz w:val="24"/>
                <w:szCs w:val="24"/>
                <w:lang w:val="en-US" w:eastAsia="zh-CN"/>
              </w:rPr>
              <w:t>答：2024年上半年，公司</w:t>
            </w:r>
            <w:r>
              <w:rPr>
                <w:rFonts w:hint="eastAsia" w:ascii="Times New Roman" w:hAnsi="Times New Roman" w:cs="Times New Roman" w:eastAsiaTheme="minorEastAsia"/>
                <w:b w:val="0"/>
                <w:bCs w:val="0"/>
                <w:sz w:val="24"/>
                <w:szCs w:val="24"/>
                <w:lang w:val="en-US" w:eastAsia="zh-CN"/>
              </w:rPr>
              <w:t>焚烧发电项目</w:t>
            </w:r>
            <w:bookmarkStart w:id="0" w:name="_GoBack"/>
            <w:bookmarkEnd w:id="0"/>
            <w:r>
              <w:rPr>
                <w:rFonts w:hint="default" w:ascii="Times New Roman" w:hAnsi="Times New Roman" w:cs="Times New Roman" w:eastAsiaTheme="minorEastAsia"/>
                <w:b w:val="0"/>
                <w:bCs w:val="0"/>
                <w:sz w:val="24"/>
                <w:szCs w:val="24"/>
                <w:lang w:val="en-US" w:eastAsia="zh-CN"/>
              </w:rPr>
              <w:t>处理垃圾417.56万吨，同比增长8.31%。</w:t>
            </w:r>
            <w:r>
              <w:rPr>
                <w:rFonts w:hint="default" w:ascii="Times New Roman" w:hAnsi="Times New Roman" w:cs="Times New Roman"/>
                <w:sz w:val="24"/>
                <w:szCs w:val="24"/>
                <w:lang w:val="en-US" w:eastAsia="zh-CN"/>
              </w:rPr>
              <w:t>二季度垃圾处理量较一季度略有增加。</w:t>
            </w:r>
          </w:p>
          <w:p w14:paraId="1F852D3C">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lang w:val="en-US" w:eastAsia="zh-CN"/>
              </w:rPr>
              <w:t>、目前陈腐垃圾处理的情况？</w:t>
            </w:r>
            <w:r>
              <w:rPr>
                <w:rFonts w:hint="default" w:ascii="Times New Roman" w:hAnsi="Times New Roman" w:cs="Times New Roman" w:eastAsiaTheme="minorEastAsia"/>
                <w:b/>
                <w:bCs/>
                <w:sz w:val="24"/>
                <w:szCs w:val="24"/>
                <w:lang w:val="en-US" w:eastAsia="zh-CN"/>
              </w:rPr>
              <w:t>兴丰填埋场的陈腐垃圾处理最新的项目进度怎样？</w:t>
            </w:r>
          </w:p>
          <w:p w14:paraId="69BC9377">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答：公司花城公司、从化公司已分别在对花都区生活垃圾填埋场、从化潭口填埋场的陈腐垃圾进行处理。兴丰应急垃圾填埋场开挖项目在近期进行了环评批前公示。</w:t>
            </w:r>
          </w:p>
          <w:p w14:paraId="2562D39F">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lang w:val="en-US" w:eastAsia="zh-CN"/>
              </w:rPr>
              <w:t>、供热业务的开展情况？</w:t>
            </w:r>
          </w:p>
          <w:p w14:paraId="6027D940">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答：公司积极推进垃圾焚烧供热业务，通过移动式供热、管网供热等方式为垃圾焚烧发电项目周边工业企业提供蒸汽。由于管网供热规划、建设等需要一定时间，公司对外供热业务目前尚处于前期发展阶段。</w:t>
            </w:r>
          </w:p>
          <w:p w14:paraId="21BD9EAF">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lang w:val="en-US" w:eastAsia="zh-CN"/>
              </w:rPr>
              <w:t>、公司设备的检修计划安排，是否会有季节性因素，技改投入是资本化还是费用化？</w:t>
            </w:r>
          </w:p>
          <w:p w14:paraId="305C2C07">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答：公司每年根据设备的运行状态制定年度检修计划，以保障设备效率和安全生产，设备检修不受季节性因素影响。公司严格按照会计准则规定对项目技改投入进行会计处理，一般进行资本化在以后年度进行折旧摊销。</w:t>
            </w:r>
          </w:p>
          <w:p w14:paraId="2FBF61E0">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lang w:val="en-US" w:eastAsia="zh-CN"/>
              </w:rPr>
              <w:t>、今年上半年毛利率出现下降主要是什么原因造成？</w:t>
            </w:r>
          </w:p>
          <w:p w14:paraId="74FAD45C">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答：</w:t>
            </w:r>
            <w:r>
              <w:rPr>
                <w:rFonts w:hint="default" w:ascii="Times New Roman" w:hAnsi="Times New Roman" w:cs="Times New Roman"/>
                <w:b w:val="0"/>
                <w:bCs w:val="0"/>
                <w:sz w:val="24"/>
                <w:szCs w:val="24"/>
                <w:lang w:val="en-US" w:eastAsia="zh-CN"/>
              </w:rPr>
              <w:t>公司今年上半年毛利率较去年同期下降主要是项目转固导致营业成本增加所致。</w:t>
            </w:r>
          </w:p>
          <w:p w14:paraId="4B5139FE">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lang w:val="en-US" w:eastAsia="zh-CN"/>
              </w:rPr>
              <w:t>、公司去年项目转固的具体时间？今年下半年是否还有项目转固的安排？项目转固对成本的影响？</w:t>
            </w:r>
          </w:p>
          <w:p w14:paraId="09FC32AF">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答：公司去年转固的主要为福山电厂二期项目，转固时间在2023年三季度初，转固后折旧摊销、房产税等税费、借款利息费用化等成本费用都会相应增加。截至2023年底公司二期项目已全部建设完成并转固，今年不存在大额在建工程转固的安排。</w:t>
            </w:r>
          </w:p>
          <w:p w14:paraId="2DB990B1">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lang w:val="en-US" w:eastAsia="zh-CN"/>
              </w:rPr>
              <w:t>、</w:t>
            </w:r>
            <w:r>
              <w:rPr>
                <w:rFonts w:hint="default" w:ascii="Times New Roman" w:hAnsi="Times New Roman" w:cs="Times New Roman" w:eastAsiaTheme="minorEastAsia"/>
                <w:b/>
                <w:bCs/>
                <w:sz w:val="24"/>
                <w:szCs w:val="24"/>
                <w:lang w:val="en-US" w:eastAsia="zh-CN"/>
              </w:rPr>
              <w:t>应收账款的</w:t>
            </w:r>
            <w:r>
              <w:rPr>
                <w:rFonts w:hint="default" w:ascii="Times New Roman" w:hAnsi="Times New Roman" w:cs="Times New Roman"/>
                <w:b/>
                <w:bCs/>
                <w:sz w:val="24"/>
                <w:szCs w:val="24"/>
                <w:lang w:val="en-US" w:eastAsia="zh-CN"/>
              </w:rPr>
              <w:t>坏账</w:t>
            </w:r>
            <w:r>
              <w:rPr>
                <w:rFonts w:hint="default" w:ascii="Times New Roman" w:hAnsi="Times New Roman" w:cs="Times New Roman" w:eastAsiaTheme="minorEastAsia"/>
                <w:b/>
                <w:bCs/>
                <w:sz w:val="24"/>
                <w:szCs w:val="24"/>
                <w:lang w:val="en-US" w:eastAsia="zh-CN"/>
              </w:rPr>
              <w:t>计提方式，和去年相比减值规模的变化？</w:t>
            </w:r>
          </w:p>
          <w:p w14:paraId="5B4877CC">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答：2024年4月，公司根据各类不同风险特征的应收账款坏账风险情况，将应收账款组合进一步划分为</w:t>
            </w:r>
            <w:r>
              <w:rPr>
                <w:rFonts w:hint="eastAsia"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val="en-US" w:eastAsia="zh-CN"/>
              </w:rPr>
              <w:t>政府客户组合</w:t>
            </w:r>
            <w:r>
              <w:rPr>
                <w:rFonts w:hint="eastAsia"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val="en-US" w:eastAsia="zh-CN"/>
              </w:rPr>
              <w:t>电网客户组合</w:t>
            </w:r>
            <w:r>
              <w:rPr>
                <w:rFonts w:hint="eastAsia"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val="en-US" w:eastAsia="zh-CN"/>
              </w:rPr>
              <w:t>可再生能源补贴组合</w:t>
            </w:r>
            <w:r>
              <w:rPr>
                <w:rFonts w:hint="eastAsia"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val="en-US" w:eastAsia="zh-CN"/>
              </w:rPr>
              <w:t>及</w:t>
            </w:r>
            <w:r>
              <w:rPr>
                <w:rFonts w:hint="eastAsia"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val="en-US" w:eastAsia="zh-CN"/>
              </w:rPr>
              <w:t>一般客户及其他客户组合</w:t>
            </w:r>
            <w:r>
              <w:rPr>
                <w:rFonts w:hint="eastAsia"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val="en-US" w:eastAsia="zh-CN"/>
              </w:rPr>
              <w:t>。基于此调整，2024年会对部分之前计提的坏账进行转回。</w:t>
            </w:r>
          </w:p>
          <w:p w14:paraId="77FD274C">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8</w:t>
            </w:r>
            <w:r>
              <w:rPr>
                <w:rFonts w:hint="default" w:ascii="Times New Roman" w:hAnsi="Times New Roman" w:cs="Times New Roman" w:eastAsiaTheme="minorEastAsia"/>
                <w:b/>
                <w:bCs/>
                <w:sz w:val="24"/>
                <w:szCs w:val="24"/>
                <w:lang w:val="en-US" w:eastAsia="zh-CN"/>
              </w:rPr>
              <w:t>、二期项目申请进入国补目录的进展情况？国补的回款情况？</w:t>
            </w:r>
          </w:p>
          <w:p w14:paraId="38AEA08B">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b w:val="0"/>
                <w:bCs w:val="0"/>
                <w:sz w:val="24"/>
                <w:szCs w:val="24"/>
                <w:lang w:val="en-US" w:eastAsia="zh-CN"/>
              </w:rPr>
              <w:t>答：公司二期项目目前仍在申请进入国补目录中。国补回款</w:t>
            </w:r>
            <w:r>
              <w:rPr>
                <w:rFonts w:hint="default" w:ascii="Times New Roman" w:hAnsi="Times New Roman" w:cs="Times New Roman"/>
                <w:sz w:val="24"/>
                <w:szCs w:val="24"/>
              </w:rPr>
              <w:t>根据国家财政安排统一执行，公司</w:t>
            </w:r>
            <w:r>
              <w:rPr>
                <w:rFonts w:hint="default" w:ascii="Times New Roman" w:hAnsi="Times New Roman" w:cs="Times New Roman"/>
                <w:sz w:val="24"/>
                <w:szCs w:val="24"/>
                <w:lang w:val="en-US" w:eastAsia="zh-CN"/>
              </w:rPr>
              <w:t>一直</w:t>
            </w:r>
            <w:r>
              <w:rPr>
                <w:rFonts w:hint="default" w:ascii="Times New Roman" w:hAnsi="Times New Roman" w:cs="Times New Roman"/>
                <w:sz w:val="24"/>
                <w:szCs w:val="24"/>
              </w:rPr>
              <w:t>密切关注相关政策情况。</w:t>
            </w:r>
          </w:p>
          <w:p w14:paraId="3279BBE3">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9</w:t>
            </w:r>
            <w:r>
              <w:rPr>
                <w:rFonts w:hint="default" w:ascii="Times New Roman" w:hAnsi="Times New Roman" w:cs="Times New Roman"/>
                <w:b/>
                <w:bCs/>
                <w:sz w:val="24"/>
                <w:szCs w:val="24"/>
                <w:lang w:val="en-US" w:eastAsia="zh-CN"/>
              </w:rPr>
              <w:t>、</w:t>
            </w:r>
            <w:r>
              <w:rPr>
                <w:rFonts w:hint="default" w:ascii="Times New Roman" w:hAnsi="Times New Roman" w:cs="Times New Roman" w:eastAsiaTheme="minorEastAsia"/>
                <w:b/>
                <w:bCs/>
                <w:kern w:val="2"/>
                <w:sz w:val="24"/>
                <w:szCs w:val="24"/>
                <w:lang w:val="en-US" w:eastAsia="zh-CN" w:bidi="ar-SA"/>
              </w:rPr>
              <w:t>公司对</w:t>
            </w:r>
            <w:r>
              <w:rPr>
                <w:rFonts w:hint="default" w:ascii="Times New Roman" w:hAnsi="Times New Roman" w:cs="Times New Roman" w:eastAsiaTheme="minorEastAsia"/>
                <w:b/>
                <w:bCs/>
                <w:sz w:val="24"/>
                <w:szCs w:val="24"/>
                <w:lang w:val="en-US" w:eastAsia="zh-CN"/>
              </w:rPr>
              <w:t>应收账款的追收，有相应的内部考核吗？</w:t>
            </w:r>
          </w:p>
          <w:p w14:paraId="24206FC9">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答：公司针对应收账款回收情况设置有相应的内部考核机制。</w:t>
            </w:r>
          </w:p>
          <w:p w14:paraId="028B30D1">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eastAsiaTheme="minorEastAsia"/>
                <w:b/>
                <w:bCs/>
                <w:sz w:val="24"/>
                <w:szCs w:val="24"/>
                <w:lang w:val="en-US" w:eastAsia="zh-CN"/>
              </w:rPr>
              <w:t>10</w:t>
            </w:r>
            <w:r>
              <w:rPr>
                <w:rFonts w:hint="default" w:ascii="Times New Roman" w:hAnsi="Times New Roman" w:cs="Times New Roman" w:eastAsiaTheme="minorEastAsia"/>
                <w:b/>
                <w:bCs/>
                <w:sz w:val="24"/>
                <w:szCs w:val="24"/>
                <w:lang w:val="en-US" w:eastAsia="zh-CN"/>
              </w:rPr>
              <w:t>、</w:t>
            </w:r>
            <w:r>
              <w:rPr>
                <w:rFonts w:hint="default" w:ascii="Times New Roman" w:hAnsi="Times New Roman" w:cs="Times New Roman"/>
                <w:b/>
                <w:bCs/>
                <w:sz w:val="24"/>
                <w:szCs w:val="24"/>
                <w:lang w:val="en-US" w:eastAsia="zh-CN"/>
              </w:rPr>
              <w:t>公司接下来的资本开支计划？</w:t>
            </w:r>
          </w:p>
          <w:p w14:paraId="04AD4175">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答：公司二期项目已建设完成，接下来的资本开支主要是支付相关项目的部分尾款，金额相对较小，除此之外暂未有其他大额资本开支计划。</w:t>
            </w:r>
          </w:p>
          <w:p w14:paraId="63B24D94">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b/>
                <w:bCs/>
                <w:sz w:val="24"/>
                <w:szCs w:val="24"/>
                <w:lang w:val="en-US" w:eastAsia="zh-CN"/>
              </w:rPr>
              <w:t>11</w:t>
            </w:r>
            <w:r>
              <w:rPr>
                <w:rFonts w:hint="default" w:ascii="Times New Roman" w:hAnsi="Times New Roman" w:cs="Times New Roman" w:eastAsiaTheme="minorEastAsia"/>
                <w:b/>
                <w:bCs/>
                <w:sz w:val="24"/>
                <w:szCs w:val="24"/>
                <w:lang w:val="en-US" w:eastAsia="zh-CN"/>
              </w:rPr>
              <w:t>、公司对现金流如何支配，倾向于分红还是降负债？</w:t>
            </w:r>
          </w:p>
          <w:p w14:paraId="4DE5CC68">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答：公司对经营活动产生的现金流会在几方面进行合理安排：一是通过现金分红方式向股东进行分配，现金分红比例会严格遵守并执行公司作出的相关承诺；二是用于偿还部分银行贷款，进一步优化公司资产负债结构；三是作为公司经营发展储备资金，增强公司的抗风险能力及市场竞争力。</w:t>
            </w:r>
          </w:p>
          <w:p w14:paraId="3B18A634">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p>
          <w:p w14:paraId="4AC57354">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二、广东辖区2024年投资者网上集体接待日活动</w:t>
            </w:r>
          </w:p>
          <w:p w14:paraId="7975978F">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1、公司2024年上半年的净利润比去年同期减少的原因是什么？每年设备的维修时间如何安排，大约需要多少时间？对生产和利润的影响如何？谢谢！</w:t>
            </w:r>
          </w:p>
          <w:p w14:paraId="06297873">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答：</w:t>
            </w:r>
            <w:r>
              <w:rPr>
                <w:rFonts w:hint="default" w:ascii="Times New Roman" w:hAnsi="Times New Roman" w:cs="Times New Roman"/>
                <w:sz w:val="24"/>
                <w:szCs w:val="24"/>
              </w:rPr>
              <w:t>尊敬的投资者，您好！公司2024年上半年利润同比下降主要系建设项目转固，资产折旧及摊销等增加所致。公司根据设备运行状况制定年度检修计划，通过检修确保设备稳定运行。感谢对公司的关注和支持！</w:t>
            </w:r>
          </w:p>
          <w:p w14:paraId="62024C05">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2、公司的未来发展，焚烧垃圾，在大城市渐趋饱和，小县城还有发展空间，公司的未来几年的发展计划能否告知？谢谢。</w:t>
            </w:r>
          </w:p>
          <w:p w14:paraId="2C929B78">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答：</w:t>
            </w:r>
            <w:r>
              <w:rPr>
                <w:rFonts w:hint="default" w:ascii="Times New Roman" w:hAnsi="Times New Roman" w:cs="Times New Roman"/>
                <w:sz w:val="24"/>
                <w:szCs w:val="24"/>
              </w:rPr>
              <w:t>尊敬的投资者，您好！公司对县域垃圾焚烧发电市场保持关注，在条件成熟的前提下谨慎投资。感谢对公司的关注和支持！</w:t>
            </w:r>
          </w:p>
          <w:p w14:paraId="45FD3322">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3、公司的生物质项目，一个项目投资额是多少？投资周期是多少时间？折旧是几年？寿命是多少年？到期撤除需要多少费用？预期每年的收益是多少？谢谢。</w:t>
            </w:r>
          </w:p>
          <w:p w14:paraId="54BB74B9">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答：</w:t>
            </w:r>
            <w:r>
              <w:rPr>
                <w:rFonts w:hint="default" w:ascii="Times New Roman" w:hAnsi="Times New Roman" w:cs="Times New Roman"/>
                <w:sz w:val="24"/>
                <w:szCs w:val="24"/>
              </w:rPr>
              <w:t>尊敬的投资者，您好！公司下属生物质项目根据处理规模、所处理生物质类型及处理工艺的不同，在投资额度、投资周期、预期收益等方面存在一定差异。公司运营项目的房屋建筑物折旧年限一般按25年计算，机器设备折旧年限一般按10-25年计算。感谢对公司的关注和支持！</w:t>
            </w:r>
          </w:p>
          <w:p w14:paraId="08F265DD">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rPr>
              <w:t>4、2023年国补什么时候发放，多少金额</w:t>
            </w:r>
            <w:r>
              <w:rPr>
                <w:rFonts w:hint="eastAsia" w:ascii="Times New Roman" w:hAnsi="Times New Roman" w:cs="Times New Roman"/>
                <w:b/>
                <w:bCs/>
                <w:sz w:val="24"/>
                <w:szCs w:val="24"/>
                <w:lang w:eastAsia="zh-CN"/>
              </w:rPr>
              <w:t>？</w:t>
            </w:r>
          </w:p>
          <w:p w14:paraId="7E5AE0C4">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答：</w:t>
            </w:r>
            <w:r>
              <w:rPr>
                <w:rFonts w:hint="default" w:ascii="Times New Roman" w:hAnsi="Times New Roman" w:cs="Times New Roman"/>
                <w:sz w:val="24"/>
                <w:szCs w:val="24"/>
              </w:rPr>
              <w:t>尊敬的投资者，您好！国补发放根据国家财政安排统一执行，公司正密切关注相关政策情况。具体情况请您关注公司定期报告。感谢对公司的关注和支持！</w:t>
            </w:r>
          </w:p>
          <w:p w14:paraId="5ECDB1F8">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p>
          <w:p w14:paraId="334827E3">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三、2024年半年度业绩说明会</w:t>
            </w:r>
          </w:p>
          <w:p w14:paraId="3DA4DB4C">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466" w:firstLineChars="200"/>
              <w:jc w:val="both"/>
              <w:textAlignment w:val="auto"/>
              <w:rPr>
                <w:rFonts w:hint="default" w:ascii="Times New Roman" w:hAnsi="Times New Roman" w:eastAsia="宋体" w:cs="Times New Roman"/>
                <w:b/>
                <w:spacing w:val="-4"/>
                <w:sz w:val="24"/>
                <w:lang w:val="en-US" w:eastAsia="zh-CN"/>
              </w:rPr>
            </w:pPr>
            <w:r>
              <w:rPr>
                <w:rFonts w:hint="default" w:ascii="Times New Roman" w:hAnsi="Times New Roman" w:eastAsia="宋体" w:cs="Times New Roman"/>
                <w:b/>
                <w:spacing w:val="-4"/>
                <w:sz w:val="24"/>
                <w:szCs w:val="22"/>
                <w:lang w:val="en-US" w:eastAsia="zh-CN" w:bidi="ar-SA"/>
              </w:rPr>
              <w:t>1、</w:t>
            </w:r>
            <w:r>
              <w:rPr>
                <w:rFonts w:hint="default" w:ascii="Times New Roman" w:hAnsi="Times New Roman" w:eastAsia="宋体" w:cs="Times New Roman"/>
                <w:b/>
                <w:spacing w:val="-4"/>
                <w:sz w:val="24"/>
                <w:lang w:val="en-US" w:eastAsia="zh-CN"/>
              </w:rPr>
              <w:t>请问一下去年和今年上半年公司综合上网电价是多少？</w:t>
            </w:r>
          </w:p>
          <w:p w14:paraId="274B3E1B">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答：尊敬的投资者，您好！就垃圾焚烧发电的上网电价而言，相关政策在去年及今年上半年未出现实质性变化，公司今年上半年平均上网电价与去年相比变化不大。具体情况可查阅公司披露的相关公告。感谢您对公司的关注。</w:t>
            </w:r>
          </w:p>
          <w:p w14:paraId="40709119">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466" w:firstLineChars="200"/>
              <w:jc w:val="both"/>
              <w:textAlignment w:val="auto"/>
              <w:rPr>
                <w:rFonts w:hint="default" w:ascii="Times New Roman" w:hAnsi="Times New Roman" w:eastAsia="宋体" w:cs="Times New Roman"/>
                <w:b/>
                <w:spacing w:val="-4"/>
                <w:sz w:val="24"/>
                <w:szCs w:val="22"/>
                <w:lang w:val="en-US" w:eastAsia="zh-CN" w:bidi="ar-SA"/>
              </w:rPr>
            </w:pPr>
            <w:r>
              <w:rPr>
                <w:rFonts w:hint="default" w:ascii="Times New Roman" w:hAnsi="Times New Roman" w:eastAsia="宋体" w:cs="Times New Roman"/>
                <w:b/>
                <w:spacing w:val="-4"/>
                <w:sz w:val="24"/>
                <w:szCs w:val="22"/>
                <w:lang w:val="en-US" w:eastAsia="zh-CN" w:bidi="ar-SA"/>
              </w:rPr>
              <w:t>2、请问一下公司工业垃圾收购价是多少？</w:t>
            </w:r>
          </w:p>
          <w:p w14:paraId="69DFAF23">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答：尊敬的投资者，您好！针对不同的工业固废垃圾，公司依据其实际状况，具体制定不同的收费模式。感谢您对公司的关注。</w:t>
            </w:r>
          </w:p>
          <w:p w14:paraId="3ACE650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66" w:firstLineChars="200"/>
              <w:jc w:val="both"/>
              <w:textAlignment w:val="auto"/>
              <w:rPr>
                <w:rFonts w:hint="default" w:ascii="Times New Roman" w:hAnsi="Times New Roman" w:eastAsia="宋体" w:cs="Times New Roman"/>
                <w:b/>
                <w:spacing w:val="-4"/>
                <w:sz w:val="24"/>
                <w:lang w:val="en-US" w:eastAsia="zh-CN"/>
              </w:rPr>
            </w:pPr>
            <w:r>
              <w:rPr>
                <w:rFonts w:hint="default" w:ascii="Times New Roman" w:hAnsi="Times New Roman" w:eastAsia="宋体" w:cs="Times New Roman"/>
                <w:b/>
                <w:spacing w:val="-4"/>
                <w:sz w:val="24"/>
                <w:lang w:val="en-US" w:eastAsia="zh-CN"/>
              </w:rPr>
              <w:t>3、请教一下上半年营收中，垃圾处理费、电费收入、其他运营收入分别是多少？</w:t>
            </w:r>
          </w:p>
          <w:p w14:paraId="36823DA5">
            <w:pPr>
              <w:pStyle w:val="16"/>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答：尊敬的投资者，您好！公司2024年上半年项目运营收入18.14亿元。具体情况可查阅公司披露的相关公告。感谢您对公司的关注。</w:t>
            </w:r>
          </w:p>
        </w:tc>
      </w:tr>
      <w:tr w14:paraId="0D1C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05" w:type="dxa"/>
            <w:vAlign w:val="center"/>
          </w:tcPr>
          <w:p w14:paraId="514E7480">
            <w:pPr>
              <w:pStyle w:val="12"/>
              <w:spacing w:line="276" w:lineRule="auto"/>
              <w:ind w:left="0"/>
              <w:jc w:val="center"/>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其他情况说明</w:t>
            </w:r>
          </w:p>
        </w:tc>
        <w:tc>
          <w:tcPr>
            <w:tcW w:w="7293" w:type="dxa"/>
            <w:vAlign w:val="center"/>
          </w:tcPr>
          <w:p w14:paraId="3086E4B9">
            <w:pPr>
              <w:pStyle w:val="12"/>
              <w:spacing w:line="276" w:lineRule="auto"/>
              <w:ind w:left="0" w:firstLine="482" w:firstLineChars="200"/>
              <w:jc w:val="both"/>
              <w:rPr>
                <w:rFonts w:hint="default" w:ascii="Times New Roman" w:hAnsi="Times New Roman" w:eastAsia="宋体" w:cs="Times New Roman"/>
                <w:b/>
                <w:spacing w:val="-4"/>
                <w:sz w:val="24"/>
              </w:rPr>
            </w:pPr>
            <w:r>
              <w:rPr>
                <w:rFonts w:hint="eastAsia" w:ascii="Times New Roman" w:hAnsi="Times New Roman" w:cs="Times New Roman" w:eastAsiaTheme="minorEastAsia"/>
                <w:b/>
                <w:sz w:val="24"/>
                <w:lang w:val="en-US" w:eastAsia="zh-CN"/>
              </w:rPr>
              <w:t>上述投资者关系</w:t>
            </w:r>
            <w:r>
              <w:rPr>
                <w:rFonts w:hint="default" w:ascii="Times New Roman" w:hAnsi="Times New Roman" w:cs="Times New Roman" w:eastAsiaTheme="minorEastAsia"/>
                <w:b/>
                <w:sz w:val="24"/>
              </w:rPr>
              <w:t>活动不涉及应披露的重大信息。</w:t>
            </w:r>
          </w:p>
        </w:tc>
      </w:tr>
      <w:tr w14:paraId="38AE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exact"/>
        </w:trPr>
        <w:tc>
          <w:tcPr>
            <w:tcW w:w="1905" w:type="dxa"/>
            <w:vAlign w:val="center"/>
          </w:tcPr>
          <w:p w14:paraId="0A82F25B">
            <w:pPr>
              <w:pStyle w:val="12"/>
              <w:spacing w:line="276" w:lineRule="auto"/>
              <w:ind w:left="0"/>
              <w:jc w:val="center"/>
              <w:rPr>
                <w:rFonts w:hint="default" w:ascii="Times New Roman" w:hAnsi="Times New Roman" w:cs="Times New Roman"/>
                <w:b/>
                <w:sz w:val="24"/>
              </w:rPr>
            </w:pPr>
            <w:r>
              <w:rPr>
                <w:rFonts w:hint="default" w:ascii="Times New Roman" w:hAnsi="Times New Roman" w:eastAsia="宋体" w:cs="Times New Roman"/>
                <w:b/>
                <w:bCs/>
                <w:spacing w:val="-2"/>
                <w:sz w:val="24"/>
              </w:rPr>
              <w:t>附件清单</w:t>
            </w:r>
          </w:p>
        </w:tc>
        <w:tc>
          <w:tcPr>
            <w:tcW w:w="7293" w:type="dxa"/>
            <w:vAlign w:val="center"/>
          </w:tcPr>
          <w:p w14:paraId="523E3F41">
            <w:pPr>
              <w:pStyle w:val="12"/>
              <w:spacing w:line="276" w:lineRule="auto"/>
              <w:ind w:left="0" w:firstLine="480" w:firstLineChars="200"/>
              <w:jc w:val="both"/>
              <w:rPr>
                <w:rFonts w:hint="default" w:ascii="Times New Roman" w:hAnsi="Times New Roman" w:cs="Times New Roman" w:eastAsiaTheme="minorEastAsia"/>
                <w:b/>
                <w:sz w:val="24"/>
              </w:rPr>
            </w:pPr>
            <w:r>
              <w:rPr>
                <w:rFonts w:hint="default" w:ascii="Times New Roman" w:hAnsi="Times New Roman" w:eastAsia="宋体" w:cs="Times New Roman"/>
                <w:sz w:val="24"/>
              </w:rPr>
              <w:t>无</w:t>
            </w:r>
          </w:p>
        </w:tc>
      </w:tr>
    </w:tbl>
    <w:p w14:paraId="3FD9E87E">
      <w:pPr>
        <w:rPr>
          <w:rFonts w:eastAsiaTheme="minorEastAsia"/>
        </w:rPr>
      </w:pPr>
    </w:p>
    <w:sectPr>
      <w:footerReference r:id="rId3" w:type="default"/>
      <w:pgSz w:w="11910" w:h="16840"/>
      <w:pgMar w:top="1400" w:right="1180" w:bottom="1180" w:left="1580" w:header="0" w:footer="9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FZLTSK--GBK1-0">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E4C0">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3712845</wp:posOffset>
              </wp:positionH>
              <wp:positionV relativeFrom="page">
                <wp:posOffset>9923780</wp:posOffset>
              </wp:positionV>
              <wp:extent cx="132080" cy="152400"/>
              <wp:effectExtent l="0" t="0" r="0" b="0"/>
              <wp:wrapNone/>
              <wp:docPr id="1978010554" name="docshape3"/>
              <wp:cNvGraphicFramePr/>
              <a:graphic xmlns:a="http://schemas.openxmlformats.org/drawingml/2006/main">
                <a:graphicData uri="http://schemas.microsoft.com/office/word/2010/wordprocessingShape">
                  <wps:wsp>
                    <wps:cNvSpPr txBox="1">
                      <a:spLocks noChangeArrowheads="1"/>
                    </wps:cNvSpPr>
                    <wps:spPr bwMode="auto">
                      <a:xfrm>
                        <a:off x="0" y="0"/>
                        <a:ext cx="132080" cy="152400"/>
                      </a:xfrm>
                      <a:prstGeom prst="rect">
                        <a:avLst/>
                      </a:prstGeom>
                      <a:noFill/>
                      <a:ln>
                        <a:noFill/>
                      </a:ln>
                    </wps:spPr>
                    <wps:txbx>
                      <w:txbxContent>
                        <w:p w14:paraId="5284443A">
                          <w:pPr>
                            <w:spacing w:before="12"/>
                            <w:ind w:left="20"/>
                            <w:rPr>
                              <w:rFonts w:ascii="Times New Roman"/>
                              <w:sz w:val="18"/>
                            </w:rPr>
                          </w:pP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292.35pt;margin-top:781.4pt;height:12pt;width:10.4pt;mso-position-horizontal-relative:page;mso-position-vertical-relative:page;z-index:-251657216;mso-width-relative:page;mso-height-relative:page;" filled="f" stroked="f" coordsize="21600,21600" o:gfxdata="UEsDBAoAAAAAAIdO4kAAAAAAAAAAAAAAAAAEAAAAZHJzL1BLAwQUAAAACACHTuJA4skHg9oAAAAN&#10;AQAADwAAAGRycy9kb3ducmV2LnhtbE2PzU7DMBCE70i8g7VI3KjdipgQ4lQIwQkJkYYDRyd2E6vx&#10;OsTuD2/P9kSPO/NpdqZcn/zIDnaOLqCC5UIAs9gF47BX8NW83eXAYtJo9BjQKvi1EdbV9VWpCxOO&#10;WNvDJvWMQjAWWsGQ0lRwHrvBeh0XYbJI3jbMXic6556bWR8p3I98JYTkXjukD4Oe7Mtgu91m7xU8&#10;f2P96n4+2s96W7umeRT4LndK3d4sxROwZE/pH4ZzfaoOFXVqwx5NZKOCLL9/IJSMTK5oBCFSZBmw&#10;9izlMgdelfxyRfUHUEsDBBQAAAAIAIdO4kAm4OPKAgIAAAsEAAAOAAAAZHJzL2Uyb0RvYy54bWyt&#10;U0Fu2zAQvBfoHwjea8lO3LqC5SCNkaJAmhZI+oA1RVlEJS67pC25r++Sst00ueTQi7Ail7Mzw+Hy&#10;auhasdfkDdpSTie5FNoqrIzdlvLH4+27hRQ+gK2gRatLedBeXq3evln2rtAzbLCtNAkGsb7oXSmb&#10;EFyRZV41ugM/Qactb9ZIHQT+pW1WEfSM3rXZLM/fZz1S5QiV9p5X1+OmPCLSawCxro3Sa1S7Ttsw&#10;opJuIbAk3xjn5SqxrWutwre69jqItpSsNKQvD+F6E7/ZagnFlsA1Rh0pwGsoPNPUgbE89Ay1hgBi&#10;R+YFVGcUocc6TBR22SgkOcIqpvkzbx4acDppYau9O5vu/x+sut9/J2EqTsLHDwumMJ9fSmGh45uv&#10;UPnI4CK61DtfcPOD4/YwfMKBTyTF3t2h+umFxZsG7FZfE2HfaKiY5TSezJ4cHXF8BNn0X7HiKbAL&#10;mICGmrpoIZsiGJ1v6HC+IT0EoeLIi1m+4B3FW9P57DJPN5hBcTrsyIfPGjsRi1ISByCBw/7Oh0gG&#10;ilNLnGXx1rRtCkFr/1ngxriSyEe+I/MwbIajGRusDiyDcMwUvyguGqTfUvScp1L6XzsgLUX7xbIV&#10;MXyngk7F5lSAVXy0lEGKsbwJY0h3jsy2YeTRbIvXbFdtkpTo68jiyJMzkhQe8xxD+PQ/df19w6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skHg9oAAAANAQAADwAAAAAAAAABACAAAAAiAAAAZHJz&#10;L2Rvd25yZXYueG1sUEsBAhQAFAAAAAgAh07iQCbg48oCAgAACwQAAA4AAAAAAAAAAQAgAAAAKQEA&#10;AGRycy9lMm9Eb2MueG1sUEsFBgAAAAAGAAYAWQEAAJ0FAAAAAA==&#10;">
              <v:fill on="f" focussize="0,0"/>
              <v:stroke on="f"/>
              <v:imagedata o:title=""/>
              <o:lock v:ext="edit" aspectratio="f"/>
              <v:textbox inset="0mm,0mm,0mm,0mm">
                <w:txbxContent>
                  <w:p w14:paraId="5284443A">
                    <w:pPr>
                      <w:spacing w:before="12"/>
                      <w:ind w:left="20"/>
                      <w:rPr>
                        <w:rFonts w:ascii="Times New Roman"/>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4Mzk2YjliNTc0M2Q5NTQwNjc5MmQxYThhYjkyNTcifQ=="/>
  </w:docVars>
  <w:rsids>
    <w:rsidRoot w:val="00335E83"/>
    <w:rsid w:val="00034D66"/>
    <w:rsid w:val="00047147"/>
    <w:rsid w:val="00057EB8"/>
    <w:rsid w:val="0006482A"/>
    <w:rsid w:val="00075CC6"/>
    <w:rsid w:val="000E74B6"/>
    <w:rsid w:val="00133380"/>
    <w:rsid w:val="001D6C12"/>
    <w:rsid w:val="001F7BD0"/>
    <w:rsid w:val="002443D6"/>
    <w:rsid w:val="00267FE8"/>
    <w:rsid w:val="002A33C4"/>
    <w:rsid w:val="002B7F3B"/>
    <w:rsid w:val="002E0B89"/>
    <w:rsid w:val="002F3F9E"/>
    <w:rsid w:val="00335E83"/>
    <w:rsid w:val="003E6BF2"/>
    <w:rsid w:val="004121A0"/>
    <w:rsid w:val="00443B7A"/>
    <w:rsid w:val="004500AF"/>
    <w:rsid w:val="00490265"/>
    <w:rsid w:val="00517C8F"/>
    <w:rsid w:val="0055534B"/>
    <w:rsid w:val="005C36CC"/>
    <w:rsid w:val="00610C21"/>
    <w:rsid w:val="00632279"/>
    <w:rsid w:val="00664365"/>
    <w:rsid w:val="006A69CE"/>
    <w:rsid w:val="006E50B3"/>
    <w:rsid w:val="007877F8"/>
    <w:rsid w:val="00790F57"/>
    <w:rsid w:val="00797EC5"/>
    <w:rsid w:val="00803C78"/>
    <w:rsid w:val="00852A2B"/>
    <w:rsid w:val="0090066F"/>
    <w:rsid w:val="00921C0E"/>
    <w:rsid w:val="00923DC2"/>
    <w:rsid w:val="00944371"/>
    <w:rsid w:val="00962E78"/>
    <w:rsid w:val="00985C6B"/>
    <w:rsid w:val="00A65B67"/>
    <w:rsid w:val="00AA2A5C"/>
    <w:rsid w:val="00AC5681"/>
    <w:rsid w:val="00B20C6C"/>
    <w:rsid w:val="00D1658C"/>
    <w:rsid w:val="00DE245A"/>
    <w:rsid w:val="00E51445"/>
    <w:rsid w:val="00EE21B5"/>
    <w:rsid w:val="00F87F83"/>
    <w:rsid w:val="00FC29A0"/>
    <w:rsid w:val="03747A3A"/>
    <w:rsid w:val="0B0B42AD"/>
    <w:rsid w:val="0BB231BF"/>
    <w:rsid w:val="0DC363ED"/>
    <w:rsid w:val="101753B3"/>
    <w:rsid w:val="14BC4694"/>
    <w:rsid w:val="15105FD7"/>
    <w:rsid w:val="16332F7C"/>
    <w:rsid w:val="177210A2"/>
    <w:rsid w:val="17D502E6"/>
    <w:rsid w:val="17E94CA2"/>
    <w:rsid w:val="1D3120C7"/>
    <w:rsid w:val="21751354"/>
    <w:rsid w:val="27B87321"/>
    <w:rsid w:val="27C04E47"/>
    <w:rsid w:val="27C864E7"/>
    <w:rsid w:val="2E0501C0"/>
    <w:rsid w:val="2F5561B7"/>
    <w:rsid w:val="302B12FA"/>
    <w:rsid w:val="341E6110"/>
    <w:rsid w:val="36883480"/>
    <w:rsid w:val="3DB114C5"/>
    <w:rsid w:val="43763861"/>
    <w:rsid w:val="43A7408E"/>
    <w:rsid w:val="4A096307"/>
    <w:rsid w:val="50983C87"/>
    <w:rsid w:val="50D21228"/>
    <w:rsid w:val="56000C7C"/>
    <w:rsid w:val="570D083D"/>
    <w:rsid w:val="583A03FB"/>
    <w:rsid w:val="58D6438F"/>
    <w:rsid w:val="5ADE12CD"/>
    <w:rsid w:val="5DFE5C52"/>
    <w:rsid w:val="5E8720EC"/>
    <w:rsid w:val="5ED00919"/>
    <w:rsid w:val="5FA016B7"/>
    <w:rsid w:val="5FFA60B8"/>
    <w:rsid w:val="656D44F5"/>
    <w:rsid w:val="6DEE4FE9"/>
    <w:rsid w:val="710F4FE7"/>
    <w:rsid w:val="74C12A19"/>
    <w:rsid w:val="786F0A2B"/>
    <w:rsid w:val="7A89731A"/>
    <w:rsid w:val="7A941D89"/>
    <w:rsid w:val="7D78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pPr>
    <w:rPr>
      <w:rFonts w:ascii="Microsoft JhengHei" w:hAnsi="Microsoft JhengHei" w:eastAsia="Microsoft JhengHei" w:cs="Microsoft JhengHei"/>
      <w:sz w:val="22"/>
      <w:szCs w:val="22"/>
      <w:lang w:val="en-US" w:eastAsia="zh-CN" w:bidi="ar-SA"/>
    </w:rPr>
  </w:style>
  <w:style w:type="paragraph" w:styleId="2">
    <w:name w:val="heading 2"/>
    <w:basedOn w:val="1"/>
    <w:next w:val="1"/>
    <w:qFormat/>
    <w:uiPriority w:val="0"/>
    <w:pPr>
      <w:keepNext/>
      <w:keepLines/>
      <w:spacing w:before="260" w:beforeLines="0" w:after="260" w:line="416" w:lineRule="auto"/>
      <w:ind w:firstLine="720" w:firstLineChars="200"/>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paragraph" w:styleId="4">
    <w:name w:val="footer"/>
    <w:basedOn w:val="1"/>
    <w:link w:val="14"/>
    <w:autoRedefine/>
    <w:unhideWhenUsed/>
    <w:qFormat/>
    <w:uiPriority w:val="99"/>
    <w:pPr>
      <w:tabs>
        <w:tab w:val="center" w:pos="4153"/>
        <w:tab w:val="right" w:pos="8306"/>
      </w:tabs>
      <w:snapToGrid w:val="0"/>
    </w:pPr>
    <w:rPr>
      <w:sz w:val="18"/>
      <w:szCs w:val="18"/>
    </w:rPr>
  </w:style>
  <w:style w:type="paragraph" w:styleId="5">
    <w:name w:val="header"/>
    <w:basedOn w:val="1"/>
    <w:link w:val="13"/>
    <w:autoRedefine/>
    <w:unhideWhenUsed/>
    <w:qFormat/>
    <w:uiPriority w:val="99"/>
    <w:pP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autoRedefine/>
    <w:qFormat/>
    <w:uiPriority w:val="10"/>
    <w:pPr>
      <w:spacing w:before="64"/>
      <w:ind w:left="1180" w:right="1577"/>
      <w:jc w:val="center"/>
    </w:pPr>
    <w:rPr>
      <w:b/>
      <w:bCs/>
      <w:sz w:val="32"/>
      <w:szCs w:val="32"/>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pPr>
      <w:ind w:left="107"/>
    </w:pPr>
  </w:style>
  <w:style w:type="character" w:customStyle="1" w:styleId="13">
    <w:name w:val="页眉 字符"/>
    <w:basedOn w:val="9"/>
    <w:link w:val="5"/>
    <w:autoRedefine/>
    <w:qFormat/>
    <w:uiPriority w:val="99"/>
    <w:rPr>
      <w:rFonts w:ascii="Microsoft JhengHei" w:hAnsi="Microsoft JhengHei" w:eastAsia="Microsoft JhengHei" w:cs="Microsoft JhengHei"/>
      <w:sz w:val="18"/>
      <w:szCs w:val="18"/>
      <w:lang w:eastAsia="zh-CN"/>
    </w:rPr>
  </w:style>
  <w:style w:type="character" w:customStyle="1" w:styleId="14">
    <w:name w:val="页脚 字符"/>
    <w:basedOn w:val="9"/>
    <w:link w:val="4"/>
    <w:autoRedefine/>
    <w:qFormat/>
    <w:uiPriority w:val="99"/>
    <w:rPr>
      <w:rFonts w:ascii="Microsoft JhengHei" w:hAnsi="Microsoft JhengHei" w:eastAsia="Microsoft JhengHei" w:cs="Microsoft JhengHei"/>
      <w:sz w:val="18"/>
      <w:szCs w:val="18"/>
      <w:lang w:eastAsia="zh-CN"/>
    </w:rPr>
  </w:style>
  <w:style w:type="paragraph" w:customStyle="1" w:styleId="15">
    <w:name w:val="Revision"/>
    <w:autoRedefine/>
    <w:hidden/>
    <w:unhideWhenUsed/>
    <w:qFormat/>
    <w:uiPriority w:val="99"/>
    <w:rPr>
      <w:rFonts w:ascii="Microsoft JhengHei" w:hAnsi="Microsoft JhengHei" w:eastAsia="Microsoft JhengHei" w:cs="Microsoft JhengHei"/>
      <w:sz w:val="22"/>
      <w:szCs w:val="22"/>
      <w:lang w:val="en-US" w:eastAsia="zh-CN" w:bidi="ar-SA"/>
    </w:rPr>
  </w:style>
  <w:style w:type="paragraph" w:customStyle="1" w:styleId="16">
    <w:name w:val="_Style 6"/>
    <w:basedOn w:val="1"/>
    <w:qFormat/>
    <w:uiPriority w:val="34"/>
    <w:pPr>
      <w:ind w:firstLine="420" w:firstLineChars="200"/>
    </w:pPr>
    <w:rPr>
      <w:rFonts w:ascii="Calibri" w:hAnsi="Calibri" w:eastAsia="宋体" w:cs="Times New Roman"/>
      <w:szCs w:val="22"/>
    </w:rPr>
  </w:style>
  <w:style w:type="character" w:customStyle="1" w:styleId="17">
    <w:name w:val="fontstyle01"/>
    <w:basedOn w:val="9"/>
    <w:qFormat/>
    <w:uiPriority w:val="0"/>
    <w:rPr>
      <w:rFonts w:hint="default" w:ascii="FZLTSK--GBK1-0" w:hAnsi="FZLTSK--GBK1-0"/>
      <w:bCs/>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2393</Words>
  <Characters>2513</Characters>
  <Lines>13</Lines>
  <Paragraphs>3</Paragraphs>
  <TotalTime>426</TotalTime>
  <ScaleCrop>false</ScaleCrop>
  <LinksUpToDate>false</LinksUpToDate>
  <CharactersWithSpaces>2600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2024-05-07T10:18:00Z</dcterms:created>
  <dc:creator>微软用户</dc:creator>
  <cp:lastModifiedBy>潘彦</cp:lastModifiedBy>
  <dcterms:modified xsi:type="dcterms:W3CDTF">2024-10-10T09:18:26Z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2016</vt:lpwstr>
  </property>
  <property fmtid="{D5CDD505-2E9C-101B-9397-08002B2CF9AE}" pid="4" name="LastSaved">
    <vt:filetime>2024-01-25T00:00:00Z</vt:filetime>
  </property>
  <property fmtid="{D5CDD505-2E9C-101B-9397-08002B2CF9AE}" pid="5" name="Producer">
    <vt:lpwstr>Microsoft® Word 2016</vt:lpwstr>
  </property>
  <property fmtid="{D5CDD505-2E9C-101B-9397-08002B2CF9AE}" pid="6" name="KSOProductBuildVer">
    <vt:lpwstr>2052-12.1.0.18543</vt:lpwstr>
  </property>
  <property fmtid="{D5CDD505-2E9C-101B-9397-08002B2CF9AE}" pid="7" name="ICV">
    <vt:lpwstr>F287C100EBA24948BF0F756F9DE254E2_13</vt:lpwstr>
  </property>
</Properties>
</file>